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F8D3" w14:textId="0054E081" w:rsidR="00334D03" w:rsidRPr="00334D03" w:rsidRDefault="00B5495B" w:rsidP="00334D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95B">
        <w:rPr>
          <w:rFonts w:ascii="Times New Roman" w:hAnsi="Times New Roman" w:cs="Times New Roman"/>
          <w:b/>
          <w:bCs/>
          <w:sz w:val="24"/>
          <w:szCs w:val="24"/>
        </w:rPr>
        <w:t>Portfolio Snapshot — Key Insights &amp; Risk Assessment</w:t>
      </w:r>
    </w:p>
    <w:p w14:paraId="57C58F5E" w14:textId="77777777" w:rsid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334D03">
        <w:rPr>
          <w:rFonts w:ascii="Times New Roman" w:hAnsi="Times New Roman" w:cs="Times New Roman"/>
          <w:b/>
          <w:bCs/>
          <w:sz w:val="20"/>
          <w:szCs w:val="20"/>
        </w:rPr>
        <w:t>1. Portfolio Concentration</w:t>
      </w:r>
    </w:p>
    <w:p w14:paraId="06E5626E" w14:textId="77777777" w:rsidR="00334D03" w:rsidRP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5119E562" w14:textId="77777777" w:rsidR="00334D03" w:rsidRPr="00334D03" w:rsidRDefault="00334D03" w:rsidP="00334D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Heavy concentration in Development loans (51.89% of portfolio), increasing exposure to higher-risk lending.</w:t>
      </w:r>
    </w:p>
    <w:p w14:paraId="6981D171" w14:textId="77777777" w:rsidR="00334D03" w:rsidRDefault="00334D03" w:rsidP="00334D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 xml:space="preserve">Portfolio geographically concentrated in Southern regions, with London and </w:t>
      </w:r>
      <w:proofErr w:type="gramStart"/>
      <w:r w:rsidRPr="00334D03">
        <w:rPr>
          <w:rFonts w:ascii="Times New Roman" w:hAnsi="Times New Roman" w:cs="Times New Roman"/>
          <w:sz w:val="20"/>
          <w:szCs w:val="20"/>
        </w:rPr>
        <w:t>South East</w:t>
      </w:r>
      <w:proofErr w:type="gramEnd"/>
      <w:r w:rsidRPr="00334D03">
        <w:rPr>
          <w:rFonts w:ascii="Times New Roman" w:hAnsi="Times New Roman" w:cs="Times New Roman"/>
          <w:sz w:val="20"/>
          <w:szCs w:val="20"/>
        </w:rPr>
        <w:t xml:space="preserve"> accounting for 55.36% of total exposure.</w:t>
      </w:r>
    </w:p>
    <w:p w14:paraId="0C469CDE" w14:textId="77777777" w:rsidR="00334D03" w:rsidRPr="00334D03" w:rsidRDefault="00334D03" w:rsidP="00334D03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14:paraId="344CCB05" w14:textId="77777777" w:rsid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334D03">
        <w:rPr>
          <w:rFonts w:ascii="Times New Roman" w:hAnsi="Times New Roman" w:cs="Times New Roman"/>
          <w:b/>
          <w:bCs/>
          <w:sz w:val="20"/>
          <w:szCs w:val="20"/>
        </w:rPr>
        <w:t>2. Risk Assessment</w:t>
      </w:r>
    </w:p>
    <w:p w14:paraId="74488748" w14:textId="77777777" w:rsidR="00334D03" w:rsidRP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01155909" w14:textId="77777777" w:rsidR="00334D03" w:rsidRPr="00334D03" w:rsidRDefault="00334D03" w:rsidP="00334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Development loans account for 51.89% of exposure and show higher default rates, increasing portfolio risk.</w:t>
      </w:r>
    </w:p>
    <w:p w14:paraId="2B05560F" w14:textId="77777777" w:rsidR="00334D03" w:rsidRPr="00334D03" w:rsidRDefault="00334D03" w:rsidP="00334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Prime Introducers represent the second largest loan volume, with the lowest average repayment (-0.45%) and highest default rate (52.94%).</w:t>
      </w:r>
    </w:p>
    <w:p w14:paraId="06C3423D" w14:textId="77777777" w:rsidR="00334D03" w:rsidRPr="00334D03" w:rsidRDefault="00334D03" w:rsidP="00334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Medium LTV loans show more defaults than High LTV, suggesting risk is influenced by factors beyond LTV alone.</w:t>
      </w:r>
    </w:p>
    <w:p w14:paraId="0BD0D366" w14:textId="77777777" w:rsidR="00334D03" w:rsidRDefault="00334D03" w:rsidP="00334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North-West region accounts for 14.68% of exposure but shows 100% of loans in arrears or defaulted, highlighting elevated regional risk.</w:t>
      </w:r>
    </w:p>
    <w:p w14:paraId="3F8380A7" w14:textId="77777777" w:rsidR="00334D03" w:rsidRPr="00334D03" w:rsidRDefault="00334D03" w:rsidP="00334D03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14:paraId="654AB8D8" w14:textId="77777777" w:rsid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334D03">
        <w:rPr>
          <w:rFonts w:ascii="Times New Roman" w:hAnsi="Times New Roman" w:cs="Times New Roman"/>
          <w:b/>
          <w:bCs/>
          <w:sz w:val="20"/>
          <w:szCs w:val="20"/>
        </w:rPr>
        <w:t>3. Next Steps</w:t>
      </w:r>
    </w:p>
    <w:p w14:paraId="08082DD5" w14:textId="77777777" w:rsidR="00334D03" w:rsidRPr="00334D03" w:rsidRDefault="00334D03" w:rsidP="00334D03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7EA23548" w14:textId="77777777" w:rsidR="00334D03" w:rsidRPr="00334D03" w:rsidRDefault="00334D03" w:rsidP="00334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31% of the portfolio has defaulted, which warrants further investigation into overall credit quality.</w:t>
      </w:r>
    </w:p>
    <w:p w14:paraId="2FE30896" w14:textId="77777777" w:rsidR="00334D03" w:rsidRPr="00334D03" w:rsidRDefault="00334D03" w:rsidP="00334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Development Loans — assess whether exposure aligns with risk appetite.</w:t>
      </w:r>
    </w:p>
    <w:p w14:paraId="33CD3F08" w14:textId="77777777" w:rsidR="00334D03" w:rsidRPr="00334D03" w:rsidRDefault="00334D03" w:rsidP="00334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Prime Introducers — review loan quality and underwriting standards.</w:t>
      </w:r>
    </w:p>
    <w:p w14:paraId="63F7D5E5" w14:textId="77777777" w:rsidR="00334D03" w:rsidRPr="00334D03" w:rsidRDefault="00334D03" w:rsidP="00334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LTV Banding — investigate additional drivers of risk beyond LTV.</w:t>
      </w:r>
    </w:p>
    <w:p w14:paraId="5867F20D" w14:textId="35D590AD" w:rsidR="00AF6EA1" w:rsidRPr="00AF6EA1" w:rsidRDefault="00334D03" w:rsidP="00334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34D03">
        <w:rPr>
          <w:rFonts w:ascii="Times New Roman" w:hAnsi="Times New Roman" w:cs="Times New Roman"/>
          <w:sz w:val="20"/>
          <w:szCs w:val="20"/>
        </w:rPr>
        <w:t>North-West — assess product mix and regional lending strategy.</w:t>
      </w:r>
    </w:p>
    <w:sectPr w:rsidR="00AF6EA1" w:rsidRPr="00AF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FDA"/>
    <w:multiLevelType w:val="hybridMultilevel"/>
    <w:tmpl w:val="B84CEEC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53A4A"/>
    <w:multiLevelType w:val="hybridMultilevel"/>
    <w:tmpl w:val="5E3A4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D06D0"/>
    <w:multiLevelType w:val="hybridMultilevel"/>
    <w:tmpl w:val="0B809E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B64FF4"/>
    <w:multiLevelType w:val="hybridMultilevel"/>
    <w:tmpl w:val="2872E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03D57"/>
    <w:multiLevelType w:val="hybridMultilevel"/>
    <w:tmpl w:val="E9D42D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B1403"/>
    <w:multiLevelType w:val="hybridMultilevel"/>
    <w:tmpl w:val="C8AE5B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045582"/>
    <w:multiLevelType w:val="hybridMultilevel"/>
    <w:tmpl w:val="55AE46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A12EDE"/>
    <w:multiLevelType w:val="hybridMultilevel"/>
    <w:tmpl w:val="F2AA2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20DA4"/>
    <w:multiLevelType w:val="hybridMultilevel"/>
    <w:tmpl w:val="17FEE0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76582">
    <w:abstractNumId w:val="1"/>
  </w:num>
  <w:num w:numId="2" w16cid:durableId="686443505">
    <w:abstractNumId w:val="3"/>
  </w:num>
  <w:num w:numId="3" w16cid:durableId="1688554742">
    <w:abstractNumId w:val="4"/>
  </w:num>
  <w:num w:numId="4" w16cid:durableId="1466973064">
    <w:abstractNumId w:val="0"/>
  </w:num>
  <w:num w:numId="5" w16cid:durableId="1117066113">
    <w:abstractNumId w:val="7"/>
  </w:num>
  <w:num w:numId="6" w16cid:durableId="1990278814">
    <w:abstractNumId w:val="8"/>
  </w:num>
  <w:num w:numId="7" w16cid:durableId="1045103611">
    <w:abstractNumId w:val="6"/>
  </w:num>
  <w:num w:numId="8" w16cid:durableId="756294636">
    <w:abstractNumId w:val="5"/>
  </w:num>
  <w:num w:numId="9" w16cid:durableId="48570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5B"/>
    <w:rsid w:val="00045F65"/>
    <w:rsid w:val="00082697"/>
    <w:rsid w:val="000924A9"/>
    <w:rsid w:val="003256A3"/>
    <w:rsid w:val="00334D03"/>
    <w:rsid w:val="008F2B9F"/>
    <w:rsid w:val="00926A00"/>
    <w:rsid w:val="00AF6EA1"/>
    <w:rsid w:val="00B5495B"/>
    <w:rsid w:val="00D5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89C9"/>
  <w15:chartTrackingRefBased/>
  <w15:docId w15:val="{8DD23BF9-5EBD-496C-B1EF-5BDE9671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697"/>
  </w:style>
  <w:style w:type="paragraph" w:styleId="Heading1">
    <w:name w:val="heading 1"/>
    <w:basedOn w:val="Normal"/>
    <w:next w:val="Normal"/>
    <w:link w:val="Heading1Char"/>
    <w:uiPriority w:val="9"/>
    <w:qFormat/>
    <w:rsid w:val="00082697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9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9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9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9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9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9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9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97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9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9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9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9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9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9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9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269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8269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82697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9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8269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82697"/>
    <w:rPr>
      <w:b/>
      <w:bCs/>
    </w:rPr>
  </w:style>
  <w:style w:type="character" w:styleId="Emphasis">
    <w:name w:val="Emphasis"/>
    <w:basedOn w:val="DefaultParagraphFont"/>
    <w:uiPriority w:val="20"/>
    <w:qFormat/>
    <w:rsid w:val="00082697"/>
    <w:rPr>
      <w:i/>
      <w:iCs/>
    </w:rPr>
  </w:style>
  <w:style w:type="paragraph" w:styleId="NoSpacing">
    <w:name w:val="No Spacing"/>
    <w:link w:val="NoSpacingChar"/>
    <w:uiPriority w:val="1"/>
    <w:qFormat/>
    <w:rsid w:val="0008269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82697"/>
  </w:style>
  <w:style w:type="paragraph" w:styleId="Quote">
    <w:name w:val="Quote"/>
    <w:basedOn w:val="Normal"/>
    <w:next w:val="Normal"/>
    <w:link w:val="QuoteChar"/>
    <w:uiPriority w:val="29"/>
    <w:qFormat/>
    <w:rsid w:val="0008269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826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9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9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8269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8269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8269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8269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269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2697"/>
    <w:pPr>
      <w:outlineLvl w:val="9"/>
    </w:pPr>
  </w:style>
  <w:style w:type="paragraph" w:styleId="ListParagraph">
    <w:name w:val="List Paragraph"/>
    <w:basedOn w:val="Normal"/>
    <w:uiPriority w:val="34"/>
    <w:qFormat/>
    <w:rsid w:val="00B5495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F6E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6E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6E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E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6E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1046</Characters>
  <Application>Microsoft Office Word</Application>
  <DocSecurity>0</DocSecurity>
  <Lines>23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Whiteley Johnson</dc:creator>
  <cp:keywords/>
  <dc:description/>
  <cp:lastModifiedBy>Liam Whiteley Johnson</cp:lastModifiedBy>
  <cp:revision>2</cp:revision>
  <dcterms:created xsi:type="dcterms:W3CDTF">2026-03-26T11:58:00Z</dcterms:created>
  <dcterms:modified xsi:type="dcterms:W3CDTF">2026-03-26T11:58:00Z</dcterms:modified>
</cp:coreProperties>
</file>