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72E0" w14:textId="1B75B58A" w:rsidR="001F384F" w:rsidRPr="00D12C04" w:rsidRDefault="00693CFA" w:rsidP="001F384F">
      <w:pPr>
        <w:pStyle w:val="Heading1"/>
        <w:spacing w:before="93" w:line="252" w:lineRule="exact"/>
        <w:ind w:left="197"/>
        <w:jc w:val="both"/>
        <w:rPr>
          <w:rFonts w:ascii="Arial Black"/>
          <w:b/>
          <w:sz w:val="24"/>
          <w:szCs w:val="24"/>
        </w:rPr>
      </w:pPr>
      <w:r>
        <w:rPr>
          <w:rFonts w:ascii="Arial Black"/>
          <w:spacing w:val="-2"/>
          <w:w w:val="80"/>
          <w:sz w:val="24"/>
          <w:szCs w:val="24"/>
        </w:rPr>
        <w:t xml:space="preserve">Beyond Core GRADE. Rating risk of bias across bodies of evidence: </w:t>
      </w:r>
      <w:r w:rsidR="001F384F" w:rsidRPr="00D12C04">
        <w:rPr>
          <w:rFonts w:ascii="Arial Black"/>
          <w:spacing w:val="-2"/>
          <w:w w:val="80"/>
          <w:sz w:val="24"/>
          <w:szCs w:val="24"/>
        </w:rPr>
        <w:t>When evidence dominated by high risk of bias studies</w:t>
      </w:r>
      <w:r>
        <w:rPr>
          <w:rFonts w:ascii="Arial Black"/>
          <w:spacing w:val="-2"/>
          <w:w w:val="80"/>
          <w:sz w:val="24"/>
          <w:szCs w:val="24"/>
        </w:rPr>
        <w:t>,</w:t>
      </w:r>
      <w:r w:rsidR="001F384F" w:rsidRPr="00D12C04">
        <w:rPr>
          <w:rFonts w:ascii="Arial Black"/>
          <w:spacing w:val="-2"/>
          <w:w w:val="80"/>
          <w:sz w:val="24"/>
          <w:szCs w:val="24"/>
        </w:rPr>
        <w:t xml:space="preserve"> </w:t>
      </w:r>
      <w:r w:rsidR="00597735">
        <w:rPr>
          <w:rFonts w:ascii="Arial Black"/>
          <w:spacing w:val="-2"/>
          <w:w w:val="80"/>
          <w:sz w:val="24"/>
          <w:szCs w:val="24"/>
        </w:rPr>
        <w:t>C</w:t>
      </w:r>
      <w:r w:rsidR="001F384F" w:rsidRPr="00D12C04">
        <w:rPr>
          <w:rFonts w:ascii="Arial Black"/>
          <w:spacing w:val="-2"/>
          <w:w w:val="80"/>
          <w:sz w:val="24"/>
          <w:szCs w:val="24"/>
        </w:rPr>
        <w:t>onsidering</w:t>
      </w:r>
      <w:r w:rsidR="001F384F" w:rsidRPr="00D12C04">
        <w:rPr>
          <w:rFonts w:ascii="Arial Black"/>
          <w:spacing w:val="-7"/>
          <w:sz w:val="24"/>
          <w:szCs w:val="24"/>
        </w:rPr>
        <w:t xml:space="preserve"> </w:t>
      </w:r>
      <w:r w:rsidR="001F384F" w:rsidRPr="00D12C04">
        <w:rPr>
          <w:rFonts w:ascii="Arial Black"/>
          <w:spacing w:val="-2"/>
          <w:w w:val="80"/>
          <w:sz w:val="24"/>
          <w:szCs w:val="24"/>
        </w:rPr>
        <w:t>direction</w:t>
      </w:r>
      <w:r w:rsidR="001F384F" w:rsidRPr="00D12C04">
        <w:rPr>
          <w:rFonts w:ascii="Arial Black"/>
          <w:spacing w:val="-7"/>
          <w:sz w:val="24"/>
          <w:szCs w:val="24"/>
        </w:rPr>
        <w:t xml:space="preserve"> </w:t>
      </w:r>
      <w:r w:rsidR="001F384F" w:rsidRPr="00D12C04">
        <w:rPr>
          <w:rFonts w:ascii="Arial Black"/>
          <w:spacing w:val="-2"/>
          <w:w w:val="80"/>
          <w:sz w:val="24"/>
          <w:szCs w:val="24"/>
        </w:rPr>
        <w:t>of</w:t>
      </w:r>
      <w:r w:rsidR="001F384F" w:rsidRPr="00D12C04">
        <w:rPr>
          <w:rFonts w:ascii="Arial Black"/>
          <w:spacing w:val="-10"/>
          <w:sz w:val="24"/>
          <w:szCs w:val="24"/>
        </w:rPr>
        <w:t xml:space="preserve"> </w:t>
      </w:r>
      <w:r w:rsidR="001F384F" w:rsidRPr="00D12C04">
        <w:rPr>
          <w:rFonts w:ascii="Arial Black"/>
          <w:spacing w:val="-4"/>
          <w:w w:val="80"/>
          <w:sz w:val="24"/>
          <w:szCs w:val="24"/>
        </w:rPr>
        <w:t>bias</w:t>
      </w:r>
    </w:p>
    <w:p w14:paraId="3491C87A" w14:textId="18B442EE" w:rsidR="001F384F" w:rsidRDefault="001F384F" w:rsidP="001F384F">
      <w:pPr>
        <w:pStyle w:val="BodyText"/>
        <w:spacing w:before="2" w:line="235" w:lineRule="auto"/>
        <w:ind w:left="197" w:right="111"/>
      </w:pPr>
      <w:r>
        <w:t>When evidence is dominated by high risk of bias studies, before definitively rating down for risk of bias, GRADE users might consider the expected direction of any bias influencing results. If, in studies showing no important difference in effect, bias would have increased differences between groups, one can infer</w:t>
      </w:r>
      <w:r>
        <w:rPr>
          <w:spacing w:val="32"/>
        </w:rPr>
        <w:t xml:space="preserve"> </w:t>
      </w:r>
      <w:r>
        <w:t>that</w:t>
      </w:r>
      <w:r>
        <w:rPr>
          <w:spacing w:val="32"/>
        </w:rPr>
        <w:t xml:space="preserve"> </w:t>
      </w:r>
      <w:r>
        <w:t>the</w:t>
      </w:r>
      <w:r>
        <w:rPr>
          <w:spacing w:val="32"/>
        </w:rPr>
        <w:t xml:space="preserve"> </w:t>
      </w:r>
      <w:r>
        <w:t>actual</w:t>
      </w:r>
      <w:r>
        <w:rPr>
          <w:spacing w:val="32"/>
        </w:rPr>
        <w:t xml:space="preserve"> </w:t>
      </w:r>
      <w:r>
        <w:t>difference</w:t>
      </w:r>
      <w:r>
        <w:rPr>
          <w:spacing w:val="32"/>
        </w:rPr>
        <w:t xml:space="preserve"> </w:t>
      </w:r>
      <w:r>
        <w:t>must</w:t>
      </w:r>
      <w:r>
        <w:rPr>
          <w:spacing w:val="32"/>
        </w:rPr>
        <w:t xml:space="preserve"> </w:t>
      </w:r>
      <w:r>
        <w:t>be,</w:t>
      </w:r>
      <w:r>
        <w:rPr>
          <w:spacing w:val="32"/>
        </w:rPr>
        <w:t xml:space="preserve"> </w:t>
      </w:r>
      <w:r>
        <w:t>if</w:t>
      </w:r>
      <w:r>
        <w:rPr>
          <w:spacing w:val="32"/>
        </w:rPr>
        <w:t xml:space="preserve"> </w:t>
      </w:r>
      <w:r>
        <w:t>different at</w:t>
      </w:r>
      <w:r>
        <w:rPr>
          <w:spacing w:val="40"/>
        </w:rPr>
        <w:t xml:space="preserve"> </w:t>
      </w:r>
      <w:r>
        <w:t>all,</w:t>
      </w:r>
      <w:r>
        <w:rPr>
          <w:spacing w:val="40"/>
        </w:rPr>
        <w:t xml:space="preserve"> </w:t>
      </w:r>
      <w:r>
        <w:t>smaller</w:t>
      </w:r>
      <w:r>
        <w:rPr>
          <w:spacing w:val="40"/>
        </w:rPr>
        <w:t xml:space="preserve"> </w:t>
      </w:r>
      <w:r>
        <w:t>than</w:t>
      </w:r>
      <w:r>
        <w:rPr>
          <w:spacing w:val="40"/>
        </w:rPr>
        <w:t xml:space="preserve"> </w:t>
      </w:r>
      <w:r>
        <w:t>it</w:t>
      </w:r>
      <w:r>
        <w:rPr>
          <w:spacing w:val="40"/>
        </w:rPr>
        <w:t xml:space="preserve"> </w:t>
      </w:r>
      <w:r>
        <w:t>appeared.</w:t>
      </w:r>
      <w:r>
        <w:rPr>
          <w:spacing w:val="40"/>
        </w:rPr>
        <w:t xml:space="preserve"> </w:t>
      </w:r>
      <w:r>
        <w:t>Consideration</w:t>
      </w:r>
      <w:r>
        <w:rPr>
          <w:spacing w:val="40"/>
        </w:rPr>
        <w:t xml:space="preserve"> </w:t>
      </w:r>
      <w:r>
        <w:t xml:space="preserve">of risk of bias would thus reinforce the conclusion of no difference between groups and consequently there would be no reason to rate down for risk of bias. </w:t>
      </w:r>
      <w:r>
        <w:rPr>
          <w:spacing w:val="-2"/>
        </w:rPr>
        <w:t>Similarly,</w:t>
      </w:r>
      <w:r>
        <w:rPr>
          <w:spacing w:val="-4"/>
        </w:rPr>
        <w:t xml:space="preserve"> </w:t>
      </w:r>
      <w:r>
        <w:rPr>
          <w:spacing w:val="-2"/>
        </w:rPr>
        <w:t>if</w:t>
      </w:r>
      <w:r>
        <w:rPr>
          <w:spacing w:val="-4"/>
        </w:rPr>
        <w:t xml:space="preserve"> </w:t>
      </w:r>
      <w:r>
        <w:rPr>
          <w:spacing w:val="-2"/>
        </w:rPr>
        <w:t>effects</w:t>
      </w:r>
      <w:r>
        <w:rPr>
          <w:spacing w:val="-4"/>
        </w:rPr>
        <w:t xml:space="preserve"> </w:t>
      </w:r>
      <w:r>
        <w:rPr>
          <w:spacing w:val="-2"/>
        </w:rPr>
        <w:t>in</w:t>
      </w:r>
      <w:r>
        <w:rPr>
          <w:spacing w:val="-4"/>
        </w:rPr>
        <w:t xml:space="preserve"> </w:t>
      </w:r>
      <w:r>
        <w:rPr>
          <w:spacing w:val="-2"/>
        </w:rPr>
        <w:t>studies</w:t>
      </w:r>
      <w:r>
        <w:rPr>
          <w:spacing w:val="-4"/>
        </w:rPr>
        <w:t xml:space="preserve"> </w:t>
      </w:r>
      <w:r>
        <w:rPr>
          <w:spacing w:val="-2"/>
        </w:rPr>
        <w:t>show</w:t>
      </w:r>
      <w:r>
        <w:rPr>
          <w:spacing w:val="-4"/>
        </w:rPr>
        <w:t xml:space="preserve"> </w:t>
      </w:r>
      <w:r>
        <w:rPr>
          <w:spacing w:val="-2"/>
        </w:rPr>
        <w:t>a</w:t>
      </w:r>
      <w:r>
        <w:rPr>
          <w:spacing w:val="-4"/>
        </w:rPr>
        <w:t xml:space="preserve"> </w:t>
      </w:r>
      <w:r>
        <w:rPr>
          <w:spacing w:val="-2"/>
        </w:rPr>
        <w:t>difference</w:t>
      </w:r>
      <w:r>
        <w:rPr>
          <w:spacing w:val="-4"/>
        </w:rPr>
        <w:t xml:space="preserve"> </w:t>
      </w:r>
      <w:r>
        <w:rPr>
          <w:spacing w:val="-2"/>
        </w:rPr>
        <w:t>but</w:t>
      </w:r>
      <w:r>
        <w:rPr>
          <w:spacing w:val="-4"/>
        </w:rPr>
        <w:t xml:space="preserve"> </w:t>
      </w:r>
      <w:r>
        <w:rPr>
          <w:spacing w:val="-2"/>
        </w:rPr>
        <w:t xml:space="preserve">bias </w:t>
      </w:r>
      <w:r>
        <w:t>would have decreased that difference, the inference would be that the true relative effect is if anything larger</w:t>
      </w:r>
      <w:r>
        <w:rPr>
          <w:spacing w:val="-10"/>
        </w:rPr>
        <w:t xml:space="preserve"> </w:t>
      </w:r>
      <w:r>
        <w:t>than</w:t>
      </w:r>
      <w:r>
        <w:rPr>
          <w:spacing w:val="-10"/>
        </w:rPr>
        <w:t xml:space="preserve"> </w:t>
      </w:r>
      <w:r>
        <w:t>that</w:t>
      </w:r>
      <w:r>
        <w:rPr>
          <w:spacing w:val="-10"/>
        </w:rPr>
        <w:t xml:space="preserve"> </w:t>
      </w:r>
      <w:r>
        <w:t>observed.</w:t>
      </w:r>
      <w:r>
        <w:rPr>
          <w:spacing w:val="-10"/>
        </w:rPr>
        <w:t xml:space="preserve"> </w:t>
      </w:r>
      <w:r>
        <w:t>There</w:t>
      </w:r>
      <w:r>
        <w:rPr>
          <w:spacing w:val="-10"/>
        </w:rPr>
        <w:t xml:space="preserve"> </w:t>
      </w:r>
      <w:r>
        <w:t>would</w:t>
      </w:r>
      <w:r>
        <w:rPr>
          <w:spacing w:val="-10"/>
        </w:rPr>
        <w:t xml:space="preserve"> </w:t>
      </w:r>
      <w:r>
        <w:t>therefore</w:t>
      </w:r>
      <w:r>
        <w:rPr>
          <w:spacing w:val="-10"/>
        </w:rPr>
        <w:t xml:space="preserve"> </w:t>
      </w:r>
      <w:r>
        <w:t>be</w:t>
      </w:r>
      <w:r>
        <w:rPr>
          <w:spacing w:val="-10"/>
        </w:rPr>
        <w:t xml:space="preserve"> </w:t>
      </w:r>
      <w:r>
        <w:t>no reason to rate down for risk of bias.</w:t>
      </w:r>
    </w:p>
    <w:p w14:paraId="57C4C6A3" w14:textId="6E829896" w:rsidR="001F384F" w:rsidRDefault="001F384F" w:rsidP="001F384F">
      <w:pPr>
        <w:pStyle w:val="BodyText"/>
        <w:spacing w:before="10" w:line="235" w:lineRule="auto"/>
        <w:ind w:left="197" w:right="111" w:firstLine="175"/>
      </w:pPr>
      <w:r>
        <w:t>Consider</w:t>
      </w:r>
      <w:r>
        <w:rPr>
          <w:spacing w:val="-11"/>
        </w:rPr>
        <w:t xml:space="preserve"> </w:t>
      </w:r>
      <w:r>
        <w:t>for</w:t>
      </w:r>
      <w:r>
        <w:rPr>
          <w:spacing w:val="-11"/>
        </w:rPr>
        <w:t xml:space="preserve"> </w:t>
      </w:r>
      <w:r>
        <w:t>instance</w:t>
      </w:r>
      <w:r>
        <w:rPr>
          <w:spacing w:val="-10"/>
        </w:rPr>
        <w:t xml:space="preserve"> </w:t>
      </w:r>
      <w:r>
        <w:t>a</w:t>
      </w:r>
      <w:r>
        <w:rPr>
          <w:spacing w:val="-11"/>
        </w:rPr>
        <w:t xml:space="preserve"> </w:t>
      </w:r>
      <w:r>
        <w:t>meta-analysis</w:t>
      </w:r>
      <w:r>
        <w:rPr>
          <w:spacing w:val="-11"/>
        </w:rPr>
        <w:t xml:space="preserve"> </w:t>
      </w:r>
      <w:r>
        <w:t>of</w:t>
      </w:r>
      <w:r>
        <w:rPr>
          <w:spacing w:val="-10"/>
        </w:rPr>
        <w:t xml:space="preserve"> </w:t>
      </w:r>
      <w:r>
        <w:t xml:space="preserve">randomized controlled trials addressing the prevention of </w:t>
      </w:r>
      <w:r>
        <w:rPr>
          <w:i/>
        </w:rPr>
        <w:t xml:space="preserve">Plasmodium falciparum </w:t>
      </w:r>
      <w:r>
        <w:t>malaria transmission that compared the addition of primaquine to a previous regimen versus not adding the drug.</w:t>
      </w:r>
      <w:r w:rsidR="00E41E6F">
        <w:rPr>
          <w:vertAlign w:val="superscript"/>
        </w:rPr>
        <w:t>1</w:t>
      </w:r>
      <w:r>
        <w:t xml:space="preserve"> Results provided evidence that primaquine reduced, rather than increased, adverse events (odds ratio 0.79, 95%</w:t>
      </w:r>
      <w:r>
        <w:rPr>
          <w:spacing w:val="40"/>
        </w:rPr>
        <w:t xml:space="preserve"> </w:t>
      </w:r>
      <w:r>
        <w:t>CI</w:t>
      </w:r>
      <w:r>
        <w:rPr>
          <w:spacing w:val="-3"/>
        </w:rPr>
        <w:t xml:space="preserve"> </w:t>
      </w:r>
      <w:r>
        <w:t>0.63</w:t>
      </w:r>
      <w:r>
        <w:rPr>
          <w:spacing w:val="-3"/>
        </w:rPr>
        <w:t xml:space="preserve"> </w:t>
      </w:r>
      <w:r>
        <w:t>to</w:t>
      </w:r>
      <w:r>
        <w:rPr>
          <w:spacing w:val="-3"/>
        </w:rPr>
        <w:t xml:space="preserve"> </w:t>
      </w:r>
      <w:r>
        <w:t>1.42).</w:t>
      </w:r>
      <w:r>
        <w:rPr>
          <w:spacing w:val="-3"/>
        </w:rPr>
        <w:t xml:space="preserve"> </w:t>
      </w:r>
      <w:r>
        <w:t>Lack</w:t>
      </w:r>
      <w:r>
        <w:rPr>
          <w:spacing w:val="-3"/>
        </w:rPr>
        <w:t xml:space="preserve"> </w:t>
      </w:r>
      <w:r>
        <w:t>of</w:t>
      </w:r>
      <w:r>
        <w:rPr>
          <w:spacing w:val="-3"/>
        </w:rPr>
        <w:t xml:space="preserve"> </w:t>
      </w:r>
      <w:r>
        <w:t>blinding</w:t>
      </w:r>
      <w:r>
        <w:rPr>
          <w:spacing w:val="-3"/>
        </w:rPr>
        <w:t xml:space="preserve"> </w:t>
      </w:r>
      <w:r>
        <w:t>suggested</w:t>
      </w:r>
      <w:r>
        <w:rPr>
          <w:spacing w:val="-3"/>
        </w:rPr>
        <w:t xml:space="preserve"> </w:t>
      </w:r>
      <w:r>
        <w:t>classifying the studies at high risk of bias. However, if clinicians know that a patient is receiving an additional drug, they</w:t>
      </w:r>
      <w:r>
        <w:rPr>
          <w:spacing w:val="-3"/>
        </w:rPr>
        <w:t xml:space="preserve"> </w:t>
      </w:r>
      <w:r>
        <w:t>would</w:t>
      </w:r>
      <w:r>
        <w:rPr>
          <w:spacing w:val="-3"/>
        </w:rPr>
        <w:t xml:space="preserve"> </w:t>
      </w:r>
      <w:r>
        <w:t>be</w:t>
      </w:r>
      <w:r>
        <w:rPr>
          <w:spacing w:val="-3"/>
        </w:rPr>
        <w:t xml:space="preserve"> </w:t>
      </w:r>
      <w:r>
        <w:t>more</w:t>
      </w:r>
      <w:r>
        <w:rPr>
          <w:spacing w:val="-3"/>
        </w:rPr>
        <w:t xml:space="preserve"> </w:t>
      </w:r>
      <w:r>
        <w:t>inclined</w:t>
      </w:r>
      <w:r>
        <w:rPr>
          <w:spacing w:val="-3"/>
        </w:rPr>
        <w:t xml:space="preserve"> </w:t>
      </w:r>
      <w:r>
        <w:t>to</w:t>
      </w:r>
      <w:r>
        <w:rPr>
          <w:spacing w:val="-3"/>
        </w:rPr>
        <w:t xml:space="preserve"> </w:t>
      </w:r>
      <w:r>
        <w:t>attribute</w:t>
      </w:r>
      <w:r>
        <w:rPr>
          <w:spacing w:val="-3"/>
        </w:rPr>
        <w:t xml:space="preserve"> </w:t>
      </w:r>
      <w:r>
        <w:t>symptoms</w:t>
      </w:r>
      <w:r>
        <w:rPr>
          <w:spacing w:val="-3"/>
        </w:rPr>
        <w:t xml:space="preserve"> </w:t>
      </w:r>
      <w:r>
        <w:t>to side</w:t>
      </w:r>
      <w:r>
        <w:rPr>
          <w:spacing w:val="-11"/>
        </w:rPr>
        <w:t xml:space="preserve"> </w:t>
      </w:r>
      <w:r>
        <w:t>effects</w:t>
      </w:r>
      <w:r>
        <w:rPr>
          <w:spacing w:val="-11"/>
        </w:rPr>
        <w:t xml:space="preserve"> </w:t>
      </w:r>
      <w:r>
        <w:t>from</w:t>
      </w:r>
      <w:r>
        <w:rPr>
          <w:spacing w:val="-10"/>
        </w:rPr>
        <w:t xml:space="preserve"> </w:t>
      </w:r>
      <w:r>
        <w:t>the</w:t>
      </w:r>
      <w:r>
        <w:rPr>
          <w:spacing w:val="-11"/>
        </w:rPr>
        <w:t xml:space="preserve"> </w:t>
      </w:r>
      <w:r>
        <w:t>drug</w:t>
      </w:r>
      <w:r>
        <w:rPr>
          <w:spacing w:val="-11"/>
        </w:rPr>
        <w:t xml:space="preserve"> </w:t>
      </w:r>
      <w:r>
        <w:t>than</w:t>
      </w:r>
      <w:r>
        <w:rPr>
          <w:spacing w:val="-10"/>
        </w:rPr>
        <w:t xml:space="preserve"> </w:t>
      </w:r>
      <w:r>
        <w:t>in</w:t>
      </w:r>
      <w:r>
        <w:rPr>
          <w:spacing w:val="-11"/>
        </w:rPr>
        <w:t xml:space="preserve"> </w:t>
      </w:r>
      <w:r>
        <w:t>patients</w:t>
      </w:r>
      <w:r>
        <w:rPr>
          <w:spacing w:val="-10"/>
        </w:rPr>
        <w:t xml:space="preserve"> </w:t>
      </w:r>
      <w:r>
        <w:t>not</w:t>
      </w:r>
      <w:r>
        <w:rPr>
          <w:spacing w:val="-11"/>
        </w:rPr>
        <w:t xml:space="preserve"> </w:t>
      </w:r>
      <w:r>
        <w:t>receiving the drug. If they were blinded, there could be no such differential</w:t>
      </w:r>
      <w:r>
        <w:rPr>
          <w:spacing w:val="-9"/>
        </w:rPr>
        <w:t xml:space="preserve"> </w:t>
      </w:r>
      <w:r>
        <w:t>attribution.</w:t>
      </w:r>
      <w:r>
        <w:rPr>
          <w:spacing w:val="-9"/>
        </w:rPr>
        <w:t xml:space="preserve"> </w:t>
      </w:r>
      <w:r>
        <w:t>Thus,</w:t>
      </w:r>
      <w:r>
        <w:rPr>
          <w:spacing w:val="-9"/>
        </w:rPr>
        <w:t xml:space="preserve"> </w:t>
      </w:r>
      <w:r>
        <w:t>bias</w:t>
      </w:r>
      <w:r>
        <w:rPr>
          <w:spacing w:val="-9"/>
        </w:rPr>
        <w:t xml:space="preserve"> </w:t>
      </w:r>
      <w:r>
        <w:t>from</w:t>
      </w:r>
      <w:r>
        <w:rPr>
          <w:spacing w:val="-9"/>
        </w:rPr>
        <w:t xml:space="preserve"> </w:t>
      </w:r>
      <w:r>
        <w:t>failure</w:t>
      </w:r>
      <w:r>
        <w:rPr>
          <w:spacing w:val="-9"/>
        </w:rPr>
        <w:t xml:space="preserve"> </w:t>
      </w:r>
      <w:r>
        <w:t>to</w:t>
      </w:r>
      <w:r>
        <w:rPr>
          <w:spacing w:val="-9"/>
        </w:rPr>
        <w:t xml:space="preserve"> </w:t>
      </w:r>
      <w:r>
        <w:t>blind would</w:t>
      </w:r>
      <w:r>
        <w:rPr>
          <w:spacing w:val="-9"/>
        </w:rPr>
        <w:t xml:space="preserve"> </w:t>
      </w:r>
      <w:r>
        <w:t>have</w:t>
      </w:r>
      <w:r>
        <w:rPr>
          <w:spacing w:val="-9"/>
        </w:rPr>
        <w:t xml:space="preserve"> </w:t>
      </w:r>
      <w:r>
        <w:t>led</w:t>
      </w:r>
      <w:r>
        <w:rPr>
          <w:spacing w:val="-9"/>
        </w:rPr>
        <w:t xml:space="preserve"> </w:t>
      </w:r>
      <w:r>
        <w:t>to</w:t>
      </w:r>
      <w:r>
        <w:rPr>
          <w:spacing w:val="-9"/>
        </w:rPr>
        <w:t xml:space="preserve"> </w:t>
      </w:r>
      <w:r>
        <w:t>an</w:t>
      </w:r>
      <w:r>
        <w:rPr>
          <w:spacing w:val="-9"/>
        </w:rPr>
        <w:t xml:space="preserve"> </w:t>
      </w:r>
      <w:r>
        <w:t>overestimation</w:t>
      </w:r>
      <w:r>
        <w:rPr>
          <w:spacing w:val="-9"/>
        </w:rPr>
        <w:t xml:space="preserve"> </w:t>
      </w:r>
      <w:r>
        <w:t>of</w:t>
      </w:r>
      <w:r>
        <w:rPr>
          <w:spacing w:val="-9"/>
        </w:rPr>
        <w:t xml:space="preserve"> </w:t>
      </w:r>
      <w:r>
        <w:t>adverse</w:t>
      </w:r>
      <w:r>
        <w:rPr>
          <w:spacing w:val="-9"/>
        </w:rPr>
        <w:t xml:space="preserve"> </w:t>
      </w:r>
      <w:r>
        <w:t xml:space="preserve">events </w:t>
      </w:r>
      <w:r>
        <w:rPr>
          <w:spacing w:val="-2"/>
        </w:rPr>
        <w:t>with</w:t>
      </w:r>
      <w:r>
        <w:rPr>
          <w:spacing w:val="-5"/>
        </w:rPr>
        <w:t xml:space="preserve"> </w:t>
      </w:r>
      <w:r>
        <w:rPr>
          <w:spacing w:val="-2"/>
        </w:rPr>
        <w:t>primaquine.</w:t>
      </w:r>
      <w:r>
        <w:rPr>
          <w:spacing w:val="-5"/>
        </w:rPr>
        <w:t xml:space="preserve"> </w:t>
      </w:r>
      <w:r>
        <w:rPr>
          <w:spacing w:val="-2"/>
        </w:rPr>
        <w:t>Considering</w:t>
      </w:r>
      <w:r>
        <w:rPr>
          <w:spacing w:val="-5"/>
        </w:rPr>
        <w:t xml:space="preserve"> </w:t>
      </w:r>
      <w:r>
        <w:rPr>
          <w:spacing w:val="-2"/>
        </w:rPr>
        <w:t>this,</w:t>
      </w:r>
      <w:r>
        <w:rPr>
          <w:spacing w:val="-5"/>
        </w:rPr>
        <w:t xml:space="preserve"> </w:t>
      </w:r>
      <w:r>
        <w:rPr>
          <w:spacing w:val="-2"/>
        </w:rPr>
        <w:t>the</w:t>
      </w:r>
      <w:r>
        <w:rPr>
          <w:spacing w:val="-5"/>
        </w:rPr>
        <w:t xml:space="preserve"> </w:t>
      </w:r>
      <w:r>
        <w:rPr>
          <w:spacing w:val="-2"/>
        </w:rPr>
        <w:t>direction</w:t>
      </w:r>
      <w:r>
        <w:rPr>
          <w:spacing w:val="-5"/>
        </w:rPr>
        <w:t xml:space="preserve"> </w:t>
      </w:r>
      <w:r>
        <w:rPr>
          <w:spacing w:val="-2"/>
        </w:rPr>
        <w:t>of</w:t>
      </w:r>
      <w:r>
        <w:rPr>
          <w:spacing w:val="-5"/>
        </w:rPr>
        <w:t xml:space="preserve"> </w:t>
      </w:r>
      <w:r>
        <w:rPr>
          <w:spacing w:val="-2"/>
        </w:rPr>
        <w:t xml:space="preserve">bias </w:t>
      </w:r>
      <w:r>
        <w:t>increases our strength of inference that primaquine does not importantly increase adverse effects. Thus, review authors appropriately decided against rating down for risk of bias.</w:t>
      </w:r>
    </w:p>
    <w:p w14:paraId="5B4289FD" w14:textId="77777777" w:rsidR="00E41E6F" w:rsidRPr="00E41E6F" w:rsidRDefault="00E41E6F" w:rsidP="00E41E6F">
      <w:pPr>
        <w:pStyle w:val="ListParagraph"/>
        <w:widowControl w:val="0"/>
        <w:tabs>
          <w:tab w:val="left" w:pos="2538"/>
        </w:tabs>
        <w:autoSpaceDE w:val="0"/>
        <w:autoSpaceDN w:val="0"/>
        <w:spacing w:before="3" w:after="0" w:line="242" w:lineRule="auto"/>
        <w:ind w:left="2538" w:right="104"/>
        <w:contextualSpacing w:val="0"/>
        <w:rPr>
          <w:sz w:val="13"/>
        </w:rPr>
      </w:pPr>
    </w:p>
    <w:p w14:paraId="30DAD004" w14:textId="62EA8D7B" w:rsidR="00E41E6F" w:rsidRDefault="00E41E6F" w:rsidP="00E41E6F">
      <w:pPr>
        <w:pStyle w:val="ListParagraph"/>
        <w:widowControl w:val="0"/>
        <w:numPr>
          <w:ilvl w:val="0"/>
          <w:numId w:val="1"/>
        </w:numPr>
        <w:tabs>
          <w:tab w:val="left" w:pos="2538"/>
        </w:tabs>
        <w:autoSpaceDE w:val="0"/>
        <w:autoSpaceDN w:val="0"/>
        <w:spacing w:before="3" w:after="0" w:line="242" w:lineRule="auto"/>
        <w:ind w:right="104"/>
        <w:contextualSpacing w:val="0"/>
        <w:jc w:val="left"/>
        <w:rPr>
          <w:sz w:val="13"/>
        </w:rPr>
      </w:pPr>
      <w:r>
        <w:rPr>
          <w:w w:val="105"/>
          <w:sz w:val="13"/>
        </w:rPr>
        <w:t xml:space="preserve">Yilma D, </w:t>
      </w:r>
      <w:proofErr w:type="spellStart"/>
      <w:r>
        <w:rPr>
          <w:w w:val="105"/>
          <w:sz w:val="13"/>
        </w:rPr>
        <w:t>Stepniewska</w:t>
      </w:r>
      <w:proofErr w:type="spellEnd"/>
      <w:r>
        <w:rPr>
          <w:w w:val="105"/>
          <w:sz w:val="13"/>
        </w:rPr>
        <w:t xml:space="preserve"> K, </w:t>
      </w:r>
      <w:proofErr w:type="spellStart"/>
      <w:r>
        <w:rPr>
          <w:w w:val="105"/>
          <w:sz w:val="13"/>
        </w:rPr>
        <w:t>Bousema</w:t>
      </w:r>
      <w:proofErr w:type="spellEnd"/>
      <w:r>
        <w:rPr>
          <w:w w:val="105"/>
          <w:sz w:val="13"/>
        </w:rPr>
        <w:t xml:space="preserve"> T, et al. WWARN Paediatric</w:t>
      </w:r>
      <w:r>
        <w:rPr>
          <w:spacing w:val="40"/>
          <w:w w:val="105"/>
          <w:sz w:val="13"/>
        </w:rPr>
        <w:t xml:space="preserve"> </w:t>
      </w:r>
      <w:proofErr w:type="spellStart"/>
      <w:r>
        <w:rPr>
          <w:w w:val="105"/>
          <w:sz w:val="13"/>
        </w:rPr>
        <w:t>Primquine</w:t>
      </w:r>
      <w:proofErr w:type="spellEnd"/>
      <w:r>
        <w:rPr>
          <w:w w:val="105"/>
          <w:sz w:val="13"/>
        </w:rPr>
        <w:t xml:space="preserve"> for P. falciparum transmission Blocking Study Group.</w:t>
      </w:r>
      <w:r>
        <w:rPr>
          <w:spacing w:val="40"/>
          <w:w w:val="105"/>
          <w:sz w:val="13"/>
        </w:rPr>
        <w:t xml:space="preserve"> </w:t>
      </w:r>
      <w:r>
        <w:rPr>
          <w:w w:val="105"/>
          <w:sz w:val="13"/>
        </w:rPr>
        <w:t>Efficacy and Safety of Single-Dose Primaquine to Interrupt</w:t>
      </w:r>
      <w:r>
        <w:rPr>
          <w:spacing w:val="40"/>
          <w:w w:val="105"/>
          <w:sz w:val="13"/>
        </w:rPr>
        <w:t xml:space="preserve"> </w:t>
      </w:r>
      <w:r>
        <w:rPr>
          <w:spacing w:val="-2"/>
          <w:w w:val="105"/>
          <w:sz w:val="13"/>
        </w:rPr>
        <w:t>Plasmodium Falciparum Malaria Transmission in Paediatric Patients</w:t>
      </w:r>
      <w:r>
        <w:rPr>
          <w:spacing w:val="40"/>
          <w:w w:val="105"/>
          <w:sz w:val="13"/>
        </w:rPr>
        <w:t xml:space="preserve"> </w:t>
      </w:r>
      <w:r>
        <w:rPr>
          <w:w w:val="105"/>
          <w:sz w:val="13"/>
        </w:rPr>
        <w:t>Compared to Adults: A WWARN Systematic Review and Individual</w:t>
      </w:r>
      <w:r>
        <w:rPr>
          <w:spacing w:val="40"/>
          <w:w w:val="105"/>
          <w:sz w:val="13"/>
        </w:rPr>
        <w:t xml:space="preserve"> </w:t>
      </w:r>
      <w:r>
        <w:rPr>
          <w:w w:val="105"/>
          <w:sz w:val="13"/>
        </w:rPr>
        <w:t>Patient Data Meta-</w:t>
      </w:r>
      <w:proofErr w:type="spellStart"/>
      <w:r>
        <w:rPr>
          <w:w w:val="105"/>
          <w:sz w:val="13"/>
        </w:rPr>
        <w:t>analysis.</w:t>
      </w:r>
      <w:r>
        <w:rPr>
          <w:i/>
          <w:w w:val="105"/>
          <w:sz w:val="13"/>
        </w:rPr>
        <w:t>SSRN</w:t>
      </w:r>
      <w:proofErr w:type="spellEnd"/>
      <w:r>
        <w:rPr>
          <w:i/>
          <w:w w:val="105"/>
          <w:sz w:val="13"/>
        </w:rPr>
        <w:t xml:space="preserve"> </w:t>
      </w:r>
      <w:r>
        <w:rPr>
          <w:w w:val="105"/>
          <w:sz w:val="13"/>
        </w:rPr>
        <w:t xml:space="preserve">2024; </w:t>
      </w:r>
      <w:hyperlink r:id="rId5">
        <w:r>
          <w:rPr>
            <w:w w:val="105"/>
            <w:sz w:val="13"/>
          </w:rPr>
          <w:t>https://papers.ssrn.com/</w:t>
        </w:r>
      </w:hyperlink>
      <w:r>
        <w:rPr>
          <w:spacing w:val="40"/>
          <w:w w:val="105"/>
          <w:sz w:val="13"/>
        </w:rPr>
        <w:t xml:space="preserve"> </w:t>
      </w:r>
      <w:hyperlink r:id="rId6">
        <w:r>
          <w:rPr>
            <w:spacing w:val="-2"/>
            <w:w w:val="105"/>
            <w:sz w:val="13"/>
          </w:rPr>
          <w:t>sol3/</w:t>
        </w:r>
        <w:proofErr w:type="spellStart"/>
        <w:r>
          <w:rPr>
            <w:spacing w:val="-2"/>
            <w:w w:val="105"/>
            <w:sz w:val="13"/>
          </w:rPr>
          <w:t>papers.cfm?abstract_id</w:t>
        </w:r>
        <w:proofErr w:type="spellEnd"/>
        <w:r>
          <w:rPr>
            <w:spacing w:val="-2"/>
            <w:w w:val="105"/>
            <w:sz w:val="13"/>
          </w:rPr>
          <w:t>=5005770</w:t>
        </w:r>
      </w:hyperlink>
    </w:p>
    <w:p w14:paraId="07B23F28" w14:textId="77777777" w:rsidR="0030139E" w:rsidRDefault="0030139E"/>
    <w:p w14:paraId="71A061F4" w14:textId="77777777" w:rsidR="00E41E6F" w:rsidRDefault="00E41E6F"/>
    <w:sectPr w:rsidR="00E41E6F" w:rsidSect="004B5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86DA3"/>
    <w:multiLevelType w:val="hybridMultilevel"/>
    <w:tmpl w:val="A47CAD90"/>
    <w:lvl w:ilvl="0" w:tplc="01E2B7FC">
      <w:start w:val="1"/>
      <w:numFmt w:val="decimal"/>
      <w:lvlText w:val="%1"/>
      <w:lvlJc w:val="left"/>
      <w:pPr>
        <w:ind w:left="467" w:hanging="270"/>
        <w:jc w:val="right"/>
      </w:pPr>
      <w:rPr>
        <w:rFonts w:ascii="Calibri" w:eastAsia="Calibri" w:hAnsi="Calibri" w:cs="Calibri" w:hint="default"/>
        <w:b w:val="0"/>
        <w:bCs w:val="0"/>
        <w:i w:val="0"/>
        <w:iCs w:val="0"/>
        <w:spacing w:val="0"/>
        <w:w w:val="118"/>
        <w:sz w:val="13"/>
        <w:szCs w:val="13"/>
        <w:lang w:val="en-US" w:eastAsia="en-US" w:bidi="ar-SA"/>
      </w:rPr>
    </w:lvl>
    <w:lvl w:ilvl="1" w:tplc="CDA6E342">
      <w:numFmt w:val="bullet"/>
      <w:lvlText w:val="•"/>
      <w:lvlJc w:val="left"/>
      <w:pPr>
        <w:ind w:left="847" w:hanging="270"/>
      </w:pPr>
      <w:rPr>
        <w:rFonts w:hint="default"/>
        <w:lang w:val="en-US" w:eastAsia="en-US" w:bidi="ar-SA"/>
      </w:rPr>
    </w:lvl>
    <w:lvl w:ilvl="2" w:tplc="1F963A80">
      <w:numFmt w:val="bullet"/>
      <w:lvlText w:val="•"/>
      <w:lvlJc w:val="left"/>
      <w:pPr>
        <w:ind w:left="1226" w:hanging="270"/>
      </w:pPr>
      <w:rPr>
        <w:rFonts w:hint="default"/>
        <w:lang w:val="en-US" w:eastAsia="en-US" w:bidi="ar-SA"/>
      </w:rPr>
    </w:lvl>
    <w:lvl w:ilvl="3" w:tplc="BAAE3734">
      <w:numFmt w:val="bullet"/>
      <w:lvlText w:val="•"/>
      <w:lvlJc w:val="left"/>
      <w:pPr>
        <w:ind w:left="1605" w:hanging="270"/>
      </w:pPr>
      <w:rPr>
        <w:rFonts w:hint="default"/>
        <w:lang w:val="en-US" w:eastAsia="en-US" w:bidi="ar-SA"/>
      </w:rPr>
    </w:lvl>
    <w:lvl w:ilvl="4" w:tplc="5030A2A4">
      <w:numFmt w:val="bullet"/>
      <w:lvlText w:val="•"/>
      <w:lvlJc w:val="left"/>
      <w:pPr>
        <w:ind w:left="1983" w:hanging="270"/>
      </w:pPr>
      <w:rPr>
        <w:rFonts w:hint="default"/>
        <w:lang w:val="en-US" w:eastAsia="en-US" w:bidi="ar-SA"/>
      </w:rPr>
    </w:lvl>
    <w:lvl w:ilvl="5" w:tplc="01047534">
      <w:numFmt w:val="bullet"/>
      <w:lvlText w:val="•"/>
      <w:lvlJc w:val="left"/>
      <w:pPr>
        <w:ind w:left="2362" w:hanging="270"/>
      </w:pPr>
      <w:rPr>
        <w:rFonts w:hint="default"/>
        <w:lang w:val="en-US" w:eastAsia="en-US" w:bidi="ar-SA"/>
      </w:rPr>
    </w:lvl>
    <w:lvl w:ilvl="6" w:tplc="C6124D9E">
      <w:numFmt w:val="bullet"/>
      <w:lvlText w:val="•"/>
      <w:lvlJc w:val="left"/>
      <w:pPr>
        <w:ind w:left="2741" w:hanging="270"/>
      </w:pPr>
      <w:rPr>
        <w:rFonts w:hint="default"/>
        <w:lang w:val="en-US" w:eastAsia="en-US" w:bidi="ar-SA"/>
      </w:rPr>
    </w:lvl>
    <w:lvl w:ilvl="7" w:tplc="1892DEC6">
      <w:numFmt w:val="bullet"/>
      <w:lvlText w:val="•"/>
      <w:lvlJc w:val="left"/>
      <w:pPr>
        <w:ind w:left="3120" w:hanging="270"/>
      </w:pPr>
      <w:rPr>
        <w:rFonts w:hint="default"/>
        <w:lang w:val="en-US" w:eastAsia="en-US" w:bidi="ar-SA"/>
      </w:rPr>
    </w:lvl>
    <w:lvl w:ilvl="8" w:tplc="EE4C8088">
      <w:numFmt w:val="bullet"/>
      <w:lvlText w:val="•"/>
      <w:lvlJc w:val="left"/>
      <w:pPr>
        <w:ind w:left="3498" w:hanging="270"/>
      </w:pPr>
      <w:rPr>
        <w:rFonts w:hint="default"/>
        <w:lang w:val="en-US" w:eastAsia="en-US" w:bidi="ar-SA"/>
      </w:rPr>
    </w:lvl>
  </w:abstractNum>
  <w:num w:numId="1" w16cid:durableId="186351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84F"/>
    <w:rsid w:val="000011F0"/>
    <w:rsid w:val="000013A7"/>
    <w:rsid w:val="0000163C"/>
    <w:rsid w:val="000016DD"/>
    <w:rsid w:val="000018C3"/>
    <w:rsid w:val="000027F3"/>
    <w:rsid w:val="0000442F"/>
    <w:rsid w:val="00005BBB"/>
    <w:rsid w:val="00005D66"/>
    <w:rsid w:val="00005DE2"/>
    <w:rsid w:val="000069B2"/>
    <w:rsid w:val="000069DF"/>
    <w:rsid w:val="00007301"/>
    <w:rsid w:val="00007762"/>
    <w:rsid w:val="0001110F"/>
    <w:rsid w:val="00011633"/>
    <w:rsid w:val="00011A4C"/>
    <w:rsid w:val="00011FA1"/>
    <w:rsid w:val="00012E15"/>
    <w:rsid w:val="000139E1"/>
    <w:rsid w:val="00013A0F"/>
    <w:rsid w:val="00013F3A"/>
    <w:rsid w:val="00016885"/>
    <w:rsid w:val="00020406"/>
    <w:rsid w:val="000221D4"/>
    <w:rsid w:val="000223D1"/>
    <w:rsid w:val="00023B82"/>
    <w:rsid w:val="00024258"/>
    <w:rsid w:val="00024456"/>
    <w:rsid w:val="000248A1"/>
    <w:rsid w:val="00024907"/>
    <w:rsid w:val="000265B5"/>
    <w:rsid w:val="00027AB9"/>
    <w:rsid w:val="00027C8C"/>
    <w:rsid w:val="000322E4"/>
    <w:rsid w:val="00032426"/>
    <w:rsid w:val="00032D0A"/>
    <w:rsid w:val="00034776"/>
    <w:rsid w:val="000347C6"/>
    <w:rsid w:val="00034F1B"/>
    <w:rsid w:val="000355DA"/>
    <w:rsid w:val="00035EB9"/>
    <w:rsid w:val="000376B0"/>
    <w:rsid w:val="000401EE"/>
    <w:rsid w:val="00040F8E"/>
    <w:rsid w:val="0004209A"/>
    <w:rsid w:val="000429F3"/>
    <w:rsid w:val="000429FC"/>
    <w:rsid w:val="00042EBF"/>
    <w:rsid w:val="00044206"/>
    <w:rsid w:val="000462D1"/>
    <w:rsid w:val="000475FD"/>
    <w:rsid w:val="000476C8"/>
    <w:rsid w:val="00047CF7"/>
    <w:rsid w:val="0005152C"/>
    <w:rsid w:val="000523A9"/>
    <w:rsid w:val="00052CC8"/>
    <w:rsid w:val="00052DE6"/>
    <w:rsid w:val="000530F5"/>
    <w:rsid w:val="000534FE"/>
    <w:rsid w:val="00053624"/>
    <w:rsid w:val="00053802"/>
    <w:rsid w:val="00055364"/>
    <w:rsid w:val="00057100"/>
    <w:rsid w:val="00060B5D"/>
    <w:rsid w:val="00061602"/>
    <w:rsid w:val="000620E8"/>
    <w:rsid w:val="000634D0"/>
    <w:rsid w:val="00064E3C"/>
    <w:rsid w:val="00065258"/>
    <w:rsid w:val="00066D0E"/>
    <w:rsid w:val="00067AF4"/>
    <w:rsid w:val="000700F1"/>
    <w:rsid w:val="000707F6"/>
    <w:rsid w:val="00070CC3"/>
    <w:rsid w:val="00075300"/>
    <w:rsid w:val="000756D8"/>
    <w:rsid w:val="000761E6"/>
    <w:rsid w:val="000766F0"/>
    <w:rsid w:val="00077C3B"/>
    <w:rsid w:val="00080D4B"/>
    <w:rsid w:val="00081F3B"/>
    <w:rsid w:val="00083948"/>
    <w:rsid w:val="00085504"/>
    <w:rsid w:val="000855EF"/>
    <w:rsid w:val="00087B89"/>
    <w:rsid w:val="00087FFE"/>
    <w:rsid w:val="0009007D"/>
    <w:rsid w:val="00091683"/>
    <w:rsid w:val="000928D0"/>
    <w:rsid w:val="00092FF9"/>
    <w:rsid w:val="0009322E"/>
    <w:rsid w:val="00095435"/>
    <w:rsid w:val="0009627F"/>
    <w:rsid w:val="000A1271"/>
    <w:rsid w:val="000A2A6A"/>
    <w:rsid w:val="000A3135"/>
    <w:rsid w:val="000A4FF9"/>
    <w:rsid w:val="000A5128"/>
    <w:rsid w:val="000A5356"/>
    <w:rsid w:val="000A69D6"/>
    <w:rsid w:val="000A6BE0"/>
    <w:rsid w:val="000B0C23"/>
    <w:rsid w:val="000B135A"/>
    <w:rsid w:val="000B1A2D"/>
    <w:rsid w:val="000B1D4F"/>
    <w:rsid w:val="000B2092"/>
    <w:rsid w:val="000B20AE"/>
    <w:rsid w:val="000B2113"/>
    <w:rsid w:val="000B2D2F"/>
    <w:rsid w:val="000B3FE8"/>
    <w:rsid w:val="000B4C0D"/>
    <w:rsid w:val="000B50F4"/>
    <w:rsid w:val="000B5862"/>
    <w:rsid w:val="000B5D9F"/>
    <w:rsid w:val="000C01AB"/>
    <w:rsid w:val="000C248B"/>
    <w:rsid w:val="000C2733"/>
    <w:rsid w:val="000C277D"/>
    <w:rsid w:val="000C4FA1"/>
    <w:rsid w:val="000C5D08"/>
    <w:rsid w:val="000C729F"/>
    <w:rsid w:val="000C7DEB"/>
    <w:rsid w:val="000C7E2A"/>
    <w:rsid w:val="000C7EFC"/>
    <w:rsid w:val="000C7F9E"/>
    <w:rsid w:val="000D1368"/>
    <w:rsid w:val="000D21EB"/>
    <w:rsid w:val="000D230B"/>
    <w:rsid w:val="000D2D11"/>
    <w:rsid w:val="000D6E45"/>
    <w:rsid w:val="000D7413"/>
    <w:rsid w:val="000D7B39"/>
    <w:rsid w:val="000E267C"/>
    <w:rsid w:val="000E478E"/>
    <w:rsid w:val="000E4B34"/>
    <w:rsid w:val="000E4C51"/>
    <w:rsid w:val="000E4CB7"/>
    <w:rsid w:val="000E6315"/>
    <w:rsid w:val="000F2181"/>
    <w:rsid w:val="000F48AE"/>
    <w:rsid w:val="000F4B89"/>
    <w:rsid w:val="000F5309"/>
    <w:rsid w:val="000F5DD5"/>
    <w:rsid w:val="000F6761"/>
    <w:rsid w:val="000F6BC4"/>
    <w:rsid w:val="001007CC"/>
    <w:rsid w:val="001009E1"/>
    <w:rsid w:val="00101FC6"/>
    <w:rsid w:val="001027EE"/>
    <w:rsid w:val="00102D3D"/>
    <w:rsid w:val="0010370B"/>
    <w:rsid w:val="00103BE2"/>
    <w:rsid w:val="00105345"/>
    <w:rsid w:val="00105F6B"/>
    <w:rsid w:val="0010610A"/>
    <w:rsid w:val="001078D2"/>
    <w:rsid w:val="00112DB3"/>
    <w:rsid w:val="0011467E"/>
    <w:rsid w:val="001146F9"/>
    <w:rsid w:val="00114F24"/>
    <w:rsid w:val="001155D9"/>
    <w:rsid w:val="0011563D"/>
    <w:rsid w:val="0011580C"/>
    <w:rsid w:val="00116839"/>
    <w:rsid w:val="001200B1"/>
    <w:rsid w:val="00120567"/>
    <w:rsid w:val="001209D0"/>
    <w:rsid w:val="0012123A"/>
    <w:rsid w:val="001221A3"/>
    <w:rsid w:val="00122686"/>
    <w:rsid w:val="001232B5"/>
    <w:rsid w:val="001245AC"/>
    <w:rsid w:val="00124666"/>
    <w:rsid w:val="001261ED"/>
    <w:rsid w:val="00127361"/>
    <w:rsid w:val="0012762F"/>
    <w:rsid w:val="001279CC"/>
    <w:rsid w:val="0013055B"/>
    <w:rsid w:val="001310C3"/>
    <w:rsid w:val="00131A6B"/>
    <w:rsid w:val="00131BFC"/>
    <w:rsid w:val="0013221E"/>
    <w:rsid w:val="00132C4C"/>
    <w:rsid w:val="00133673"/>
    <w:rsid w:val="00133D81"/>
    <w:rsid w:val="00134A92"/>
    <w:rsid w:val="001372E0"/>
    <w:rsid w:val="001375F8"/>
    <w:rsid w:val="00140947"/>
    <w:rsid w:val="00140E97"/>
    <w:rsid w:val="00141C12"/>
    <w:rsid w:val="00142321"/>
    <w:rsid w:val="00142603"/>
    <w:rsid w:val="0014456B"/>
    <w:rsid w:val="001458A4"/>
    <w:rsid w:val="00147655"/>
    <w:rsid w:val="00147871"/>
    <w:rsid w:val="00150375"/>
    <w:rsid w:val="00150578"/>
    <w:rsid w:val="001515CE"/>
    <w:rsid w:val="00151E28"/>
    <w:rsid w:val="00152E7C"/>
    <w:rsid w:val="001536C4"/>
    <w:rsid w:val="001542BA"/>
    <w:rsid w:val="0015737F"/>
    <w:rsid w:val="00160E3A"/>
    <w:rsid w:val="00160E9E"/>
    <w:rsid w:val="001616B5"/>
    <w:rsid w:val="00161ACE"/>
    <w:rsid w:val="001624EA"/>
    <w:rsid w:val="00162DB0"/>
    <w:rsid w:val="0016350D"/>
    <w:rsid w:val="00164566"/>
    <w:rsid w:val="001655F6"/>
    <w:rsid w:val="0016667E"/>
    <w:rsid w:val="00170222"/>
    <w:rsid w:val="00170B47"/>
    <w:rsid w:val="00171EDF"/>
    <w:rsid w:val="0017606B"/>
    <w:rsid w:val="00176158"/>
    <w:rsid w:val="00177A55"/>
    <w:rsid w:val="00180F5F"/>
    <w:rsid w:val="001823EE"/>
    <w:rsid w:val="00182B23"/>
    <w:rsid w:val="001833B9"/>
    <w:rsid w:val="00183B3A"/>
    <w:rsid w:val="00186ACD"/>
    <w:rsid w:val="001900D4"/>
    <w:rsid w:val="00193CBB"/>
    <w:rsid w:val="00194599"/>
    <w:rsid w:val="0019470F"/>
    <w:rsid w:val="00194969"/>
    <w:rsid w:val="0019632D"/>
    <w:rsid w:val="001964A7"/>
    <w:rsid w:val="001A0BBF"/>
    <w:rsid w:val="001A22F7"/>
    <w:rsid w:val="001A2812"/>
    <w:rsid w:val="001A29B1"/>
    <w:rsid w:val="001A4BFC"/>
    <w:rsid w:val="001A575B"/>
    <w:rsid w:val="001A62A5"/>
    <w:rsid w:val="001A75A9"/>
    <w:rsid w:val="001A7DEB"/>
    <w:rsid w:val="001B2622"/>
    <w:rsid w:val="001B2729"/>
    <w:rsid w:val="001B2AAA"/>
    <w:rsid w:val="001B38E2"/>
    <w:rsid w:val="001B41AD"/>
    <w:rsid w:val="001B493F"/>
    <w:rsid w:val="001B5B28"/>
    <w:rsid w:val="001B7D51"/>
    <w:rsid w:val="001C0CB4"/>
    <w:rsid w:val="001C0F1F"/>
    <w:rsid w:val="001C2A9A"/>
    <w:rsid w:val="001C5AC2"/>
    <w:rsid w:val="001C6DE4"/>
    <w:rsid w:val="001D4FBD"/>
    <w:rsid w:val="001D52C3"/>
    <w:rsid w:val="001D57DB"/>
    <w:rsid w:val="001D6106"/>
    <w:rsid w:val="001D7B78"/>
    <w:rsid w:val="001D7BD4"/>
    <w:rsid w:val="001E0118"/>
    <w:rsid w:val="001E0F4C"/>
    <w:rsid w:val="001E2004"/>
    <w:rsid w:val="001E39EC"/>
    <w:rsid w:val="001E4454"/>
    <w:rsid w:val="001E551B"/>
    <w:rsid w:val="001E5E18"/>
    <w:rsid w:val="001F2D7B"/>
    <w:rsid w:val="001F32DE"/>
    <w:rsid w:val="001F35DF"/>
    <w:rsid w:val="001F384F"/>
    <w:rsid w:val="001F5B97"/>
    <w:rsid w:val="001F5F17"/>
    <w:rsid w:val="001F5F42"/>
    <w:rsid w:val="001F622E"/>
    <w:rsid w:val="001F6509"/>
    <w:rsid w:val="001F6B35"/>
    <w:rsid w:val="001F77F8"/>
    <w:rsid w:val="001F78DA"/>
    <w:rsid w:val="001F7AA9"/>
    <w:rsid w:val="002003A0"/>
    <w:rsid w:val="00200423"/>
    <w:rsid w:val="002011D9"/>
    <w:rsid w:val="002014BE"/>
    <w:rsid w:val="00201C27"/>
    <w:rsid w:val="00203571"/>
    <w:rsid w:val="00203653"/>
    <w:rsid w:val="00204372"/>
    <w:rsid w:val="002043F8"/>
    <w:rsid w:val="0020716A"/>
    <w:rsid w:val="00210196"/>
    <w:rsid w:val="0021046F"/>
    <w:rsid w:val="00211180"/>
    <w:rsid w:val="002111CB"/>
    <w:rsid w:val="00211647"/>
    <w:rsid w:val="00211862"/>
    <w:rsid w:val="00211D78"/>
    <w:rsid w:val="002130E7"/>
    <w:rsid w:val="00213794"/>
    <w:rsid w:val="00213FBD"/>
    <w:rsid w:val="002145D2"/>
    <w:rsid w:val="00214D53"/>
    <w:rsid w:val="00215B35"/>
    <w:rsid w:val="00216998"/>
    <w:rsid w:val="002206FB"/>
    <w:rsid w:val="00220E0E"/>
    <w:rsid w:val="00220FEC"/>
    <w:rsid w:val="002242F4"/>
    <w:rsid w:val="0022462E"/>
    <w:rsid w:val="00225270"/>
    <w:rsid w:val="00227882"/>
    <w:rsid w:val="00230A1B"/>
    <w:rsid w:val="00230DE4"/>
    <w:rsid w:val="00231C4C"/>
    <w:rsid w:val="002322EC"/>
    <w:rsid w:val="00233D10"/>
    <w:rsid w:val="00233D2B"/>
    <w:rsid w:val="00235D1D"/>
    <w:rsid w:val="002363E2"/>
    <w:rsid w:val="0024012A"/>
    <w:rsid w:val="00241AFB"/>
    <w:rsid w:val="002442D0"/>
    <w:rsid w:val="00245451"/>
    <w:rsid w:val="00246DCC"/>
    <w:rsid w:val="00247F12"/>
    <w:rsid w:val="002503D2"/>
    <w:rsid w:val="0025151A"/>
    <w:rsid w:val="00253249"/>
    <w:rsid w:val="00255B73"/>
    <w:rsid w:val="00260B3E"/>
    <w:rsid w:val="00261632"/>
    <w:rsid w:val="00263143"/>
    <w:rsid w:val="00263A2E"/>
    <w:rsid w:val="002641A5"/>
    <w:rsid w:val="002650CB"/>
    <w:rsid w:val="00265541"/>
    <w:rsid w:val="00266077"/>
    <w:rsid w:val="002678C5"/>
    <w:rsid w:val="00267FB7"/>
    <w:rsid w:val="00270B14"/>
    <w:rsid w:val="00271375"/>
    <w:rsid w:val="00271894"/>
    <w:rsid w:val="00273870"/>
    <w:rsid w:val="002740C2"/>
    <w:rsid w:val="00274B3A"/>
    <w:rsid w:val="0027508A"/>
    <w:rsid w:val="002755B9"/>
    <w:rsid w:val="00275F40"/>
    <w:rsid w:val="00276D51"/>
    <w:rsid w:val="00277677"/>
    <w:rsid w:val="0028124B"/>
    <w:rsid w:val="002841C6"/>
    <w:rsid w:val="0028480C"/>
    <w:rsid w:val="00286827"/>
    <w:rsid w:val="0029245B"/>
    <w:rsid w:val="00292558"/>
    <w:rsid w:val="0029270A"/>
    <w:rsid w:val="00292AC1"/>
    <w:rsid w:val="002935B2"/>
    <w:rsid w:val="00293773"/>
    <w:rsid w:val="00297EF9"/>
    <w:rsid w:val="002A0270"/>
    <w:rsid w:val="002A06B7"/>
    <w:rsid w:val="002A17E5"/>
    <w:rsid w:val="002A23D5"/>
    <w:rsid w:val="002A3DCF"/>
    <w:rsid w:val="002A550F"/>
    <w:rsid w:val="002A5F04"/>
    <w:rsid w:val="002A6B99"/>
    <w:rsid w:val="002A7360"/>
    <w:rsid w:val="002A755E"/>
    <w:rsid w:val="002A778E"/>
    <w:rsid w:val="002B1EFB"/>
    <w:rsid w:val="002B260E"/>
    <w:rsid w:val="002B2AAD"/>
    <w:rsid w:val="002B2D87"/>
    <w:rsid w:val="002B380B"/>
    <w:rsid w:val="002B3853"/>
    <w:rsid w:val="002B4589"/>
    <w:rsid w:val="002B49F5"/>
    <w:rsid w:val="002B4B09"/>
    <w:rsid w:val="002B7597"/>
    <w:rsid w:val="002B7BFF"/>
    <w:rsid w:val="002C027E"/>
    <w:rsid w:val="002C0B79"/>
    <w:rsid w:val="002C14AB"/>
    <w:rsid w:val="002C2147"/>
    <w:rsid w:val="002C21C1"/>
    <w:rsid w:val="002C390D"/>
    <w:rsid w:val="002C4130"/>
    <w:rsid w:val="002C4AF3"/>
    <w:rsid w:val="002C52DE"/>
    <w:rsid w:val="002C66B3"/>
    <w:rsid w:val="002C6D08"/>
    <w:rsid w:val="002C70EA"/>
    <w:rsid w:val="002C7428"/>
    <w:rsid w:val="002C7752"/>
    <w:rsid w:val="002D1616"/>
    <w:rsid w:val="002D1F5F"/>
    <w:rsid w:val="002D2007"/>
    <w:rsid w:val="002D3705"/>
    <w:rsid w:val="002D380B"/>
    <w:rsid w:val="002D63EF"/>
    <w:rsid w:val="002D7313"/>
    <w:rsid w:val="002E0BA0"/>
    <w:rsid w:val="002E4365"/>
    <w:rsid w:val="002E4A7F"/>
    <w:rsid w:val="002E5387"/>
    <w:rsid w:val="002E6C8C"/>
    <w:rsid w:val="002F0E57"/>
    <w:rsid w:val="002F13CD"/>
    <w:rsid w:val="002F1991"/>
    <w:rsid w:val="002F1B1A"/>
    <w:rsid w:val="002F320A"/>
    <w:rsid w:val="002F3800"/>
    <w:rsid w:val="002F3DAF"/>
    <w:rsid w:val="002F433D"/>
    <w:rsid w:val="002F5636"/>
    <w:rsid w:val="002F5990"/>
    <w:rsid w:val="002F5EC5"/>
    <w:rsid w:val="002F64C7"/>
    <w:rsid w:val="0030139E"/>
    <w:rsid w:val="00301D48"/>
    <w:rsid w:val="00302107"/>
    <w:rsid w:val="00302542"/>
    <w:rsid w:val="00302B2F"/>
    <w:rsid w:val="003034D6"/>
    <w:rsid w:val="0030392C"/>
    <w:rsid w:val="00304157"/>
    <w:rsid w:val="00304303"/>
    <w:rsid w:val="00304366"/>
    <w:rsid w:val="0030455F"/>
    <w:rsid w:val="00304B70"/>
    <w:rsid w:val="0030718E"/>
    <w:rsid w:val="00307AB9"/>
    <w:rsid w:val="0031134D"/>
    <w:rsid w:val="003123CC"/>
    <w:rsid w:val="00313DBB"/>
    <w:rsid w:val="0031499A"/>
    <w:rsid w:val="00314ED3"/>
    <w:rsid w:val="00315DD3"/>
    <w:rsid w:val="003168BD"/>
    <w:rsid w:val="00317CE9"/>
    <w:rsid w:val="0032065D"/>
    <w:rsid w:val="003233B0"/>
    <w:rsid w:val="00325624"/>
    <w:rsid w:val="00325DC7"/>
    <w:rsid w:val="003260DA"/>
    <w:rsid w:val="00327E52"/>
    <w:rsid w:val="003302C4"/>
    <w:rsid w:val="00331282"/>
    <w:rsid w:val="00333E62"/>
    <w:rsid w:val="00334D71"/>
    <w:rsid w:val="00334EAF"/>
    <w:rsid w:val="0034077E"/>
    <w:rsid w:val="00340A76"/>
    <w:rsid w:val="00341176"/>
    <w:rsid w:val="0034215C"/>
    <w:rsid w:val="00342BF3"/>
    <w:rsid w:val="003447B5"/>
    <w:rsid w:val="00345F0B"/>
    <w:rsid w:val="003478CF"/>
    <w:rsid w:val="0035012E"/>
    <w:rsid w:val="00350957"/>
    <w:rsid w:val="00352506"/>
    <w:rsid w:val="003531CD"/>
    <w:rsid w:val="00353DDD"/>
    <w:rsid w:val="00353E39"/>
    <w:rsid w:val="003541A7"/>
    <w:rsid w:val="00354A1C"/>
    <w:rsid w:val="00354C0D"/>
    <w:rsid w:val="003557BF"/>
    <w:rsid w:val="0035619E"/>
    <w:rsid w:val="0035655B"/>
    <w:rsid w:val="0036153D"/>
    <w:rsid w:val="003627A3"/>
    <w:rsid w:val="003630CA"/>
    <w:rsid w:val="00363E98"/>
    <w:rsid w:val="003640FF"/>
    <w:rsid w:val="0036421D"/>
    <w:rsid w:val="00365E88"/>
    <w:rsid w:val="00366A21"/>
    <w:rsid w:val="00366DF0"/>
    <w:rsid w:val="0036718D"/>
    <w:rsid w:val="00370674"/>
    <w:rsid w:val="00370DC5"/>
    <w:rsid w:val="00373CA2"/>
    <w:rsid w:val="00377380"/>
    <w:rsid w:val="00377FC1"/>
    <w:rsid w:val="003802F2"/>
    <w:rsid w:val="003825BC"/>
    <w:rsid w:val="00382EDC"/>
    <w:rsid w:val="003852AA"/>
    <w:rsid w:val="00385F5C"/>
    <w:rsid w:val="00386A3A"/>
    <w:rsid w:val="00386A7F"/>
    <w:rsid w:val="003870BB"/>
    <w:rsid w:val="00390047"/>
    <w:rsid w:val="00390A61"/>
    <w:rsid w:val="00391CD2"/>
    <w:rsid w:val="00393BD4"/>
    <w:rsid w:val="00393C47"/>
    <w:rsid w:val="00393FDA"/>
    <w:rsid w:val="00394B4B"/>
    <w:rsid w:val="003951CD"/>
    <w:rsid w:val="00396A54"/>
    <w:rsid w:val="003A1575"/>
    <w:rsid w:val="003A3F58"/>
    <w:rsid w:val="003A5B44"/>
    <w:rsid w:val="003A61B4"/>
    <w:rsid w:val="003A69A1"/>
    <w:rsid w:val="003A730A"/>
    <w:rsid w:val="003A74BA"/>
    <w:rsid w:val="003A7F5E"/>
    <w:rsid w:val="003B2410"/>
    <w:rsid w:val="003B4593"/>
    <w:rsid w:val="003B4813"/>
    <w:rsid w:val="003B4CFB"/>
    <w:rsid w:val="003B5A8E"/>
    <w:rsid w:val="003B63A1"/>
    <w:rsid w:val="003B67EB"/>
    <w:rsid w:val="003B7AC2"/>
    <w:rsid w:val="003C4197"/>
    <w:rsid w:val="003C4947"/>
    <w:rsid w:val="003C65FA"/>
    <w:rsid w:val="003D0386"/>
    <w:rsid w:val="003D0876"/>
    <w:rsid w:val="003D0CCD"/>
    <w:rsid w:val="003D1A6F"/>
    <w:rsid w:val="003D20DF"/>
    <w:rsid w:val="003D33BF"/>
    <w:rsid w:val="003D3D0B"/>
    <w:rsid w:val="003D556C"/>
    <w:rsid w:val="003D6333"/>
    <w:rsid w:val="003D7AEC"/>
    <w:rsid w:val="003D7D60"/>
    <w:rsid w:val="003E070F"/>
    <w:rsid w:val="003E1D9D"/>
    <w:rsid w:val="003E2123"/>
    <w:rsid w:val="003E2AD2"/>
    <w:rsid w:val="003E3096"/>
    <w:rsid w:val="003E3EF1"/>
    <w:rsid w:val="003E4C95"/>
    <w:rsid w:val="003E5457"/>
    <w:rsid w:val="003E5C12"/>
    <w:rsid w:val="003E609A"/>
    <w:rsid w:val="003E6113"/>
    <w:rsid w:val="003E74AF"/>
    <w:rsid w:val="003E7CD3"/>
    <w:rsid w:val="003E7E6B"/>
    <w:rsid w:val="003F23AE"/>
    <w:rsid w:val="003F2CFC"/>
    <w:rsid w:val="003F4D21"/>
    <w:rsid w:val="003F6312"/>
    <w:rsid w:val="003F6BEE"/>
    <w:rsid w:val="003F6C4C"/>
    <w:rsid w:val="003F7A8A"/>
    <w:rsid w:val="00400C91"/>
    <w:rsid w:val="00400DC3"/>
    <w:rsid w:val="00401790"/>
    <w:rsid w:val="004025BF"/>
    <w:rsid w:val="00403F1A"/>
    <w:rsid w:val="004064B0"/>
    <w:rsid w:val="004068D6"/>
    <w:rsid w:val="00411A60"/>
    <w:rsid w:val="00412BAE"/>
    <w:rsid w:val="0041317F"/>
    <w:rsid w:val="004177AE"/>
    <w:rsid w:val="00420140"/>
    <w:rsid w:val="00420FB2"/>
    <w:rsid w:val="00421700"/>
    <w:rsid w:val="004231E3"/>
    <w:rsid w:val="004232AF"/>
    <w:rsid w:val="004239D3"/>
    <w:rsid w:val="0042543D"/>
    <w:rsid w:val="004267F2"/>
    <w:rsid w:val="004273D7"/>
    <w:rsid w:val="0042796F"/>
    <w:rsid w:val="00427D8D"/>
    <w:rsid w:val="00431D49"/>
    <w:rsid w:val="00431F44"/>
    <w:rsid w:val="00432752"/>
    <w:rsid w:val="0043353D"/>
    <w:rsid w:val="004336DF"/>
    <w:rsid w:val="00435E88"/>
    <w:rsid w:val="00436BC0"/>
    <w:rsid w:val="00436C86"/>
    <w:rsid w:val="00436F36"/>
    <w:rsid w:val="0043763A"/>
    <w:rsid w:val="00437932"/>
    <w:rsid w:val="00437B45"/>
    <w:rsid w:val="00437E3F"/>
    <w:rsid w:val="00437FEA"/>
    <w:rsid w:val="00440FB1"/>
    <w:rsid w:val="00441840"/>
    <w:rsid w:val="00441F9F"/>
    <w:rsid w:val="0044256E"/>
    <w:rsid w:val="004433FF"/>
    <w:rsid w:val="0044345B"/>
    <w:rsid w:val="00444A17"/>
    <w:rsid w:val="004462DB"/>
    <w:rsid w:val="004466A2"/>
    <w:rsid w:val="004518D9"/>
    <w:rsid w:val="004524DB"/>
    <w:rsid w:val="0045413D"/>
    <w:rsid w:val="004542F5"/>
    <w:rsid w:val="004549F9"/>
    <w:rsid w:val="00454BFB"/>
    <w:rsid w:val="00460379"/>
    <w:rsid w:val="0046065D"/>
    <w:rsid w:val="0046100B"/>
    <w:rsid w:val="00461CFB"/>
    <w:rsid w:val="00463330"/>
    <w:rsid w:val="00463D2A"/>
    <w:rsid w:val="00464759"/>
    <w:rsid w:val="004651E0"/>
    <w:rsid w:val="00465E61"/>
    <w:rsid w:val="00466114"/>
    <w:rsid w:val="004665AB"/>
    <w:rsid w:val="004670D8"/>
    <w:rsid w:val="00470FC5"/>
    <w:rsid w:val="004723A8"/>
    <w:rsid w:val="004729A3"/>
    <w:rsid w:val="00472BC4"/>
    <w:rsid w:val="00473B2E"/>
    <w:rsid w:val="00474EBE"/>
    <w:rsid w:val="00474FAB"/>
    <w:rsid w:val="004757B0"/>
    <w:rsid w:val="0047624D"/>
    <w:rsid w:val="00477365"/>
    <w:rsid w:val="00477D4C"/>
    <w:rsid w:val="00477F35"/>
    <w:rsid w:val="00480262"/>
    <w:rsid w:val="0048098A"/>
    <w:rsid w:val="00481151"/>
    <w:rsid w:val="00481529"/>
    <w:rsid w:val="00481FD6"/>
    <w:rsid w:val="00482BFE"/>
    <w:rsid w:val="004844F4"/>
    <w:rsid w:val="004848DA"/>
    <w:rsid w:val="004853CC"/>
    <w:rsid w:val="00485522"/>
    <w:rsid w:val="004856AF"/>
    <w:rsid w:val="004859B3"/>
    <w:rsid w:val="00490317"/>
    <w:rsid w:val="004915CE"/>
    <w:rsid w:val="00491C50"/>
    <w:rsid w:val="00491CBC"/>
    <w:rsid w:val="0049260D"/>
    <w:rsid w:val="004937B8"/>
    <w:rsid w:val="00494879"/>
    <w:rsid w:val="004969C0"/>
    <w:rsid w:val="00497773"/>
    <w:rsid w:val="00497899"/>
    <w:rsid w:val="0049799A"/>
    <w:rsid w:val="004A0FBE"/>
    <w:rsid w:val="004A10A0"/>
    <w:rsid w:val="004A2455"/>
    <w:rsid w:val="004A28FA"/>
    <w:rsid w:val="004A3C01"/>
    <w:rsid w:val="004A3CFD"/>
    <w:rsid w:val="004A4898"/>
    <w:rsid w:val="004A60E4"/>
    <w:rsid w:val="004A7DFD"/>
    <w:rsid w:val="004B0626"/>
    <w:rsid w:val="004B06C9"/>
    <w:rsid w:val="004B1F7E"/>
    <w:rsid w:val="004B29C1"/>
    <w:rsid w:val="004B2E0F"/>
    <w:rsid w:val="004B5129"/>
    <w:rsid w:val="004B5229"/>
    <w:rsid w:val="004C25FF"/>
    <w:rsid w:val="004C3B15"/>
    <w:rsid w:val="004C41AF"/>
    <w:rsid w:val="004C4894"/>
    <w:rsid w:val="004C5102"/>
    <w:rsid w:val="004C5172"/>
    <w:rsid w:val="004C5AAD"/>
    <w:rsid w:val="004C60A1"/>
    <w:rsid w:val="004C6F00"/>
    <w:rsid w:val="004D11BB"/>
    <w:rsid w:val="004D16B3"/>
    <w:rsid w:val="004D2536"/>
    <w:rsid w:val="004D28AD"/>
    <w:rsid w:val="004D379D"/>
    <w:rsid w:val="004D3A73"/>
    <w:rsid w:val="004D45FA"/>
    <w:rsid w:val="004D5259"/>
    <w:rsid w:val="004E00DE"/>
    <w:rsid w:val="004E0C8B"/>
    <w:rsid w:val="004E1836"/>
    <w:rsid w:val="004E387F"/>
    <w:rsid w:val="004E3B96"/>
    <w:rsid w:val="004E3E4F"/>
    <w:rsid w:val="004E46EE"/>
    <w:rsid w:val="004E76AE"/>
    <w:rsid w:val="004F07B3"/>
    <w:rsid w:val="004F13A0"/>
    <w:rsid w:val="004F1701"/>
    <w:rsid w:val="004F375D"/>
    <w:rsid w:val="004F4020"/>
    <w:rsid w:val="004F52F1"/>
    <w:rsid w:val="00500DD3"/>
    <w:rsid w:val="00501823"/>
    <w:rsid w:val="00501906"/>
    <w:rsid w:val="005023E5"/>
    <w:rsid w:val="00502ED7"/>
    <w:rsid w:val="00503E4C"/>
    <w:rsid w:val="005053D5"/>
    <w:rsid w:val="005067F3"/>
    <w:rsid w:val="005068E1"/>
    <w:rsid w:val="00506B85"/>
    <w:rsid w:val="00507024"/>
    <w:rsid w:val="0051045B"/>
    <w:rsid w:val="005114D0"/>
    <w:rsid w:val="005115E8"/>
    <w:rsid w:val="00512C65"/>
    <w:rsid w:val="00514BDF"/>
    <w:rsid w:val="0051584A"/>
    <w:rsid w:val="00516F2D"/>
    <w:rsid w:val="0052400E"/>
    <w:rsid w:val="005243B1"/>
    <w:rsid w:val="005261A1"/>
    <w:rsid w:val="00526960"/>
    <w:rsid w:val="005308B8"/>
    <w:rsid w:val="00531D41"/>
    <w:rsid w:val="00534A72"/>
    <w:rsid w:val="00534AB2"/>
    <w:rsid w:val="00536997"/>
    <w:rsid w:val="005369C5"/>
    <w:rsid w:val="00536A14"/>
    <w:rsid w:val="00536D48"/>
    <w:rsid w:val="0053702F"/>
    <w:rsid w:val="00540449"/>
    <w:rsid w:val="00541BC9"/>
    <w:rsid w:val="0054314F"/>
    <w:rsid w:val="00543FD6"/>
    <w:rsid w:val="00544202"/>
    <w:rsid w:val="005469E4"/>
    <w:rsid w:val="00547390"/>
    <w:rsid w:val="0054762C"/>
    <w:rsid w:val="00547BE8"/>
    <w:rsid w:val="00547D19"/>
    <w:rsid w:val="005507AE"/>
    <w:rsid w:val="00550D53"/>
    <w:rsid w:val="00552A49"/>
    <w:rsid w:val="00553FC7"/>
    <w:rsid w:val="00554347"/>
    <w:rsid w:val="005549AC"/>
    <w:rsid w:val="0055611D"/>
    <w:rsid w:val="00557012"/>
    <w:rsid w:val="00557204"/>
    <w:rsid w:val="00557763"/>
    <w:rsid w:val="005625D2"/>
    <w:rsid w:val="0056376C"/>
    <w:rsid w:val="0056406A"/>
    <w:rsid w:val="005653A0"/>
    <w:rsid w:val="00566790"/>
    <w:rsid w:val="00567072"/>
    <w:rsid w:val="005670DB"/>
    <w:rsid w:val="00567DCE"/>
    <w:rsid w:val="005700B7"/>
    <w:rsid w:val="00570294"/>
    <w:rsid w:val="00570755"/>
    <w:rsid w:val="00571B62"/>
    <w:rsid w:val="005722A2"/>
    <w:rsid w:val="00572514"/>
    <w:rsid w:val="00573510"/>
    <w:rsid w:val="00576A21"/>
    <w:rsid w:val="00577800"/>
    <w:rsid w:val="00577E8D"/>
    <w:rsid w:val="005806DF"/>
    <w:rsid w:val="0058534B"/>
    <w:rsid w:val="00587364"/>
    <w:rsid w:val="00590F7D"/>
    <w:rsid w:val="00590FFB"/>
    <w:rsid w:val="00592DB5"/>
    <w:rsid w:val="005952D0"/>
    <w:rsid w:val="00597735"/>
    <w:rsid w:val="005A047F"/>
    <w:rsid w:val="005A12EF"/>
    <w:rsid w:val="005A2728"/>
    <w:rsid w:val="005A3029"/>
    <w:rsid w:val="005A31CE"/>
    <w:rsid w:val="005A3F9C"/>
    <w:rsid w:val="005A56A9"/>
    <w:rsid w:val="005A5A3F"/>
    <w:rsid w:val="005A5A9C"/>
    <w:rsid w:val="005A6391"/>
    <w:rsid w:val="005A7E45"/>
    <w:rsid w:val="005B0114"/>
    <w:rsid w:val="005B094F"/>
    <w:rsid w:val="005B3C4C"/>
    <w:rsid w:val="005B3F71"/>
    <w:rsid w:val="005B41A9"/>
    <w:rsid w:val="005C0DC3"/>
    <w:rsid w:val="005C13E3"/>
    <w:rsid w:val="005C1620"/>
    <w:rsid w:val="005C1A25"/>
    <w:rsid w:val="005C2CD0"/>
    <w:rsid w:val="005C3504"/>
    <w:rsid w:val="005C4C93"/>
    <w:rsid w:val="005C4EA4"/>
    <w:rsid w:val="005C4F7D"/>
    <w:rsid w:val="005C6535"/>
    <w:rsid w:val="005C74DA"/>
    <w:rsid w:val="005C754B"/>
    <w:rsid w:val="005C7FD5"/>
    <w:rsid w:val="005D0454"/>
    <w:rsid w:val="005D0DBE"/>
    <w:rsid w:val="005D14C2"/>
    <w:rsid w:val="005D16FA"/>
    <w:rsid w:val="005D218D"/>
    <w:rsid w:val="005D3B72"/>
    <w:rsid w:val="005D4B43"/>
    <w:rsid w:val="005D5D71"/>
    <w:rsid w:val="005D7093"/>
    <w:rsid w:val="005E1F52"/>
    <w:rsid w:val="005E2569"/>
    <w:rsid w:val="005E40C2"/>
    <w:rsid w:val="005E4437"/>
    <w:rsid w:val="005E4F29"/>
    <w:rsid w:val="005E5CED"/>
    <w:rsid w:val="005E6F4D"/>
    <w:rsid w:val="005E7247"/>
    <w:rsid w:val="005F0420"/>
    <w:rsid w:val="005F0BF0"/>
    <w:rsid w:val="005F150F"/>
    <w:rsid w:val="005F26F1"/>
    <w:rsid w:val="005F29B0"/>
    <w:rsid w:val="005F3F5F"/>
    <w:rsid w:val="005F68C5"/>
    <w:rsid w:val="005F7173"/>
    <w:rsid w:val="005F756B"/>
    <w:rsid w:val="005F7F83"/>
    <w:rsid w:val="00600B2C"/>
    <w:rsid w:val="00603F8B"/>
    <w:rsid w:val="00604618"/>
    <w:rsid w:val="00604BAD"/>
    <w:rsid w:val="00604C21"/>
    <w:rsid w:val="00604D40"/>
    <w:rsid w:val="006051AF"/>
    <w:rsid w:val="00605436"/>
    <w:rsid w:val="006075D4"/>
    <w:rsid w:val="0061068C"/>
    <w:rsid w:val="00610703"/>
    <w:rsid w:val="006116F6"/>
    <w:rsid w:val="00612F3F"/>
    <w:rsid w:val="00613944"/>
    <w:rsid w:val="00614451"/>
    <w:rsid w:val="00614AA5"/>
    <w:rsid w:val="006159B4"/>
    <w:rsid w:val="00615D7F"/>
    <w:rsid w:val="006174BC"/>
    <w:rsid w:val="00617BB3"/>
    <w:rsid w:val="0062002D"/>
    <w:rsid w:val="00620687"/>
    <w:rsid w:val="0062086C"/>
    <w:rsid w:val="0062123F"/>
    <w:rsid w:val="00623010"/>
    <w:rsid w:val="0062394F"/>
    <w:rsid w:val="00623C74"/>
    <w:rsid w:val="00624937"/>
    <w:rsid w:val="00625FD7"/>
    <w:rsid w:val="00626DBD"/>
    <w:rsid w:val="00631174"/>
    <w:rsid w:val="00631DC3"/>
    <w:rsid w:val="00631DD2"/>
    <w:rsid w:val="00631F08"/>
    <w:rsid w:val="00632263"/>
    <w:rsid w:val="0063460C"/>
    <w:rsid w:val="00635736"/>
    <w:rsid w:val="00635E99"/>
    <w:rsid w:val="00641E40"/>
    <w:rsid w:val="0064286C"/>
    <w:rsid w:val="00646429"/>
    <w:rsid w:val="0064684B"/>
    <w:rsid w:val="00646A8A"/>
    <w:rsid w:val="00646D21"/>
    <w:rsid w:val="00647605"/>
    <w:rsid w:val="00650638"/>
    <w:rsid w:val="00650A6B"/>
    <w:rsid w:val="0065183A"/>
    <w:rsid w:val="00651902"/>
    <w:rsid w:val="00653F4F"/>
    <w:rsid w:val="006541D0"/>
    <w:rsid w:val="00655AF6"/>
    <w:rsid w:val="00656932"/>
    <w:rsid w:val="00657869"/>
    <w:rsid w:val="006578B5"/>
    <w:rsid w:val="00657D8C"/>
    <w:rsid w:val="006612BD"/>
    <w:rsid w:val="00661CC1"/>
    <w:rsid w:val="006620A8"/>
    <w:rsid w:val="00663A66"/>
    <w:rsid w:val="00663A9D"/>
    <w:rsid w:val="00664E27"/>
    <w:rsid w:val="00666375"/>
    <w:rsid w:val="006666F9"/>
    <w:rsid w:val="00666C01"/>
    <w:rsid w:val="0066704F"/>
    <w:rsid w:val="00667967"/>
    <w:rsid w:val="00667B60"/>
    <w:rsid w:val="00671FBE"/>
    <w:rsid w:val="006722E6"/>
    <w:rsid w:val="00673646"/>
    <w:rsid w:val="00673D3E"/>
    <w:rsid w:val="0067460F"/>
    <w:rsid w:val="00676F35"/>
    <w:rsid w:val="00677662"/>
    <w:rsid w:val="00682654"/>
    <w:rsid w:val="00683015"/>
    <w:rsid w:val="00683E4F"/>
    <w:rsid w:val="0068718A"/>
    <w:rsid w:val="00687EFC"/>
    <w:rsid w:val="006904F0"/>
    <w:rsid w:val="00690969"/>
    <w:rsid w:val="006923A7"/>
    <w:rsid w:val="006935A6"/>
    <w:rsid w:val="00693CFA"/>
    <w:rsid w:val="006947A3"/>
    <w:rsid w:val="0069485B"/>
    <w:rsid w:val="00695F93"/>
    <w:rsid w:val="00696C62"/>
    <w:rsid w:val="00696C72"/>
    <w:rsid w:val="00696DE5"/>
    <w:rsid w:val="006974CD"/>
    <w:rsid w:val="006977A8"/>
    <w:rsid w:val="00697DEB"/>
    <w:rsid w:val="006A084B"/>
    <w:rsid w:val="006A5623"/>
    <w:rsid w:val="006A5893"/>
    <w:rsid w:val="006A5B06"/>
    <w:rsid w:val="006A6A47"/>
    <w:rsid w:val="006A6CE6"/>
    <w:rsid w:val="006A6D10"/>
    <w:rsid w:val="006B11CB"/>
    <w:rsid w:val="006B187A"/>
    <w:rsid w:val="006B2BEE"/>
    <w:rsid w:val="006B4E05"/>
    <w:rsid w:val="006B5735"/>
    <w:rsid w:val="006B5794"/>
    <w:rsid w:val="006B5B2B"/>
    <w:rsid w:val="006B7970"/>
    <w:rsid w:val="006C1066"/>
    <w:rsid w:val="006C1394"/>
    <w:rsid w:val="006C1395"/>
    <w:rsid w:val="006C2077"/>
    <w:rsid w:val="006C25AC"/>
    <w:rsid w:val="006C3A88"/>
    <w:rsid w:val="006C6DAD"/>
    <w:rsid w:val="006C7213"/>
    <w:rsid w:val="006C72D8"/>
    <w:rsid w:val="006D0BCD"/>
    <w:rsid w:val="006D0C91"/>
    <w:rsid w:val="006D46B2"/>
    <w:rsid w:val="006D4EA5"/>
    <w:rsid w:val="006D5E5D"/>
    <w:rsid w:val="006D60BA"/>
    <w:rsid w:val="006D6FEB"/>
    <w:rsid w:val="006D7ABB"/>
    <w:rsid w:val="006E0158"/>
    <w:rsid w:val="006E1463"/>
    <w:rsid w:val="006E23E3"/>
    <w:rsid w:val="006E2A4C"/>
    <w:rsid w:val="006E2EC2"/>
    <w:rsid w:val="006E3517"/>
    <w:rsid w:val="006E4E76"/>
    <w:rsid w:val="006E5A43"/>
    <w:rsid w:val="006E70C3"/>
    <w:rsid w:val="006E7D2F"/>
    <w:rsid w:val="006E7D84"/>
    <w:rsid w:val="006E7DDB"/>
    <w:rsid w:val="006F03BB"/>
    <w:rsid w:val="006F083A"/>
    <w:rsid w:val="006F08CB"/>
    <w:rsid w:val="006F110A"/>
    <w:rsid w:val="006F1549"/>
    <w:rsid w:val="006F341C"/>
    <w:rsid w:val="006F4665"/>
    <w:rsid w:val="006F4A87"/>
    <w:rsid w:val="006F79B2"/>
    <w:rsid w:val="00703864"/>
    <w:rsid w:val="00704A2B"/>
    <w:rsid w:val="00705377"/>
    <w:rsid w:val="00712DA0"/>
    <w:rsid w:val="0071379C"/>
    <w:rsid w:val="00715806"/>
    <w:rsid w:val="007163FC"/>
    <w:rsid w:val="00721BBB"/>
    <w:rsid w:val="007223E8"/>
    <w:rsid w:val="007228A9"/>
    <w:rsid w:val="00726AEC"/>
    <w:rsid w:val="00730049"/>
    <w:rsid w:val="00730109"/>
    <w:rsid w:val="00734B57"/>
    <w:rsid w:val="00734DFE"/>
    <w:rsid w:val="00735462"/>
    <w:rsid w:val="00735FB3"/>
    <w:rsid w:val="007366A2"/>
    <w:rsid w:val="00736DF0"/>
    <w:rsid w:val="00740B28"/>
    <w:rsid w:val="00742486"/>
    <w:rsid w:val="007430C4"/>
    <w:rsid w:val="00744300"/>
    <w:rsid w:val="00744333"/>
    <w:rsid w:val="00744511"/>
    <w:rsid w:val="007450E8"/>
    <w:rsid w:val="00745C58"/>
    <w:rsid w:val="00746176"/>
    <w:rsid w:val="00746312"/>
    <w:rsid w:val="0074680A"/>
    <w:rsid w:val="0074697B"/>
    <w:rsid w:val="00750C41"/>
    <w:rsid w:val="00753F10"/>
    <w:rsid w:val="0075590E"/>
    <w:rsid w:val="0075622C"/>
    <w:rsid w:val="0075694E"/>
    <w:rsid w:val="007608DE"/>
    <w:rsid w:val="00762EB9"/>
    <w:rsid w:val="0076619F"/>
    <w:rsid w:val="00766A67"/>
    <w:rsid w:val="007706CB"/>
    <w:rsid w:val="00772137"/>
    <w:rsid w:val="007722B0"/>
    <w:rsid w:val="00775A58"/>
    <w:rsid w:val="00775DDF"/>
    <w:rsid w:val="00776483"/>
    <w:rsid w:val="007764FE"/>
    <w:rsid w:val="00777080"/>
    <w:rsid w:val="00781326"/>
    <w:rsid w:val="007816B1"/>
    <w:rsid w:val="00782F70"/>
    <w:rsid w:val="00783B2B"/>
    <w:rsid w:val="00784283"/>
    <w:rsid w:val="007903BD"/>
    <w:rsid w:val="007908B1"/>
    <w:rsid w:val="00792075"/>
    <w:rsid w:val="007928F5"/>
    <w:rsid w:val="00794249"/>
    <w:rsid w:val="00797A53"/>
    <w:rsid w:val="00797EFA"/>
    <w:rsid w:val="007A0956"/>
    <w:rsid w:val="007A1CF6"/>
    <w:rsid w:val="007A1D9C"/>
    <w:rsid w:val="007A2C2F"/>
    <w:rsid w:val="007A41FB"/>
    <w:rsid w:val="007A530C"/>
    <w:rsid w:val="007A5375"/>
    <w:rsid w:val="007A6EBD"/>
    <w:rsid w:val="007B0AB7"/>
    <w:rsid w:val="007B2375"/>
    <w:rsid w:val="007B3A8D"/>
    <w:rsid w:val="007C05D9"/>
    <w:rsid w:val="007C069E"/>
    <w:rsid w:val="007C105F"/>
    <w:rsid w:val="007C132F"/>
    <w:rsid w:val="007C24FE"/>
    <w:rsid w:val="007C319A"/>
    <w:rsid w:val="007C3796"/>
    <w:rsid w:val="007C44D9"/>
    <w:rsid w:val="007C4BD0"/>
    <w:rsid w:val="007C6E3E"/>
    <w:rsid w:val="007C727E"/>
    <w:rsid w:val="007C760C"/>
    <w:rsid w:val="007D0BC9"/>
    <w:rsid w:val="007D0FC2"/>
    <w:rsid w:val="007D1C7C"/>
    <w:rsid w:val="007D2497"/>
    <w:rsid w:val="007D3262"/>
    <w:rsid w:val="007D3470"/>
    <w:rsid w:val="007D3954"/>
    <w:rsid w:val="007D5223"/>
    <w:rsid w:val="007D5F05"/>
    <w:rsid w:val="007D78D0"/>
    <w:rsid w:val="007D7BA5"/>
    <w:rsid w:val="007D7E16"/>
    <w:rsid w:val="007E0AB0"/>
    <w:rsid w:val="007E1FAA"/>
    <w:rsid w:val="007E2019"/>
    <w:rsid w:val="007E3F86"/>
    <w:rsid w:val="007E491F"/>
    <w:rsid w:val="007E58AB"/>
    <w:rsid w:val="007F0121"/>
    <w:rsid w:val="007F0392"/>
    <w:rsid w:val="007F0A35"/>
    <w:rsid w:val="007F13BB"/>
    <w:rsid w:val="007F1AB5"/>
    <w:rsid w:val="007F1AFF"/>
    <w:rsid w:val="007F41EE"/>
    <w:rsid w:val="007F706F"/>
    <w:rsid w:val="007F72A8"/>
    <w:rsid w:val="007F76C9"/>
    <w:rsid w:val="007F779E"/>
    <w:rsid w:val="007F7A45"/>
    <w:rsid w:val="007F7A85"/>
    <w:rsid w:val="00800334"/>
    <w:rsid w:val="008013E2"/>
    <w:rsid w:val="008015C8"/>
    <w:rsid w:val="00801AE5"/>
    <w:rsid w:val="00802CFE"/>
    <w:rsid w:val="008032AA"/>
    <w:rsid w:val="0080340D"/>
    <w:rsid w:val="008050E1"/>
    <w:rsid w:val="0080624B"/>
    <w:rsid w:val="00811054"/>
    <w:rsid w:val="00812634"/>
    <w:rsid w:val="00814866"/>
    <w:rsid w:val="0081504B"/>
    <w:rsid w:val="00815BA1"/>
    <w:rsid w:val="008165D5"/>
    <w:rsid w:val="00816742"/>
    <w:rsid w:val="0081683B"/>
    <w:rsid w:val="00816864"/>
    <w:rsid w:val="0081686B"/>
    <w:rsid w:val="00817C1F"/>
    <w:rsid w:val="00820E87"/>
    <w:rsid w:val="00823736"/>
    <w:rsid w:val="00824559"/>
    <w:rsid w:val="00824D66"/>
    <w:rsid w:val="0082551E"/>
    <w:rsid w:val="0082571B"/>
    <w:rsid w:val="00825A2D"/>
    <w:rsid w:val="00827B25"/>
    <w:rsid w:val="00831DE1"/>
    <w:rsid w:val="0083289F"/>
    <w:rsid w:val="008344A7"/>
    <w:rsid w:val="00834D5F"/>
    <w:rsid w:val="008353FC"/>
    <w:rsid w:val="00837877"/>
    <w:rsid w:val="00837F52"/>
    <w:rsid w:val="00840297"/>
    <w:rsid w:val="00842AF0"/>
    <w:rsid w:val="00843D46"/>
    <w:rsid w:val="00847460"/>
    <w:rsid w:val="0084794E"/>
    <w:rsid w:val="00851577"/>
    <w:rsid w:val="00851F30"/>
    <w:rsid w:val="008526B3"/>
    <w:rsid w:val="008526F0"/>
    <w:rsid w:val="00854E09"/>
    <w:rsid w:val="008552EC"/>
    <w:rsid w:val="00855341"/>
    <w:rsid w:val="00855352"/>
    <w:rsid w:val="0085545F"/>
    <w:rsid w:val="00856076"/>
    <w:rsid w:val="0085756A"/>
    <w:rsid w:val="00860604"/>
    <w:rsid w:val="00860BF8"/>
    <w:rsid w:val="0086147A"/>
    <w:rsid w:val="00861FBE"/>
    <w:rsid w:val="0086283E"/>
    <w:rsid w:val="00862BDE"/>
    <w:rsid w:val="00863244"/>
    <w:rsid w:val="00863754"/>
    <w:rsid w:val="008646AF"/>
    <w:rsid w:val="0086497A"/>
    <w:rsid w:val="008658E9"/>
    <w:rsid w:val="00866589"/>
    <w:rsid w:val="00867CE8"/>
    <w:rsid w:val="00870D44"/>
    <w:rsid w:val="00871B41"/>
    <w:rsid w:val="00875961"/>
    <w:rsid w:val="00880F05"/>
    <w:rsid w:val="0088168C"/>
    <w:rsid w:val="008817F0"/>
    <w:rsid w:val="00881EF6"/>
    <w:rsid w:val="008827BE"/>
    <w:rsid w:val="008839E9"/>
    <w:rsid w:val="00883AF6"/>
    <w:rsid w:val="008909A3"/>
    <w:rsid w:val="008915DA"/>
    <w:rsid w:val="0089252E"/>
    <w:rsid w:val="00893D4A"/>
    <w:rsid w:val="00896D4B"/>
    <w:rsid w:val="008A081B"/>
    <w:rsid w:val="008A0C9B"/>
    <w:rsid w:val="008A1931"/>
    <w:rsid w:val="008A1C38"/>
    <w:rsid w:val="008A1F22"/>
    <w:rsid w:val="008A1F9A"/>
    <w:rsid w:val="008A3013"/>
    <w:rsid w:val="008A3078"/>
    <w:rsid w:val="008A60F9"/>
    <w:rsid w:val="008A6BEF"/>
    <w:rsid w:val="008A705A"/>
    <w:rsid w:val="008A77EF"/>
    <w:rsid w:val="008A7C3D"/>
    <w:rsid w:val="008A7DC1"/>
    <w:rsid w:val="008B0234"/>
    <w:rsid w:val="008B2C53"/>
    <w:rsid w:val="008B3DB5"/>
    <w:rsid w:val="008B4490"/>
    <w:rsid w:val="008B4BFA"/>
    <w:rsid w:val="008B56CC"/>
    <w:rsid w:val="008B5C58"/>
    <w:rsid w:val="008B676A"/>
    <w:rsid w:val="008B6C09"/>
    <w:rsid w:val="008B6E07"/>
    <w:rsid w:val="008B6EDF"/>
    <w:rsid w:val="008B750B"/>
    <w:rsid w:val="008B76EB"/>
    <w:rsid w:val="008C0F29"/>
    <w:rsid w:val="008C1A5E"/>
    <w:rsid w:val="008C3477"/>
    <w:rsid w:val="008C5F4B"/>
    <w:rsid w:val="008C63B1"/>
    <w:rsid w:val="008C64DF"/>
    <w:rsid w:val="008C70F1"/>
    <w:rsid w:val="008C7355"/>
    <w:rsid w:val="008D02A0"/>
    <w:rsid w:val="008D15DA"/>
    <w:rsid w:val="008D1C4E"/>
    <w:rsid w:val="008D35E8"/>
    <w:rsid w:val="008D4A3F"/>
    <w:rsid w:val="008D5818"/>
    <w:rsid w:val="008D5874"/>
    <w:rsid w:val="008D5A1A"/>
    <w:rsid w:val="008D64DC"/>
    <w:rsid w:val="008D7A35"/>
    <w:rsid w:val="008E252F"/>
    <w:rsid w:val="008E2D03"/>
    <w:rsid w:val="008E46BA"/>
    <w:rsid w:val="008E5721"/>
    <w:rsid w:val="008E666A"/>
    <w:rsid w:val="008E7C81"/>
    <w:rsid w:val="008F0AE5"/>
    <w:rsid w:val="008F25FA"/>
    <w:rsid w:val="008F2C83"/>
    <w:rsid w:val="008F2D90"/>
    <w:rsid w:val="008F3723"/>
    <w:rsid w:val="008F409E"/>
    <w:rsid w:val="008F598A"/>
    <w:rsid w:val="008F6B96"/>
    <w:rsid w:val="008F6DD1"/>
    <w:rsid w:val="008F7117"/>
    <w:rsid w:val="008F7485"/>
    <w:rsid w:val="0090053B"/>
    <w:rsid w:val="0090075C"/>
    <w:rsid w:val="0090166F"/>
    <w:rsid w:val="00901CA2"/>
    <w:rsid w:val="00901D86"/>
    <w:rsid w:val="00901E45"/>
    <w:rsid w:val="00902707"/>
    <w:rsid w:val="00902A17"/>
    <w:rsid w:val="00902E13"/>
    <w:rsid w:val="00903263"/>
    <w:rsid w:val="009039AB"/>
    <w:rsid w:val="00904D05"/>
    <w:rsid w:val="00904E33"/>
    <w:rsid w:val="0090679F"/>
    <w:rsid w:val="00906DC5"/>
    <w:rsid w:val="009111CA"/>
    <w:rsid w:val="00911D55"/>
    <w:rsid w:val="00911D68"/>
    <w:rsid w:val="00912341"/>
    <w:rsid w:val="009134A9"/>
    <w:rsid w:val="00913D3E"/>
    <w:rsid w:val="00914428"/>
    <w:rsid w:val="009160D1"/>
    <w:rsid w:val="00917643"/>
    <w:rsid w:val="00917C39"/>
    <w:rsid w:val="0092042C"/>
    <w:rsid w:val="009204B8"/>
    <w:rsid w:val="00920A8C"/>
    <w:rsid w:val="00921107"/>
    <w:rsid w:val="00921383"/>
    <w:rsid w:val="00921C09"/>
    <w:rsid w:val="00922603"/>
    <w:rsid w:val="00923064"/>
    <w:rsid w:val="00923176"/>
    <w:rsid w:val="0092357A"/>
    <w:rsid w:val="009235A0"/>
    <w:rsid w:val="00923C05"/>
    <w:rsid w:val="00923CFB"/>
    <w:rsid w:val="009246F1"/>
    <w:rsid w:val="009261C9"/>
    <w:rsid w:val="0092620D"/>
    <w:rsid w:val="009300B3"/>
    <w:rsid w:val="009311DA"/>
    <w:rsid w:val="00931D75"/>
    <w:rsid w:val="00934764"/>
    <w:rsid w:val="00935213"/>
    <w:rsid w:val="00935644"/>
    <w:rsid w:val="00937DA4"/>
    <w:rsid w:val="009409ED"/>
    <w:rsid w:val="00941AC7"/>
    <w:rsid w:val="0094661E"/>
    <w:rsid w:val="00950150"/>
    <w:rsid w:val="0095065B"/>
    <w:rsid w:val="00951EF8"/>
    <w:rsid w:val="00952FB4"/>
    <w:rsid w:val="00953A57"/>
    <w:rsid w:val="00953A89"/>
    <w:rsid w:val="00953B1C"/>
    <w:rsid w:val="00954BF2"/>
    <w:rsid w:val="00954D8D"/>
    <w:rsid w:val="009565F5"/>
    <w:rsid w:val="00956688"/>
    <w:rsid w:val="009574A0"/>
    <w:rsid w:val="0096178C"/>
    <w:rsid w:val="00961CED"/>
    <w:rsid w:val="00961FD4"/>
    <w:rsid w:val="00964148"/>
    <w:rsid w:val="009645C9"/>
    <w:rsid w:val="00965172"/>
    <w:rsid w:val="00970133"/>
    <w:rsid w:val="009701A0"/>
    <w:rsid w:val="00970311"/>
    <w:rsid w:val="009710E6"/>
    <w:rsid w:val="00971963"/>
    <w:rsid w:val="009728E5"/>
    <w:rsid w:val="00973220"/>
    <w:rsid w:val="0097380E"/>
    <w:rsid w:val="00973E02"/>
    <w:rsid w:val="00973FE7"/>
    <w:rsid w:val="009768DA"/>
    <w:rsid w:val="00980B8A"/>
    <w:rsid w:val="00981607"/>
    <w:rsid w:val="009818EA"/>
    <w:rsid w:val="0098256D"/>
    <w:rsid w:val="00982766"/>
    <w:rsid w:val="009841BC"/>
    <w:rsid w:val="0098793C"/>
    <w:rsid w:val="0098799D"/>
    <w:rsid w:val="009905BC"/>
    <w:rsid w:val="00990955"/>
    <w:rsid w:val="00992E47"/>
    <w:rsid w:val="0099305F"/>
    <w:rsid w:val="0099371D"/>
    <w:rsid w:val="00993757"/>
    <w:rsid w:val="00994B85"/>
    <w:rsid w:val="00995496"/>
    <w:rsid w:val="0099638E"/>
    <w:rsid w:val="0099667B"/>
    <w:rsid w:val="0099694C"/>
    <w:rsid w:val="009970A3"/>
    <w:rsid w:val="009A20C9"/>
    <w:rsid w:val="009A214B"/>
    <w:rsid w:val="009A3741"/>
    <w:rsid w:val="009A57D3"/>
    <w:rsid w:val="009A5F33"/>
    <w:rsid w:val="009A6689"/>
    <w:rsid w:val="009A6796"/>
    <w:rsid w:val="009A74EB"/>
    <w:rsid w:val="009B2BF9"/>
    <w:rsid w:val="009B49EC"/>
    <w:rsid w:val="009B52A8"/>
    <w:rsid w:val="009B61F5"/>
    <w:rsid w:val="009B72B9"/>
    <w:rsid w:val="009B79EF"/>
    <w:rsid w:val="009C0056"/>
    <w:rsid w:val="009C13F3"/>
    <w:rsid w:val="009C1C23"/>
    <w:rsid w:val="009C285B"/>
    <w:rsid w:val="009C4194"/>
    <w:rsid w:val="009C56F9"/>
    <w:rsid w:val="009C691A"/>
    <w:rsid w:val="009C6CBB"/>
    <w:rsid w:val="009D08B6"/>
    <w:rsid w:val="009D2D69"/>
    <w:rsid w:val="009D4262"/>
    <w:rsid w:val="009D4CAC"/>
    <w:rsid w:val="009D63F8"/>
    <w:rsid w:val="009D7636"/>
    <w:rsid w:val="009E184A"/>
    <w:rsid w:val="009E1C80"/>
    <w:rsid w:val="009E2265"/>
    <w:rsid w:val="009E29BB"/>
    <w:rsid w:val="009E5ADF"/>
    <w:rsid w:val="009E5EB1"/>
    <w:rsid w:val="009E5EBC"/>
    <w:rsid w:val="009E5F9E"/>
    <w:rsid w:val="009E7476"/>
    <w:rsid w:val="009E79C8"/>
    <w:rsid w:val="009E7F5E"/>
    <w:rsid w:val="009F07CB"/>
    <w:rsid w:val="009F2FA6"/>
    <w:rsid w:val="009F3A4F"/>
    <w:rsid w:val="009F459E"/>
    <w:rsid w:val="009F4B7C"/>
    <w:rsid w:val="009F5620"/>
    <w:rsid w:val="009F566B"/>
    <w:rsid w:val="009F5AB9"/>
    <w:rsid w:val="009F7614"/>
    <w:rsid w:val="00A01160"/>
    <w:rsid w:val="00A0240C"/>
    <w:rsid w:val="00A03F33"/>
    <w:rsid w:val="00A041F2"/>
    <w:rsid w:val="00A05234"/>
    <w:rsid w:val="00A053F2"/>
    <w:rsid w:val="00A0541C"/>
    <w:rsid w:val="00A0609D"/>
    <w:rsid w:val="00A0661A"/>
    <w:rsid w:val="00A06811"/>
    <w:rsid w:val="00A12910"/>
    <w:rsid w:val="00A139A8"/>
    <w:rsid w:val="00A13F84"/>
    <w:rsid w:val="00A145B8"/>
    <w:rsid w:val="00A16702"/>
    <w:rsid w:val="00A168BE"/>
    <w:rsid w:val="00A172A4"/>
    <w:rsid w:val="00A17F3A"/>
    <w:rsid w:val="00A201B7"/>
    <w:rsid w:val="00A209EA"/>
    <w:rsid w:val="00A220D3"/>
    <w:rsid w:val="00A2248F"/>
    <w:rsid w:val="00A2259D"/>
    <w:rsid w:val="00A22704"/>
    <w:rsid w:val="00A23504"/>
    <w:rsid w:val="00A23F31"/>
    <w:rsid w:val="00A2531A"/>
    <w:rsid w:val="00A25615"/>
    <w:rsid w:val="00A265BC"/>
    <w:rsid w:val="00A270B5"/>
    <w:rsid w:val="00A278E2"/>
    <w:rsid w:val="00A302F5"/>
    <w:rsid w:val="00A303F1"/>
    <w:rsid w:val="00A30472"/>
    <w:rsid w:val="00A30605"/>
    <w:rsid w:val="00A30866"/>
    <w:rsid w:val="00A31100"/>
    <w:rsid w:val="00A33272"/>
    <w:rsid w:val="00A34914"/>
    <w:rsid w:val="00A35547"/>
    <w:rsid w:val="00A368DF"/>
    <w:rsid w:val="00A36B21"/>
    <w:rsid w:val="00A36B65"/>
    <w:rsid w:val="00A40314"/>
    <w:rsid w:val="00A403DB"/>
    <w:rsid w:val="00A40598"/>
    <w:rsid w:val="00A40687"/>
    <w:rsid w:val="00A40B8C"/>
    <w:rsid w:val="00A413B9"/>
    <w:rsid w:val="00A4155F"/>
    <w:rsid w:val="00A418AF"/>
    <w:rsid w:val="00A41ECE"/>
    <w:rsid w:val="00A42018"/>
    <w:rsid w:val="00A42CC3"/>
    <w:rsid w:val="00A44466"/>
    <w:rsid w:val="00A45BD4"/>
    <w:rsid w:val="00A47179"/>
    <w:rsid w:val="00A502A9"/>
    <w:rsid w:val="00A51A1F"/>
    <w:rsid w:val="00A52644"/>
    <w:rsid w:val="00A54391"/>
    <w:rsid w:val="00A54B3E"/>
    <w:rsid w:val="00A558E5"/>
    <w:rsid w:val="00A55BE6"/>
    <w:rsid w:val="00A57DC8"/>
    <w:rsid w:val="00A615CE"/>
    <w:rsid w:val="00A61F6B"/>
    <w:rsid w:val="00A62186"/>
    <w:rsid w:val="00A62975"/>
    <w:rsid w:val="00A633F1"/>
    <w:rsid w:val="00A638C8"/>
    <w:rsid w:val="00A63D7A"/>
    <w:rsid w:val="00A63DF3"/>
    <w:rsid w:val="00A63E5F"/>
    <w:rsid w:val="00A63FD1"/>
    <w:rsid w:val="00A66EF6"/>
    <w:rsid w:val="00A6723D"/>
    <w:rsid w:val="00A700CC"/>
    <w:rsid w:val="00A705B5"/>
    <w:rsid w:val="00A71B7C"/>
    <w:rsid w:val="00A71F18"/>
    <w:rsid w:val="00A73543"/>
    <w:rsid w:val="00A7365B"/>
    <w:rsid w:val="00A73702"/>
    <w:rsid w:val="00A74A10"/>
    <w:rsid w:val="00A77820"/>
    <w:rsid w:val="00A77914"/>
    <w:rsid w:val="00A8144F"/>
    <w:rsid w:val="00A81B89"/>
    <w:rsid w:val="00A81C3C"/>
    <w:rsid w:val="00A81D27"/>
    <w:rsid w:val="00A81D4F"/>
    <w:rsid w:val="00A8589F"/>
    <w:rsid w:val="00A85B03"/>
    <w:rsid w:val="00A8631F"/>
    <w:rsid w:val="00A86BAC"/>
    <w:rsid w:val="00A90010"/>
    <w:rsid w:val="00A90509"/>
    <w:rsid w:val="00A916F6"/>
    <w:rsid w:val="00A926AA"/>
    <w:rsid w:val="00A9396C"/>
    <w:rsid w:val="00A93F74"/>
    <w:rsid w:val="00A95FD9"/>
    <w:rsid w:val="00A96EDB"/>
    <w:rsid w:val="00A972C7"/>
    <w:rsid w:val="00A97D25"/>
    <w:rsid w:val="00A97E82"/>
    <w:rsid w:val="00AA1898"/>
    <w:rsid w:val="00AA1D75"/>
    <w:rsid w:val="00AA3D92"/>
    <w:rsid w:val="00AA6541"/>
    <w:rsid w:val="00AA6D39"/>
    <w:rsid w:val="00AA76B1"/>
    <w:rsid w:val="00AA78D5"/>
    <w:rsid w:val="00AA7CCE"/>
    <w:rsid w:val="00AB08CB"/>
    <w:rsid w:val="00AB1A04"/>
    <w:rsid w:val="00AB2ED2"/>
    <w:rsid w:val="00AB33D8"/>
    <w:rsid w:val="00AB47D3"/>
    <w:rsid w:val="00AB58AD"/>
    <w:rsid w:val="00AB70E6"/>
    <w:rsid w:val="00AB79B4"/>
    <w:rsid w:val="00AB7E11"/>
    <w:rsid w:val="00AC0F98"/>
    <w:rsid w:val="00AC22E4"/>
    <w:rsid w:val="00AC412D"/>
    <w:rsid w:val="00AC455B"/>
    <w:rsid w:val="00AC53D4"/>
    <w:rsid w:val="00AC74E4"/>
    <w:rsid w:val="00AC7CAC"/>
    <w:rsid w:val="00AD029B"/>
    <w:rsid w:val="00AD09F3"/>
    <w:rsid w:val="00AD1056"/>
    <w:rsid w:val="00AD121B"/>
    <w:rsid w:val="00AD131B"/>
    <w:rsid w:val="00AD132F"/>
    <w:rsid w:val="00AD283A"/>
    <w:rsid w:val="00AD3363"/>
    <w:rsid w:val="00AD5E2E"/>
    <w:rsid w:val="00AD6283"/>
    <w:rsid w:val="00AD67BF"/>
    <w:rsid w:val="00AD6BFA"/>
    <w:rsid w:val="00AE0579"/>
    <w:rsid w:val="00AE0B79"/>
    <w:rsid w:val="00AE0C15"/>
    <w:rsid w:val="00AE1BAB"/>
    <w:rsid w:val="00AE2E27"/>
    <w:rsid w:val="00AE2F06"/>
    <w:rsid w:val="00AE3061"/>
    <w:rsid w:val="00AE31D5"/>
    <w:rsid w:val="00AE3BAF"/>
    <w:rsid w:val="00AE401A"/>
    <w:rsid w:val="00AE5A3B"/>
    <w:rsid w:val="00AE6493"/>
    <w:rsid w:val="00AE707D"/>
    <w:rsid w:val="00AE77B5"/>
    <w:rsid w:val="00AF00C0"/>
    <w:rsid w:val="00AF14E1"/>
    <w:rsid w:val="00AF1844"/>
    <w:rsid w:val="00AF2AF0"/>
    <w:rsid w:val="00AF5CC0"/>
    <w:rsid w:val="00AF72D7"/>
    <w:rsid w:val="00AF7D14"/>
    <w:rsid w:val="00B00B5F"/>
    <w:rsid w:val="00B00DB3"/>
    <w:rsid w:val="00B02203"/>
    <w:rsid w:val="00B03A12"/>
    <w:rsid w:val="00B0435C"/>
    <w:rsid w:val="00B05179"/>
    <w:rsid w:val="00B052BF"/>
    <w:rsid w:val="00B05464"/>
    <w:rsid w:val="00B05C6B"/>
    <w:rsid w:val="00B0692A"/>
    <w:rsid w:val="00B07022"/>
    <w:rsid w:val="00B0734B"/>
    <w:rsid w:val="00B10CD6"/>
    <w:rsid w:val="00B13ADD"/>
    <w:rsid w:val="00B14168"/>
    <w:rsid w:val="00B1457D"/>
    <w:rsid w:val="00B15E28"/>
    <w:rsid w:val="00B20312"/>
    <w:rsid w:val="00B21353"/>
    <w:rsid w:val="00B21BE8"/>
    <w:rsid w:val="00B21E05"/>
    <w:rsid w:val="00B21EFB"/>
    <w:rsid w:val="00B23C46"/>
    <w:rsid w:val="00B246CA"/>
    <w:rsid w:val="00B251C0"/>
    <w:rsid w:val="00B2643E"/>
    <w:rsid w:val="00B26A55"/>
    <w:rsid w:val="00B27CCD"/>
    <w:rsid w:val="00B308C7"/>
    <w:rsid w:val="00B312B4"/>
    <w:rsid w:val="00B316B2"/>
    <w:rsid w:val="00B32222"/>
    <w:rsid w:val="00B3347C"/>
    <w:rsid w:val="00B339F9"/>
    <w:rsid w:val="00B33F89"/>
    <w:rsid w:val="00B348E9"/>
    <w:rsid w:val="00B34A31"/>
    <w:rsid w:val="00B3696C"/>
    <w:rsid w:val="00B4052C"/>
    <w:rsid w:val="00B408D4"/>
    <w:rsid w:val="00B408EC"/>
    <w:rsid w:val="00B41644"/>
    <w:rsid w:val="00B4206E"/>
    <w:rsid w:val="00B44C02"/>
    <w:rsid w:val="00B45EF6"/>
    <w:rsid w:val="00B468C8"/>
    <w:rsid w:val="00B472AA"/>
    <w:rsid w:val="00B472CC"/>
    <w:rsid w:val="00B47727"/>
    <w:rsid w:val="00B51D0F"/>
    <w:rsid w:val="00B51F50"/>
    <w:rsid w:val="00B52D90"/>
    <w:rsid w:val="00B53D58"/>
    <w:rsid w:val="00B53F9B"/>
    <w:rsid w:val="00B554F3"/>
    <w:rsid w:val="00B603D6"/>
    <w:rsid w:val="00B60A83"/>
    <w:rsid w:val="00B6212A"/>
    <w:rsid w:val="00B62FCC"/>
    <w:rsid w:val="00B63BE1"/>
    <w:rsid w:val="00B658ED"/>
    <w:rsid w:val="00B70696"/>
    <w:rsid w:val="00B708B0"/>
    <w:rsid w:val="00B70986"/>
    <w:rsid w:val="00B7129C"/>
    <w:rsid w:val="00B730E1"/>
    <w:rsid w:val="00B7669B"/>
    <w:rsid w:val="00B76BA6"/>
    <w:rsid w:val="00B76C41"/>
    <w:rsid w:val="00B779C2"/>
    <w:rsid w:val="00B77B13"/>
    <w:rsid w:val="00B807EF"/>
    <w:rsid w:val="00B80CEC"/>
    <w:rsid w:val="00B814B1"/>
    <w:rsid w:val="00B82140"/>
    <w:rsid w:val="00B8231A"/>
    <w:rsid w:val="00B82629"/>
    <w:rsid w:val="00B83AF2"/>
    <w:rsid w:val="00B8715D"/>
    <w:rsid w:val="00B8720A"/>
    <w:rsid w:val="00B907F1"/>
    <w:rsid w:val="00B90A89"/>
    <w:rsid w:val="00B90CCE"/>
    <w:rsid w:val="00B9181D"/>
    <w:rsid w:val="00B9346E"/>
    <w:rsid w:val="00B943F2"/>
    <w:rsid w:val="00B95193"/>
    <w:rsid w:val="00B957FC"/>
    <w:rsid w:val="00B95CC3"/>
    <w:rsid w:val="00B972AC"/>
    <w:rsid w:val="00BA0FBB"/>
    <w:rsid w:val="00BA10F0"/>
    <w:rsid w:val="00BA2845"/>
    <w:rsid w:val="00BA2D33"/>
    <w:rsid w:val="00BA2D49"/>
    <w:rsid w:val="00BA4C07"/>
    <w:rsid w:val="00BA5397"/>
    <w:rsid w:val="00BA61A6"/>
    <w:rsid w:val="00BA63C9"/>
    <w:rsid w:val="00BA75EC"/>
    <w:rsid w:val="00BB0153"/>
    <w:rsid w:val="00BB2B43"/>
    <w:rsid w:val="00BB42FF"/>
    <w:rsid w:val="00BB49DE"/>
    <w:rsid w:val="00BB4BC6"/>
    <w:rsid w:val="00BB5384"/>
    <w:rsid w:val="00BB652A"/>
    <w:rsid w:val="00BB774F"/>
    <w:rsid w:val="00BB7879"/>
    <w:rsid w:val="00BC00B4"/>
    <w:rsid w:val="00BC0D64"/>
    <w:rsid w:val="00BC2046"/>
    <w:rsid w:val="00BC250F"/>
    <w:rsid w:val="00BC28E2"/>
    <w:rsid w:val="00BC34E5"/>
    <w:rsid w:val="00BC4BD1"/>
    <w:rsid w:val="00BC557B"/>
    <w:rsid w:val="00BC579C"/>
    <w:rsid w:val="00BC5949"/>
    <w:rsid w:val="00BC6DDD"/>
    <w:rsid w:val="00BC79F5"/>
    <w:rsid w:val="00BD2C99"/>
    <w:rsid w:val="00BD2E57"/>
    <w:rsid w:val="00BD3A9A"/>
    <w:rsid w:val="00BD4FC6"/>
    <w:rsid w:val="00BD63C8"/>
    <w:rsid w:val="00BD6979"/>
    <w:rsid w:val="00BE031D"/>
    <w:rsid w:val="00BE12F6"/>
    <w:rsid w:val="00BE1668"/>
    <w:rsid w:val="00BE2294"/>
    <w:rsid w:val="00BE2527"/>
    <w:rsid w:val="00BE2583"/>
    <w:rsid w:val="00BE2590"/>
    <w:rsid w:val="00BE2D4F"/>
    <w:rsid w:val="00BE342D"/>
    <w:rsid w:val="00BE3444"/>
    <w:rsid w:val="00BE4F13"/>
    <w:rsid w:val="00BE509D"/>
    <w:rsid w:val="00BE546C"/>
    <w:rsid w:val="00BF0DF0"/>
    <w:rsid w:val="00BF1F9E"/>
    <w:rsid w:val="00BF298A"/>
    <w:rsid w:val="00BF2AAC"/>
    <w:rsid w:val="00BF3A71"/>
    <w:rsid w:val="00BF4B42"/>
    <w:rsid w:val="00BF4CC9"/>
    <w:rsid w:val="00BF5B37"/>
    <w:rsid w:val="00BF6380"/>
    <w:rsid w:val="00BF7452"/>
    <w:rsid w:val="00C0127B"/>
    <w:rsid w:val="00C01959"/>
    <w:rsid w:val="00C01CAE"/>
    <w:rsid w:val="00C02EBE"/>
    <w:rsid w:val="00C035FE"/>
    <w:rsid w:val="00C038CD"/>
    <w:rsid w:val="00C03938"/>
    <w:rsid w:val="00C03A84"/>
    <w:rsid w:val="00C03EE9"/>
    <w:rsid w:val="00C117A7"/>
    <w:rsid w:val="00C11CC6"/>
    <w:rsid w:val="00C11D46"/>
    <w:rsid w:val="00C129D0"/>
    <w:rsid w:val="00C143EC"/>
    <w:rsid w:val="00C14533"/>
    <w:rsid w:val="00C165C3"/>
    <w:rsid w:val="00C200F6"/>
    <w:rsid w:val="00C230CF"/>
    <w:rsid w:val="00C23F51"/>
    <w:rsid w:val="00C250B3"/>
    <w:rsid w:val="00C251BD"/>
    <w:rsid w:val="00C27C69"/>
    <w:rsid w:val="00C31774"/>
    <w:rsid w:val="00C31A15"/>
    <w:rsid w:val="00C322BF"/>
    <w:rsid w:val="00C33B2A"/>
    <w:rsid w:val="00C347FA"/>
    <w:rsid w:val="00C35A93"/>
    <w:rsid w:val="00C35E3F"/>
    <w:rsid w:val="00C369A8"/>
    <w:rsid w:val="00C37427"/>
    <w:rsid w:val="00C3765F"/>
    <w:rsid w:val="00C403F6"/>
    <w:rsid w:val="00C40C2C"/>
    <w:rsid w:val="00C41F94"/>
    <w:rsid w:val="00C44738"/>
    <w:rsid w:val="00C45AB1"/>
    <w:rsid w:val="00C47880"/>
    <w:rsid w:val="00C51977"/>
    <w:rsid w:val="00C54316"/>
    <w:rsid w:val="00C5445A"/>
    <w:rsid w:val="00C5574C"/>
    <w:rsid w:val="00C561A0"/>
    <w:rsid w:val="00C5729E"/>
    <w:rsid w:val="00C5767D"/>
    <w:rsid w:val="00C57D21"/>
    <w:rsid w:val="00C627D1"/>
    <w:rsid w:val="00C631E0"/>
    <w:rsid w:val="00C65A35"/>
    <w:rsid w:val="00C65A7A"/>
    <w:rsid w:val="00C668B7"/>
    <w:rsid w:val="00C66988"/>
    <w:rsid w:val="00C6749F"/>
    <w:rsid w:val="00C70429"/>
    <w:rsid w:val="00C70A78"/>
    <w:rsid w:val="00C70ECB"/>
    <w:rsid w:val="00C71527"/>
    <w:rsid w:val="00C72024"/>
    <w:rsid w:val="00C7208A"/>
    <w:rsid w:val="00C725B8"/>
    <w:rsid w:val="00C743AB"/>
    <w:rsid w:val="00C758FA"/>
    <w:rsid w:val="00C76B8D"/>
    <w:rsid w:val="00C77B7F"/>
    <w:rsid w:val="00C8043B"/>
    <w:rsid w:val="00C80AB3"/>
    <w:rsid w:val="00C81EC1"/>
    <w:rsid w:val="00C821C3"/>
    <w:rsid w:val="00C83D1A"/>
    <w:rsid w:val="00C83F88"/>
    <w:rsid w:val="00C84603"/>
    <w:rsid w:val="00C9132C"/>
    <w:rsid w:val="00C92FA1"/>
    <w:rsid w:val="00C93252"/>
    <w:rsid w:val="00C93B17"/>
    <w:rsid w:val="00C94115"/>
    <w:rsid w:val="00C94AF7"/>
    <w:rsid w:val="00C956C8"/>
    <w:rsid w:val="00C95788"/>
    <w:rsid w:val="00C95F98"/>
    <w:rsid w:val="00C966D2"/>
    <w:rsid w:val="00C97533"/>
    <w:rsid w:val="00C97E7A"/>
    <w:rsid w:val="00CA08FE"/>
    <w:rsid w:val="00CA0E31"/>
    <w:rsid w:val="00CA0EB4"/>
    <w:rsid w:val="00CA13BD"/>
    <w:rsid w:val="00CA19A3"/>
    <w:rsid w:val="00CA1CC1"/>
    <w:rsid w:val="00CA1E8A"/>
    <w:rsid w:val="00CA352B"/>
    <w:rsid w:val="00CA35CF"/>
    <w:rsid w:val="00CA41BB"/>
    <w:rsid w:val="00CA49A0"/>
    <w:rsid w:val="00CA5536"/>
    <w:rsid w:val="00CA560A"/>
    <w:rsid w:val="00CA728F"/>
    <w:rsid w:val="00CA7F68"/>
    <w:rsid w:val="00CB0DD1"/>
    <w:rsid w:val="00CB15A5"/>
    <w:rsid w:val="00CB1A64"/>
    <w:rsid w:val="00CB34A9"/>
    <w:rsid w:val="00CB45D9"/>
    <w:rsid w:val="00CB63C7"/>
    <w:rsid w:val="00CC044F"/>
    <w:rsid w:val="00CC0AEE"/>
    <w:rsid w:val="00CC1DA5"/>
    <w:rsid w:val="00CC1E19"/>
    <w:rsid w:val="00CC224A"/>
    <w:rsid w:val="00CC323D"/>
    <w:rsid w:val="00CC3531"/>
    <w:rsid w:val="00CC3A92"/>
    <w:rsid w:val="00CC4DB7"/>
    <w:rsid w:val="00CC4F73"/>
    <w:rsid w:val="00CC66DA"/>
    <w:rsid w:val="00CC7024"/>
    <w:rsid w:val="00CC7565"/>
    <w:rsid w:val="00CD19AA"/>
    <w:rsid w:val="00CD2ABA"/>
    <w:rsid w:val="00CD2EDE"/>
    <w:rsid w:val="00CD352B"/>
    <w:rsid w:val="00CD4332"/>
    <w:rsid w:val="00CD4857"/>
    <w:rsid w:val="00CD5BB0"/>
    <w:rsid w:val="00CE2F68"/>
    <w:rsid w:val="00CE30D3"/>
    <w:rsid w:val="00CE340F"/>
    <w:rsid w:val="00CE4659"/>
    <w:rsid w:val="00CE4678"/>
    <w:rsid w:val="00CE542B"/>
    <w:rsid w:val="00CE5E9B"/>
    <w:rsid w:val="00CE7259"/>
    <w:rsid w:val="00CE7D28"/>
    <w:rsid w:val="00CF0BE2"/>
    <w:rsid w:val="00CF0C85"/>
    <w:rsid w:val="00CF169D"/>
    <w:rsid w:val="00CF454E"/>
    <w:rsid w:val="00CF477A"/>
    <w:rsid w:val="00CF5151"/>
    <w:rsid w:val="00D00655"/>
    <w:rsid w:val="00D00790"/>
    <w:rsid w:val="00D0081F"/>
    <w:rsid w:val="00D0125D"/>
    <w:rsid w:val="00D01A9D"/>
    <w:rsid w:val="00D04B4F"/>
    <w:rsid w:val="00D05082"/>
    <w:rsid w:val="00D053E1"/>
    <w:rsid w:val="00D06B50"/>
    <w:rsid w:val="00D101CC"/>
    <w:rsid w:val="00D10FC0"/>
    <w:rsid w:val="00D112F6"/>
    <w:rsid w:val="00D12C04"/>
    <w:rsid w:val="00D13F58"/>
    <w:rsid w:val="00D15FB7"/>
    <w:rsid w:val="00D1637D"/>
    <w:rsid w:val="00D16C98"/>
    <w:rsid w:val="00D20838"/>
    <w:rsid w:val="00D20FD6"/>
    <w:rsid w:val="00D211C3"/>
    <w:rsid w:val="00D22677"/>
    <w:rsid w:val="00D226BE"/>
    <w:rsid w:val="00D22B5A"/>
    <w:rsid w:val="00D23375"/>
    <w:rsid w:val="00D2765B"/>
    <w:rsid w:val="00D302D5"/>
    <w:rsid w:val="00D326EE"/>
    <w:rsid w:val="00D33D91"/>
    <w:rsid w:val="00D35A4D"/>
    <w:rsid w:val="00D36059"/>
    <w:rsid w:val="00D36133"/>
    <w:rsid w:val="00D36329"/>
    <w:rsid w:val="00D36543"/>
    <w:rsid w:val="00D36FB8"/>
    <w:rsid w:val="00D37971"/>
    <w:rsid w:val="00D40262"/>
    <w:rsid w:val="00D408C1"/>
    <w:rsid w:val="00D40A62"/>
    <w:rsid w:val="00D40BE5"/>
    <w:rsid w:val="00D417EA"/>
    <w:rsid w:val="00D4239B"/>
    <w:rsid w:val="00D434C1"/>
    <w:rsid w:val="00D43695"/>
    <w:rsid w:val="00D45A1F"/>
    <w:rsid w:val="00D46ACC"/>
    <w:rsid w:val="00D46AEF"/>
    <w:rsid w:val="00D4720B"/>
    <w:rsid w:val="00D51398"/>
    <w:rsid w:val="00D51BC8"/>
    <w:rsid w:val="00D52689"/>
    <w:rsid w:val="00D5428F"/>
    <w:rsid w:val="00D54D28"/>
    <w:rsid w:val="00D5648F"/>
    <w:rsid w:val="00D6043F"/>
    <w:rsid w:val="00D605E8"/>
    <w:rsid w:val="00D617AF"/>
    <w:rsid w:val="00D64701"/>
    <w:rsid w:val="00D6613A"/>
    <w:rsid w:val="00D67784"/>
    <w:rsid w:val="00D67B16"/>
    <w:rsid w:val="00D70261"/>
    <w:rsid w:val="00D70C75"/>
    <w:rsid w:val="00D72F9B"/>
    <w:rsid w:val="00D74632"/>
    <w:rsid w:val="00D75719"/>
    <w:rsid w:val="00D75E19"/>
    <w:rsid w:val="00D762F4"/>
    <w:rsid w:val="00D7673E"/>
    <w:rsid w:val="00D767BD"/>
    <w:rsid w:val="00D76B7F"/>
    <w:rsid w:val="00D76BC7"/>
    <w:rsid w:val="00D775D5"/>
    <w:rsid w:val="00D81A45"/>
    <w:rsid w:val="00D82E47"/>
    <w:rsid w:val="00D843F5"/>
    <w:rsid w:val="00D8592E"/>
    <w:rsid w:val="00D90BD9"/>
    <w:rsid w:val="00D90DB3"/>
    <w:rsid w:val="00D91B50"/>
    <w:rsid w:val="00D924F3"/>
    <w:rsid w:val="00D93C3E"/>
    <w:rsid w:val="00D95A8D"/>
    <w:rsid w:val="00D96901"/>
    <w:rsid w:val="00DA2A4B"/>
    <w:rsid w:val="00DA3D58"/>
    <w:rsid w:val="00DA4853"/>
    <w:rsid w:val="00DA521F"/>
    <w:rsid w:val="00DA6B2F"/>
    <w:rsid w:val="00DA727D"/>
    <w:rsid w:val="00DB0EA0"/>
    <w:rsid w:val="00DB1AAA"/>
    <w:rsid w:val="00DB27C9"/>
    <w:rsid w:val="00DB5696"/>
    <w:rsid w:val="00DB73C8"/>
    <w:rsid w:val="00DC0B25"/>
    <w:rsid w:val="00DC1649"/>
    <w:rsid w:val="00DC1FFB"/>
    <w:rsid w:val="00DC33FA"/>
    <w:rsid w:val="00DC3E66"/>
    <w:rsid w:val="00DC4A50"/>
    <w:rsid w:val="00DC4BF1"/>
    <w:rsid w:val="00DC6078"/>
    <w:rsid w:val="00DC766E"/>
    <w:rsid w:val="00DD0457"/>
    <w:rsid w:val="00DD0F6A"/>
    <w:rsid w:val="00DD123A"/>
    <w:rsid w:val="00DD1731"/>
    <w:rsid w:val="00DD2985"/>
    <w:rsid w:val="00DD5165"/>
    <w:rsid w:val="00DD58EA"/>
    <w:rsid w:val="00DD6964"/>
    <w:rsid w:val="00DE0205"/>
    <w:rsid w:val="00DE0612"/>
    <w:rsid w:val="00DE2984"/>
    <w:rsid w:val="00DE2A77"/>
    <w:rsid w:val="00DE336A"/>
    <w:rsid w:val="00DE3B9C"/>
    <w:rsid w:val="00DE665D"/>
    <w:rsid w:val="00DE782B"/>
    <w:rsid w:val="00DF1E25"/>
    <w:rsid w:val="00DF266D"/>
    <w:rsid w:val="00DF3E17"/>
    <w:rsid w:val="00DF4370"/>
    <w:rsid w:val="00DF50A8"/>
    <w:rsid w:val="00DF5538"/>
    <w:rsid w:val="00E0060B"/>
    <w:rsid w:val="00E00D21"/>
    <w:rsid w:val="00E01B79"/>
    <w:rsid w:val="00E0455D"/>
    <w:rsid w:val="00E04E73"/>
    <w:rsid w:val="00E07FBE"/>
    <w:rsid w:val="00E1080B"/>
    <w:rsid w:val="00E10A84"/>
    <w:rsid w:val="00E10D01"/>
    <w:rsid w:val="00E13EA1"/>
    <w:rsid w:val="00E1411A"/>
    <w:rsid w:val="00E14C86"/>
    <w:rsid w:val="00E151C6"/>
    <w:rsid w:val="00E153A2"/>
    <w:rsid w:val="00E17B8B"/>
    <w:rsid w:val="00E213F2"/>
    <w:rsid w:val="00E2210F"/>
    <w:rsid w:val="00E2226F"/>
    <w:rsid w:val="00E2345A"/>
    <w:rsid w:val="00E23A49"/>
    <w:rsid w:val="00E25204"/>
    <w:rsid w:val="00E2730C"/>
    <w:rsid w:val="00E30129"/>
    <w:rsid w:val="00E30258"/>
    <w:rsid w:val="00E3390B"/>
    <w:rsid w:val="00E349AB"/>
    <w:rsid w:val="00E34A56"/>
    <w:rsid w:val="00E3511D"/>
    <w:rsid w:val="00E356FB"/>
    <w:rsid w:val="00E3668C"/>
    <w:rsid w:val="00E36920"/>
    <w:rsid w:val="00E36C1D"/>
    <w:rsid w:val="00E37F06"/>
    <w:rsid w:val="00E40092"/>
    <w:rsid w:val="00E404CB"/>
    <w:rsid w:val="00E41B91"/>
    <w:rsid w:val="00E41E6F"/>
    <w:rsid w:val="00E41EF5"/>
    <w:rsid w:val="00E4238C"/>
    <w:rsid w:val="00E42CE1"/>
    <w:rsid w:val="00E44C6D"/>
    <w:rsid w:val="00E44E35"/>
    <w:rsid w:val="00E47C0D"/>
    <w:rsid w:val="00E50B4E"/>
    <w:rsid w:val="00E5155F"/>
    <w:rsid w:val="00E51B26"/>
    <w:rsid w:val="00E51DCF"/>
    <w:rsid w:val="00E5413F"/>
    <w:rsid w:val="00E54512"/>
    <w:rsid w:val="00E55F7C"/>
    <w:rsid w:val="00E63350"/>
    <w:rsid w:val="00E6372E"/>
    <w:rsid w:val="00E63A84"/>
    <w:rsid w:val="00E63E00"/>
    <w:rsid w:val="00E6487D"/>
    <w:rsid w:val="00E6509D"/>
    <w:rsid w:val="00E65381"/>
    <w:rsid w:val="00E6644B"/>
    <w:rsid w:val="00E67CE3"/>
    <w:rsid w:val="00E70EE0"/>
    <w:rsid w:val="00E76280"/>
    <w:rsid w:val="00E7679A"/>
    <w:rsid w:val="00E77B82"/>
    <w:rsid w:val="00E77E86"/>
    <w:rsid w:val="00E815A3"/>
    <w:rsid w:val="00E82567"/>
    <w:rsid w:val="00E82D98"/>
    <w:rsid w:val="00E836B7"/>
    <w:rsid w:val="00E83EBD"/>
    <w:rsid w:val="00E85DFE"/>
    <w:rsid w:val="00E900E6"/>
    <w:rsid w:val="00E92117"/>
    <w:rsid w:val="00E9353A"/>
    <w:rsid w:val="00E950E3"/>
    <w:rsid w:val="00E95225"/>
    <w:rsid w:val="00E959A0"/>
    <w:rsid w:val="00E95FD3"/>
    <w:rsid w:val="00E960AC"/>
    <w:rsid w:val="00E9663A"/>
    <w:rsid w:val="00E96A09"/>
    <w:rsid w:val="00E9796C"/>
    <w:rsid w:val="00EA014D"/>
    <w:rsid w:val="00EA0DE1"/>
    <w:rsid w:val="00EA2555"/>
    <w:rsid w:val="00EA3C96"/>
    <w:rsid w:val="00EA4242"/>
    <w:rsid w:val="00EA4CBC"/>
    <w:rsid w:val="00EA78C2"/>
    <w:rsid w:val="00EB0337"/>
    <w:rsid w:val="00EB3BF1"/>
    <w:rsid w:val="00EB474C"/>
    <w:rsid w:val="00EB495E"/>
    <w:rsid w:val="00EB6D53"/>
    <w:rsid w:val="00EC0D1F"/>
    <w:rsid w:val="00EC0E7E"/>
    <w:rsid w:val="00EC1623"/>
    <w:rsid w:val="00EC29E6"/>
    <w:rsid w:val="00EC36CD"/>
    <w:rsid w:val="00EC3912"/>
    <w:rsid w:val="00EC4561"/>
    <w:rsid w:val="00EC4842"/>
    <w:rsid w:val="00EC60E9"/>
    <w:rsid w:val="00EC6C0D"/>
    <w:rsid w:val="00ED0056"/>
    <w:rsid w:val="00ED05F4"/>
    <w:rsid w:val="00ED1055"/>
    <w:rsid w:val="00ED1384"/>
    <w:rsid w:val="00ED20AF"/>
    <w:rsid w:val="00ED262B"/>
    <w:rsid w:val="00ED3096"/>
    <w:rsid w:val="00ED3545"/>
    <w:rsid w:val="00ED555C"/>
    <w:rsid w:val="00ED6141"/>
    <w:rsid w:val="00EE07ED"/>
    <w:rsid w:val="00EE0C58"/>
    <w:rsid w:val="00EE0D3C"/>
    <w:rsid w:val="00EE1865"/>
    <w:rsid w:val="00EE4616"/>
    <w:rsid w:val="00EE46A1"/>
    <w:rsid w:val="00EE4AFD"/>
    <w:rsid w:val="00EE57ED"/>
    <w:rsid w:val="00EE69FF"/>
    <w:rsid w:val="00EE7D7A"/>
    <w:rsid w:val="00EF1877"/>
    <w:rsid w:val="00EF384A"/>
    <w:rsid w:val="00EF38D3"/>
    <w:rsid w:val="00EF4129"/>
    <w:rsid w:val="00EF671B"/>
    <w:rsid w:val="00EF6E52"/>
    <w:rsid w:val="00EF7363"/>
    <w:rsid w:val="00F0018B"/>
    <w:rsid w:val="00F00559"/>
    <w:rsid w:val="00F009A8"/>
    <w:rsid w:val="00F01626"/>
    <w:rsid w:val="00F029E0"/>
    <w:rsid w:val="00F02D01"/>
    <w:rsid w:val="00F04606"/>
    <w:rsid w:val="00F046C5"/>
    <w:rsid w:val="00F05C9A"/>
    <w:rsid w:val="00F06876"/>
    <w:rsid w:val="00F06FD8"/>
    <w:rsid w:val="00F109B6"/>
    <w:rsid w:val="00F13327"/>
    <w:rsid w:val="00F14025"/>
    <w:rsid w:val="00F14545"/>
    <w:rsid w:val="00F145ED"/>
    <w:rsid w:val="00F14ADE"/>
    <w:rsid w:val="00F14C50"/>
    <w:rsid w:val="00F157C5"/>
    <w:rsid w:val="00F15A60"/>
    <w:rsid w:val="00F16BAD"/>
    <w:rsid w:val="00F20B6F"/>
    <w:rsid w:val="00F21690"/>
    <w:rsid w:val="00F22B4D"/>
    <w:rsid w:val="00F235D3"/>
    <w:rsid w:val="00F2385D"/>
    <w:rsid w:val="00F25D2E"/>
    <w:rsid w:val="00F268AB"/>
    <w:rsid w:val="00F33609"/>
    <w:rsid w:val="00F35AEA"/>
    <w:rsid w:val="00F35E7C"/>
    <w:rsid w:val="00F36F30"/>
    <w:rsid w:val="00F418E2"/>
    <w:rsid w:val="00F41A04"/>
    <w:rsid w:val="00F41BA9"/>
    <w:rsid w:val="00F4512C"/>
    <w:rsid w:val="00F50130"/>
    <w:rsid w:val="00F525EF"/>
    <w:rsid w:val="00F53317"/>
    <w:rsid w:val="00F5369A"/>
    <w:rsid w:val="00F543A4"/>
    <w:rsid w:val="00F55B7C"/>
    <w:rsid w:val="00F5679D"/>
    <w:rsid w:val="00F56B00"/>
    <w:rsid w:val="00F57BD1"/>
    <w:rsid w:val="00F6003C"/>
    <w:rsid w:val="00F60868"/>
    <w:rsid w:val="00F63B09"/>
    <w:rsid w:val="00F63D6E"/>
    <w:rsid w:val="00F63D6F"/>
    <w:rsid w:val="00F63DCC"/>
    <w:rsid w:val="00F67E27"/>
    <w:rsid w:val="00F7051F"/>
    <w:rsid w:val="00F71100"/>
    <w:rsid w:val="00F72488"/>
    <w:rsid w:val="00F737EC"/>
    <w:rsid w:val="00F7451F"/>
    <w:rsid w:val="00F7552A"/>
    <w:rsid w:val="00F75D61"/>
    <w:rsid w:val="00F76408"/>
    <w:rsid w:val="00F80645"/>
    <w:rsid w:val="00F820C5"/>
    <w:rsid w:val="00F82D6F"/>
    <w:rsid w:val="00F82E93"/>
    <w:rsid w:val="00F83B23"/>
    <w:rsid w:val="00F83D78"/>
    <w:rsid w:val="00F84494"/>
    <w:rsid w:val="00F8532B"/>
    <w:rsid w:val="00F8533F"/>
    <w:rsid w:val="00F85AE5"/>
    <w:rsid w:val="00F85FBE"/>
    <w:rsid w:val="00F90883"/>
    <w:rsid w:val="00F91AF7"/>
    <w:rsid w:val="00F92499"/>
    <w:rsid w:val="00F92678"/>
    <w:rsid w:val="00F93AE1"/>
    <w:rsid w:val="00F946FE"/>
    <w:rsid w:val="00F95469"/>
    <w:rsid w:val="00F95586"/>
    <w:rsid w:val="00F96574"/>
    <w:rsid w:val="00F967DA"/>
    <w:rsid w:val="00FA0179"/>
    <w:rsid w:val="00FA0ED5"/>
    <w:rsid w:val="00FA1801"/>
    <w:rsid w:val="00FA2B05"/>
    <w:rsid w:val="00FA31DC"/>
    <w:rsid w:val="00FA439B"/>
    <w:rsid w:val="00FA49D4"/>
    <w:rsid w:val="00FA5FC1"/>
    <w:rsid w:val="00FA7BC4"/>
    <w:rsid w:val="00FA7D93"/>
    <w:rsid w:val="00FB1F88"/>
    <w:rsid w:val="00FB35F3"/>
    <w:rsid w:val="00FB3D27"/>
    <w:rsid w:val="00FB4452"/>
    <w:rsid w:val="00FB4F52"/>
    <w:rsid w:val="00FB52C0"/>
    <w:rsid w:val="00FB5D08"/>
    <w:rsid w:val="00FB686A"/>
    <w:rsid w:val="00FB768E"/>
    <w:rsid w:val="00FB78C7"/>
    <w:rsid w:val="00FB798A"/>
    <w:rsid w:val="00FC00FE"/>
    <w:rsid w:val="00FC0714"/>
    <w:rsid w:val="00FC130D"/>
    <w:rsid w:val="00FC1CBA"/>
    <w:rsid w:val="00FC22E1"/>
    <w:rsid w:val="00FC2642"/>
    <w:rsid w:val="00FC32BD"/>
    <w:rsid w:val="00FC570D"/>
    <w:rsid w:val="00FC60C2"/>
    <w:rsid w:val="00FC7122"/>
    <w:rsid w:val="00FD0A8F"/>
    <w:rsid w:val="00FD0FE5"/>
    <w:rsid w:val="00FD14C1"/>
    <w:rsid w:val="00FD16CF"/>
    <w:rsid w:val="00FD2B53"/>
    <w:rsid w:val="00FD35B5"/>
    <w:rsid w:val="00FD4E70"/>
    <w:rsid w:val="00FD5317"/>
    <w:rsid w:val="00FD660F"/>
    <w:rsid w:val="00FD6A58"/>
    <w:rsid w:val="00FD7FF6"/>
    <w:rsid w:val="00FE0160"/>
    <w:rsid w:val="00FE0CF7"/>
    <w:rsid w:val="00FE0E40"/>
    <w:rsid w:val="00FE361A"/>
    <w:rsid w:val="00FE42FF"/>
    <w:rsid w:val="00FE456F"/>
    <w:rsid w:val="00FE501F"/>
    <w:rsid w:val="00FE579F"/>
    <w:rsid w:val="00FE7774"/>
    <w:rsid w:val="00FE7B15"/>
    <w:rsid w:val="00FF010D"/>
    <w:rsid w:val="00FF106A"/>
    <w:rsid w:val="00FF17F0"/>
    <w:rsid w:val="00FF3013"/>
    <w:rsid w:val="00FF420B"/>
    <w:rsid w:val="00FF509D"/>
    <w:rsid w:val="00FF54DE"/>
    <w:rsid w:val="00FF68BA"/>
    <w:rsid w:val="00FF6FCE"/>
    <w:rsid w:val="00FF70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23DE879"/>
  <w15:chartTrackingRefBased/>
  <w15:docId w15:val="{2AD4CDD7-61A1-8D41-8C6C-D6A7EC96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84F"/>
    <w:rPr>
      <w:rFonts w:eastAsiaTheme="majorEastAsia" w:cstheme="majorBidi"/>
      <w:color w:val="272727" w:themeColor="text1" w:themeTint="D8"/>
    </w:rPr>
  </w:style>
  <w:style w:type="paragraph" w:styleId="Title">
    <w:name w:val="Title"/>
    <w:basedOn w:val="Normal"/>
    <w:next w:val="Normal"/>
    <w:link w:val="TitleChar"/>
    <w:uiPriority w:val="10"/>
    <w:qFormat/>
    <w:rsid w:val="001F3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84F"/>
    <w:pPr>
      <w:spacing w:before="160"/>
      <w:jc w:val="center"/>
    </w:pPr>
    <w:rPr>
      <w:i/>
      <w:iCs/>
      <w:color w:val="404040" w:themeColor="text1" w:themeTint="BF"/>
    </w:rPr>
  </w:style>
  <w:style w:type="character" w:customStyle="1" w:styleId="QuoteChar">
    <w:name w:val="Quote Char"/>
    <w:basedOn w:val="DefaultParagraphFont"/>
    <w:link w:val="Quote"/>
    <w:uiPriority w:val="29"/>
    <w:rsid w:val="001F384F"/>
    <w:rPr>
      <w:i/>
      <w:iCs/>
      <w:color w:val="404040" w:themeColor="text1" w:themeTint="BF"/>
    </w:rPr>
  </w:style>
  <w:style w:type="paragraph" w:styleId="ListParagraph">
    <w:name w:val="List Paragraph"/>
    <w:basedOn w:val="Normal"/>
    <w:uiPriority w:val="1"/>
    <w:qFormat/>
    <w:rsid w:val="001F384F"/>
    <w:pPr>
      <w:ind w:left="720"/>
      <w:contextualSpacing/>
    </w:pPr>
  </w:style>
  <w:style w:type="character" w:styleId="IntenseEmphasis">
    <w:name w:val="Intense Emphasis"/>
    <w:basedOn w:val="DefaultParagraphFont"/>
    <w:uiPriority w:val="21"/>
    <w:qFormat/>
    <w:rsid w:val="001F384F"/>
    <w:rPr>
      <w:i/>
      <w:iCs/>
      <w:color w:val="0F4761" w:themeColor="accent1" w:themeShade="BF"/>
    </w:rPr>
  </w:style>
  <w:style w:type="paragraph" w:styleId="IntenseQuote">
    <w:name w:val="Intense Quote"/>
    <w:basedOn w:val="Normal"/>
    <w:next w:val="Normal"/>
    <w:link w:val="IntenseQuoteChar"/>
    <w:uiPriority w:val="30"/>
    <w:qFormat/>
    <w:rsid w:val="001F3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84F"/>
    <w:rPr>
      <w:i/>
      <w:iCs/>
      <w:color w:val="0F4761" w:themeColor="accent1" w:themeShade="BF"/>
    </w:rPr>
  </w:style>
  <w:style w:type="character" w:styleId="IntenseReference">
    <w:name w:val="Intense Reference"/>
    <w:basedOn w:val="DefaultParagraphFont"/>
    <w:uiPriority w:val="32"/>
    <w:qFormat/>
    <w:rsid w:val="001F384F"/>
    <w:rPr>
      <w:b/>
      <w:bCs/>
      <w:smallCaps/>
      <w:color w:val="0F4761" w:themeColor="accent1" w:themeShade="BF"/>
      <w:spacing w:val="5"/>
    </w:rPr>
  </w:style>
  <w:style w:type="paragraph" w:styleId="BodyText">
    <w:name w:val="Body Text"/>
    <w:basedOn w:val="Normal"/>
    <w:link w:val="BodyTextChar"/>
    <w:uiPriority w:val="1"/>
    <w:qFormat/>
    <w:rsid w:val="001F384F"/>
    <w:pPr>
      <w:widowControl w:val="0"/>
      <w:autoSpaceDE w:val="0"/>
      <w:autoSpaceDN w:val="0"/>
      <w:spacing w:after="0" w:line="240" w:lineRule="auto"/>
      <w:jc w:val="both"/>
    </w:pPr>
    <w:rPr>
      <w:rFonts w:ascii="Palatino Linotype" w:eastAsia="Palatino Linotype" w:hAnsi="Palatino Linotype" w:cs="Palatino Linotype"/>
      <w:kern w:val="0"/>
      <w:sz w:val="17"/>
      <w:szCs w:val="17"/>
      <w:lang w:val="en-US"/>
      <w14:ligatures w14:val="none"/>
    </w:rPr>
  </w:style>
  <w:style w:type="character" w:customStyle="1" w:styleId="BodyTextChar">
    <w:name w:val="Body Text Char"/>
    <w:basedOn w:val="DefaultParagraphFont"/>
    <w:link w:val="BodyText"/>
    <w:uiPriority w:val="1"/>
    <w:rsid w:val="001F384F"/>
    <w:rPr>
      <w:rFonts w:ascii="Palatino Linotype" w:eastAsia="Palatino Linotype" w:hAnsi="Palatino Linotype" w:cs="Palatino Linotype"/>
      <w:kern w:val="0"/>
      <w:sz w:val="17"/>
      <w:szCs w:val="1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5005770" TargetMode="External"/><Relationship Id="rId5" Type="http://schemas.openxmlformats.org/officeDocument/2006/relationships/hyperlink" Target="https://papers.ssrn.com/sol3/papers.cfm?abstract_id=50057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Guyatt, Gordon</dc:creator>
  <cp:keywords/>
  <dc:description/>
  <cp:lastModifiedBy>Guyatt, Gordon</cp:lastModifiedBy>
  <cp:revision>2</cp:revision>
  <dcterms:created xsi:type="dcterms:W3CDTF">2026-05-02T14:23:00Z</dcterms:created>
  <dcterms:modified xsi:type="dcterms:W3CDTF">2026-05-02T14:23:00Z</dcterms:modified>
</cp:coreProperties>
</file>