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78B71" w14:textId="275E7DA1" w:rsidR="008C6B42" w:rsidRDefault="00000000">
      <w:pPr>
        <w:pStyle w:val="Heading1"/>
        <w:spacing w:before="39"/>
      </w:pP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establishing</w:t>
      </w:r>
      <w:r>
        <w:rPr>
          <w:spacing w:val="-5"/>
        </w:rPr>
        <w:t xml:space="preserve"> </w:t>
      </w:r>
      <w:r>
        <w:rPr>
          <w:spacing w:val="-4"/>
        </w:rPr>
        <w:t>MIDs</w:t>
      </w:r>
    </w:p>
    <w:p w14:paraId="154D1863" w14:textId="77777777" w:rsidR="008C6B42" w:rsidRDefault="008C6B42">
      <w:pPr>
        <w:pStyle w:val="BodyText"/>
        <w:spacing w:before="1"/>
        <w:rPr>
          <w:b/>
        </w:rPr>
      </w:pPr>
    </w:p>
    <w:p w14:paraId="49AD597E" w14:textId="77777777" w:rsidR="008C6B42" w:rsidRDefault="00000000">
      <w:pPr>
        <w:pStyle w:val="BodyText"/>
      </w:pPr>
      <w:r>
        <w:t>To</w:t>
      </w:r>
      <w:r>
        <w:rPr>
          <w:spacing w:val="-6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estimates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MIDS,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surveys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COVID-19</w:t>
      </w:r>
      <w:r>
        <w:rPr>
          <w:spacing w:val="-5"/>
        </w:rPr>
        <w:t xml:space="preserve"> </w:t>
      </w:r>
      <w:r>
        <w:t>guidelines</w:t>
      </w:r>
      <w:r>
        <w:rPr>
          <w:spacing w:val="-3"/>
        </w:rPr>
        <w:t xml:space="preserve"> </w:t>
      </w:r>
      <w:r>
        <w:rPr>
          <w:vertAlign w:val="superscript"/>
        </w:rPr>
        <w:t>1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gramStart"/>
      <w:r>
        <w:t>a number of</w:t>
      </w:r>
      <w:proofErr w:type="gramEnd"/>
      <w:r>
        <w:t xml:space="preserve"> outcomes and subsequently applied these to their influenza guidelines 2. BMJ Rapid</w:t>
      </w:r>
    </w:p>
    <w:p w14:paraId="1A4F1436" w14:textId="77777777" w:rsidR="008C6B42" w:rsidRDefault="00000000">
      <w:pPr>
        <w:pStyle w:val="BodyText"/>
      </w:pPr>
      <w:r>
        <w:t>Recommendations</w:t>
      </w:r>
      <w:r>
        <w:rPr>
          <w:spacing w:val="-7"/>
        </w:rPr>
        <w:t xml:space="preserve"> </w:t>
      </w:r>
      <w:r>
        <w:t>regarding</w:t>
      </w:r>
      <w:r>
        <w:rPr>
          <w:spacing w:val="-8"/>
        </w:rPr>
        <w:t xml:space="preserve"> </w:t>
      </w:r>
      <w:r>
        <w:t>PCSK9</w:t>
      </w:r>
      <w:r>
        <w:rPr>
          <w:spacing w:val="-7"/>
        </w:rPr>
        <w:t xml:space="preserve"> </w:t>
      </w:r>
      <w:r>
        <w:t>inhibitors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ezetimibe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cardiovascular</w:t>
      </w:r>
      <w:r>
        <w:rPr>
          <w:spacing w:val="-7"/>
        </w:rPr>
        <w:t xml:space="preserve"> </w:t>
      </w:r>
      <w:r>
        <w:t>events</w:t>
      </w:r>
      <w:r>
        <w:rPr>
          <w:spacing w:val="-7"/>
        </w:rPr>
        <w:t xml:space="preserve"> </w:t>
      </w:r>
      <w:r>
        <w:t xml:space="preserve">have also used the approach. </w:t>
      </w:r>
      <w:r>
        <w:rPr>
          <w:vertAlign w:val="superscript"/>
        </w:rPr>
        <w:t>3</w:t>
      </w:r>
      <w:r>
        <w:t xml:space="preserve"> The Table presents their results. Although others might wish to consider these</w:t>
      </w:r>
    </w:p>
    <w:p w14:paraId="66C7227F" w14:textId="77777777" w:rsidR="008C6B42" w:rsidRDefault="00000000">
      <w:pPr>
        <w:pStyle w:val="BodyText"/>
      </w:pPr>
      <w:r>
        <w:t>estimates,</w:t>
      </w:r>
      <w:r>
        <w:rPr>
          <w:spacing w:val="-8"/>
        </w:rPr>
        <w:t xml:space="preserve"> </w:t>
      </w:r>
      <w:r>
        <w:t>optimal</w:t>
      </w:r>
      <w:r>
        <w:rPr>
          <w:spacing w:val="-8"/>
        </w:rPr>
        <w:t xml:space="preserve"> </w:t>
      </w:r>
      <w:r>
        <w:t>MIDs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likely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highly</w:t>
      </w:r>
      <w:r>
        <w:rPr>
          <w:spacing w:val="-5"/>
        </w:rPr>
        <w:t xml:space="preserve"> </w:t>
      </w:r>
      <w:r>
        <w:rPr>
          <w:spacing w:val="-2"/>
        </w:rPr>
        <w:t>contextual.</w:t>
      </w:r>
    </w:p>
    <w:p w14:paraId="00835BE6" w14:textId="77777777" w:rsidR="008C6B42" w:rsidRDefault="00000000">
      <w:pPr>
        <w:pStyle w:val="BodyText"/>
        <w:spacing w:before="268"/>
      </w:pPr>
      <w:r>
        <w:t>A</w:t>
      </w:r>
      <w:r>
        <w:rPr>
          <w:spacing w:val="-4"/>
        </w:rPr>
        <w:t xml:space="preserve"> </w:t>
      </w:r>
      <w:r>
        <w:t>qualitative</w:t>
      </w:r>
      <w:r>
        <w:rPr>
          <w:spacing w:val="-6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demonstrated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usefulness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approach.</w:t>
      </w:r>
      <w:r>
        <w:rPr>
          <w:vertAlign w:val="superscript"/>
        </w:rPr>
        <w:t>4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interviews with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panelists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addressing</w:t>
      </w:r>
      <w:r>
        <w:rPr>
          <w:spacing w:val="-5"/>
        </w:rPr>
        <w:t xml:space="preserve"> </w:t>
      </w:r>
      <w:r>
        <w:t>COVID-19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BMJ</w:t>
      </w:r>
      <w:r>
        <w:rPr>
          <w:spacing w:val="-5"/>
        </w:rPr>
        <w:t xml:space="preserve"> </w:t>
      </w:r>
      <w:r>
        <w:t>Rapid</w:t>
      </w:r>
      <w:r>
        <w:rPr>
          <w:spacing w:val="-7"/>
        </w:rPr>
        <w:t xml:space="preserve"> </w:t>
      </w:r>
      <w:r>
        <w:t>Recommendation</w:t>
      </w:r>
      <w:r>
        <w:rPr>
          <w:spacing w:val="-4"/>
        </w:rPr>
        <w:t xml:space="preserve"> </w:t>
      </w:r>
      <w:r>
        <w:t>panels.</w:t>
      </w:r>
      <w:r>
        <w:rPr>
          <w:spacing w:val="-4"/>
        </w:rPr>
        <w:t xml:space="preserve"> </w:t>
      </w:r>
      <w:r>
        <w:t>Most panelists found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to follow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facilitated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incorporation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values and</w:t>
      </w:r>
      <w:r>
        <w:rPr>
          <w:spacing w:val="-2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in the tradeoffs between benefits and harms or burdens. The variation of patient preferences and uncertainty</w:t>
      </w:r>
    </w:p>
    <w:p w14:paraId="4A694066" w14:textId="77777777" w:rsidR="008C6B42" w:rsidRDefault="00000000">
      <w:pPr>
        <w:pStyle w:val="BodyText"/>
        <w:spacing w:before="1"/>
        <w:ind w:right="354"/>
      </w:pPr>
      <w:r>
        <w:t>regarding</w:t>
      </w:r>
      <w:r>
        <w:rPr>
          <w:spacing w:val="-6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preferences</w:t>
      </w:r>
      <w:r>
        <w:rPr>
          <w:spacing w:val="-7"/>
        </w:rPr>
        <w:t xml:space="preserve"> </w:t>
      </w:r>
      <w:r>
        <w:t>reflected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surveys</w:t>
      </w:r>
      <w:r>
        <w:rPr>
          <w:spacing w:val="-5"/>
        </w:rPr>
        <w:t xml:space="preserve"> </w:t>
      </w:r>
      <w:r>
        <w:t>helped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panels</w:t>
      </w:r>
      <w:r>
        <w:rPr>
          <w:spacing w:val="-1"/>
        </w:rPr>
        <w:t xml:space="preserve"> </w:t>
      </w:r>
      <w:r>
        <w:t>decide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strength</w:t>
      </w:r>
      <w:r>
        <w:rPr>
          <w:spacing w:val="-8"/>
        </w:rPr>
        <w:t xml:space="preserve"> </w:t>
      </w:r>
      <w:r>
        <w:t xml:space="preserve">of </w:t>
      </w:r>
      <w:r>
        <w:rPr>
          <w:spacing w:val="-2"/>
        </w:rPr>
        <w:t>recommendations.</w:t>
      </w:r>
    </w:p>
    <w:p w14:paraId="42D86B96" w14:textId="77777777" w:rsidR="008C6B42" w:rsidRDefault="00000000">
      <w:pPr>
        <w:pStyle w:val="Heading1"/>
        <w:spacing w:before="267"/>
      </w:pPr>
      <w:r>
        <w:t>Table:</w:t>
      </w:r>
      <w:r>
        <w:rPr>
          <w:spacing w:val="-11"/>
        </w:rPr>
        <w:t xml:space="preserve"> </w:t>
      </w:r>
      <w:r>
        <w:t>MIDs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survey</w:t>
      </w:r>
      <w:r>
        <w:rPr>
          <w:spacing w:val="-10"/>
        </w:rPr>
        <w:t xml:space="preserve"> </w:t>
      </w:r>
      <w:r>
        <w:rPr>
          <w:spacing w:val="-2"/>
        </w:rPr>
        <w:t>approach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543"/>
      </w:tblGrid>
      <w:tr w:rsidR="008C6B42" w14:paraId="0364B47C" w14:textId="77777777">
        <w:trPr>
          <w:trHeight w:val="244"/>
        </w:trPr>
        <w:tc>
          <w:tcPr>
            <w:tcW w:w="3116" w:type="dxa"/>
          </w:tcPr>
          <w:p w14:paraId="03A43954" w14:textId="77777777" w:rsidR="008C6B4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Condition</w:t>
            </w:r>
          </w:p>
        </w:tc>
        <w:tc>
          <w:tcPr>
            <w:tcW w:w="3118" w:type="dxa"/>
          </w:tcPr>
          <w:p w14:paraId="4E380B34" w14:textId="77777777" w:rsidR="008C6B4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Outcome</w:t>
            </w:r>
          </w:p>
        </w:tc>
        <w:tc>
          <w:tcPr>
            <w:tcW w:w="3543" w:type="dxa"/>
          </w:tcPr>
          <w:p w14:paraId="5712B2DD" w14:textId="77777777" w:rsidR="008C6B42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MID</w:t>
            </w:r>
          </w:p>
        </w:tc>
      </w:tr>
      <w:tr w:rsidR="008C6B42" w14:paraId="0EA5A84E" w14:textId="77777777">
        <w:trPr>
          <w:trHeight w:val="244"/>
        </w:trPr>
        <w:tc>
          <w:tcPr>
            <w:tcW w:w="3116" w:type="dxa"/>
          </w:tcPr>
          <w:p w14:paraId="496CB79D" w14:textId="77777777" w:rsidR="008C6B4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COVID-19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non-severe</w:t>
            </w:r>
          </w:p>
        </w:tc>
        <w:tc>
          <w:tcPr>
            <w:tcW w:w="3118" w:type="dxa"/>
          </w:tcPr>
          <w:p w14:paraId="6ACCCF36" w14:textId="77777777" w:rsidR="008C6B4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Probability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hospitalization</w:t>
            </w:r>
          </w:p>
        </w:tc>
        <w:tc>
          <w:tcPr>
            <w:tcW w:w="3543" w:type="dxa"/>
          </w:tcPr>
          <w:p w14:paraId="4E3627E7" w14:textId="77777777" w:rsidR="008C6B4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1,000</w:t>
            </w:r>
          </w:p>
        </w:tc>
      </w:tr>
      <w:tr w:rsidR="008C6B42" w14:paraId="0DC87E64" w14:textId="77777777">
        <w:trPr>
          <w:trHeight w:val="244"/>
        </w:trPr>
        <w:tc>
          <w:tcPr>
            <w:tcW w:w="3116" w:type="dxa"/>
          </w:tcPr>
          <w:p w14:paraId="04367495" w14:textId="77777777" w:rsidR="008C6B4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COVID-19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non-severe</w:t>
            </w:r>
          </w:p>
        </w:tc>
        <w:tc>
          <w:tcPr>
            <w:tcW w:w="3118" w:type="dxa"/>
          </w:tcPr>
          <w:p w14:paraId="38232D1B" w14:textId="77777777" w:rsidR="008C6B4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Duration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symptoms</w:t>
            </w:r>
          </w:p>
        </w:tc>
        <w:tc>
          <w:tcPr>
            <w:tcW w:w="3543" w:type="dxa"/>
          </w:tcPr>
          <w:p w14:paraId="38862865" w14:textId="77777777" w:rsidR="008C6B4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Reduction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day</w:t>
            </w:r>
          </w:p>
        </w:tc>
      </w:tr>
      <w:tr w:rsidR="008C6B42" w14:paraId="03D63D7A" w14:textId="77777777">
        <w:trPr>
          <w:trHeight w:val="244"/>
        </w:trPr>
        <w:tc>
          <w:tcPr>
            <w:tcW w:w="3116" w:type="dxa"/>
          </w:tcPr>
          <w:p w14:paraId="5FA571AE" w14:textId="77777777" w:rsidR="008C6B4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COVID-19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severity</w:t>
            </w:r>
          </w:p>
        </w:tc>
        <w:tc>
          <w:tcPr>
            <w:tcW w:w="3118" w:type="dxa"/>
          </w:tcPr>
          <w:p w14:paraId="6907189E" w14:textId="77777777" w:rsidR="008C6B4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Mortality</w:t>
            </w:r>
          </w:p>
        </w:tc>
        <w:tc>
          <w:tcPr>
            <w:tcW w:w="3543" w:type="dxa"/>
          </w:tcPr>
          <w:p w14:paraId="504861A1" w14:textId="77777777" w:rsidR="008C6B4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1,000</w:t>
            </w:r>
          </w:p>
        </w:tc>
      </w:tr>
      <w:tr w:rsidR="008C6B42" w14:paraId="067F428A" w14:textId="77777777">
        <w:trPr>
          <w:trHeight w:val="244"/>
        </w:trPr>
        <w:tc>
          <w:tcPr>
            <w:tcW w:w="3116" w:type="dxa"/>
          </w:tcPr>
          <w:p w14:paraId="4D011895" w14:textId="77777777" w:rsidR="008C6B42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COVID-19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severity</w:t>
            </w:r>
          </w:p>
        </w:tc>
        <w:tc>
          <w:tcPr>
            <w:tcW w:w="3118" w:type="dxa"/>
          </w:tcPr>
          <w:p w14:paraId="3E18ECDD" w14:textId="77777777" w:rsidR="008C6B4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Long-COVID</w:t>
            </w:r>
          </w:p>
        </w:tc>
        <w:tc>
          <w:tcPr>
            <w:tcW w:w="3543" w:type="dxa"/>
          </w:tcPr>
          <w:p w14:paraId="5D43A0DE" w14:textId="77777777" w:rsidR="008C6B42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1,000</w:t>
            </w:r>
          </w:p>
        </w:tc>
      </w:tr>
      <w:tr w:rsidR="008C6B42" w14:paraId="4E94B7C0" w14:textId="77777777">
        <w:trPr>
          <w:trHeight w:val="486"/>
        </w:trPr>
        <w:tc>
          <w:tcPr>
            <w:tcW w:w="3116" w:type="dxa"/>
          </w:tcPr>
          <w:p w14:paraId="5B284C19" w14:textId="77777777" w:rsidR="008C6B42" w:rsidRDefault="00000000"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Patients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33FC3C1D" w14:textId="77777777" w:rsidR="008C6B42" w:rsidRDefault="00000000">
            <w:pPr>
              <w:pStyle w:val="TableParagraph"/>
              <w:spacing w:before="0" w:line="22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cardiovascular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</w:tc>
        <w:tc>
          <w:tcPr>
            <w:tcW w:w="3118" w:type="dxa"/>
          </w:tcPr>
          <w:p w14:paraId="6E9B06FD" w14:textId="77777777" w:rsidR="008C6B42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Mortality</w:t>
            </w:r>
          </w:p>
        </w:tc>
        <w:tc>
          <w:tcPr>
            <w:tcW w:w="3543" w:type="dxa"/>
          </w:tcPr>
          <w:p w14:paraId="4C680BAD" w14:textId="77777777" w:rsidR="008C6B42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1,000</w:t>
            </w:r>
          </w:p>
        </w:tc>
      </w:tr>
      <w:tr w:rsidR="008C6B42" w14:paraId="607708C0" w14:textId="77777777">
        <w:trPr>
          <w:trHeight w:val="489"/>
        </w:trPr>
        <w:tc>
          <w:tcPr>
            <w:tcW w:w="3116" w:type="dxa"/>
          </w:tcPr>
          <w:p w14:paraId="3A5A1AAA" w14:textId="77777777" w:rsidR="008C6B42" w:rsidRDefault="00000000">
            <w:pPr>
              <w:pStyle w:val="TableParagraph"/>
              <w:spacing w:before="0" w:line="240" w:lineRule="atLeast"/>
              <w:ind w:left="108"/>
              <w:rPr>
                <w:sz w:val="20"/>
              </w:rPr>
            </w:pPr>
            <w:r>
              <w:rPr>
                <w:sz w:val="20"/>
              </w:rPr>
              <w:t>Patients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cardiovascular events</w:t>
            </w:r>
          </w:p>
        </w:tc>
        <w:tc>
          <w:tcPr>
            <w:tcW w:w="3118" w:type="dxa"/>
          </w:tcPr>
          <w:p w14:paraId="2DBDC466" w14:textId="77777777" w:rsidR="008C6B42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Non-fatal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stroke</w:t>
            </w:r>
          </w:p>
        </w:tc>
        <w:tc>
          <w:tcPr>
            <w:tcW w:w="3543" w:type="dxa"/>
          </w:tcPr>
          <w:p w14:paraId="64245252" w14:textId="77777777" w:rsidR="008C6B42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1,000</w:t>
            </w:r>
          </w:p>
        </w:tc>
      </w:tr>
      <w:tr w:rsidR="008C6B42" w14:paraId="3718A1B7" w14:textId="77777777">
        <w:trPr>
          <w:trHeight w:val="489"/>
        </w:trPr>
        <w:tc>
          <w:tcPr>
            <w:tcW w:w="3116" w:type="dxa"/>
          </w:tcPr>
          <w:p w14:paraId="51979C58" w14:textId="77777777" w:rsidR="008C6B42" w:rsidRDefault="00000000">
            <w:pPr>
              <w:pStyle w:val="TableParagraph"/>
              <w:spacing w:before="0" w:line="240" w:lineRule="atLeast"/>
              <w:ind w:left="108"/>
              <w:rPr>
                <w:sz w:val="20"/>
              </w:rPr>
            </w:pPr>
            <w:r>
              <w:rPr>
                <w:sz w:val="20"/>
              </w:rPr>
              <w:t>Patients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elevated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cardiovascular events</w:t>
            </w:r>
          </w:p>
        </w:tc>
        <w:tc>
          <w:tcPr>
            <w:tcW w:w="3118" w:type="dxa"/>
          </w:tcPr>
          <w:p w14:paraId="4055B9B4" w14:textId="77777777" w:rsidR="008C6B42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Non-fatal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myocardial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infarction</w:t>
            </w:r>
          </w:p>
        </w:tc>
        <w:tc>
          <w:tcPr>
            <w:tcW w:w="3543" w:type="dxa"/>
          </w:tcPr>
          <w:p w14:paraId="33C21126" w14:textId="77777777" w:rsidR="008C6B42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1,000</w:t>
            </w:r>
          </w:p>
        </w:tc>
      </w:tr>
    </w:tbl>
    <w:p w14:paraId="4700CB30" w14:textId="77777777" w:rsidR="008C6B42" w:rsidRDefault="008C6B42">
      <w:pPr>
        <w:pStyle w:val="BodyText"/>
        <w:rPr>
          <w:b/>
        </w:rPr>
      </w:pPr>
    </w:p>
    <w:p w14:paraId="047FC4E3" w14:textId="77777777" w:rsidR="008C6B42" w:rsidRDefault="008C6B42">
      <w:pPr>
        <w:pStyle w:val="BodyText"/>
        <w:spacing w:before="3"/>
        <w:rPr>
          <w:b/>
        </w:rPr>
      </w:pPr>
    </w:p>
    <w:p w14:paraId="34B0E0C7" w14:textId="77777777" w:rsidR="008C6B42" w:rsidRDefault="00000000">
      <w:pPr>
        <w:spacing w:line="267" w:lineRule="exact"/>
        <w:rPr>
          <w:b/>
        </w:rPr>
      </w:pPr>
      <w:r>
        <w:rPr>
          <w:b/>
          <w:spacing w:val="-2"/>
        </w:rPr>
        <w:t>References</w:t>
      </w:r>
    </w:p>
    <w:p w14:paraId="00AC017F" w14:textId="77777777" w:rsidR="008C6B42" w:rsidRDefault="00000000">
      <w:pPr>
        <w:pStyle w:val="ListParagraph"/>
        <w:numPr>
          <w:ilvl w:val="0"/>
          <w:numId w:val="1"/>
        </w:numPr>
        <w:tabs>
          <w:tab w:val="left" w:pos="216"/>
          <w:tab w:val="left" w:pos="720"/>
        </w:tabs>
        <w:ind w:right="234" w:hanging="721"/>
      </w:pPr>
      <w:r>
        <w:t>Agarwal</w:t>
      </w:r>
      <w:r>
        <w:rPr>
          <w:spacing w:val="-5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Hunt</w:t>
      </w:r>
      <w:r>
        <w:rPr>
          <w:spacing w:val="-4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Stegemann</w:t>
      </w:r>
      <w:r>
        <w:rPr>
          <w:spacing w:val="-3"/>
        </w:rPr>
        <w:t xml:space="preserve"> </w:t>
      </w:r>
      <w:r>
        <w:t>M,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al.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living</w:t>
      </w:r>
      <w:r>
        <w:rPr>
          <w:spacing w:val="-5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guideline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drugs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covid-19.</w:t>
      </w:r>
      <w:r>
        <w:rPr>
          <w:spacing w:val="-4"/>
        </w:rPr>
        <w:t xml:space="preserve"> </w:t>
      </w:r>
      <w:proofErr w:type="spellStart"/>
      <w:r>
        <w:rPr>
          <w:i/>
        </w:rPr>
        <w:t>Bmj</w:t>
      </w:r>
      <w:proofErr w:type="spellEnd"/>
      <w:r>
        <w:rPr>
          <w:i/>
          <w:spacing w:val="-4"/>
        </w:rPr>
        <w:t xml:space="preserve"> </w:t>
      </w:r>
      <w:r>
        <w:t xml:space="preserve">2020;370:m3379. </w:t>
      </w:r>
      <w:proofErr w:type="spellStart"/>
      <w:r>
        <w:t>doi</w:t>
      </w:r>
      <w:proofErr w:type="spellEnd"/>
      <w:r>
        <w:t>: 10.1136/bmj.m3379 [published Online First: 20200904]</w:t>
      </w:r>
    </w:p>
    <w:p w14:paraId="61C21863" w14:textId="77777777" w:rsidR="008C6B42" w:rsidRDefault="00000000">
      <w:pPr>
        <w:pStyle w:val="ListParagraph"/>
        <w:numPr>
          <w:ilvl w:val="0"/>
          <w:numId w:val="1"/>
        </w:numPr>
        <w:tabs>
          <w:tab w:val="left" w:pos="217"/>
        </w:tabs>
        <w:ind w:left="217" w:hanging="217"/>
      </w:pPr>
      <w:r>
        <w:t>Clinical</w:t>
      </w:r>
      <w:r>
        <w:rPr>
          <w:spacing w:val="-8"/>
        </w:rPr>
        <w:t xml:space="preserve"> </w:t>
      </w:r>
      <w:r>
        <w:t>practice</w:t>
      </w:r>
      <w:r>
        <w:rPr>
          <w:spacing w:val="-10"/>
        </w:rPr>
        <w:t xml:space="preserve"> </w:t>
      </w:r>
      <w:r>
        <w:t>guidelines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influenza</w:t>
      </w:r>
      <w:r>
        <w:rPr>
          <w:spacing w:val="-9"/>
        </w:rPr>
        <w:t xml:space="preserve"> </w:t>
      </w:r>
      <w:r>
        <w:t>2024</w:t>
      </w:r>
      <w:r>
        <w:rPr>
          <w:spacing w:val="-10"/>
        </w:rPr>
        <w:t xml:space="preserve"> </w:t>
      </w:r>
      <w:r>
        <w:t>[Available</w:t>
      </w:r>
      <w:r>
        <w:rPr>
          <w:spacing w:val="-8"/>
        </w:rPr>
        <w:t xml:space="preserve"> </w:t>
      </w:r>
      <w:r>
        <w:rPr>
          <w:spacing w:val="-2"/>
        </w:rPr>
        <w:t>from:</w:t>
      </w:r>
    </w:p>
    <w:p w14:paraId="6E2E7118" w14:textId="77777777" w:rsidR="008C6B42" w:rsidRDefault="008C6B42">
      <w:pPr>
        <w:pStyle w:val="BodyText"/>
        <w:ind w:left="720"/>
      </w:pPr>
      <w:hyperlink r:id="rId5">
        <w:r>
          <w:rPr>
            <w:color w:val="0462C1"/>
            <w:spacing w:val="-2"/>
            <w:u w:val="single" w:color="0462C1"/>
          </w:rPr>
          <w:t>https://www.who.int/publications/i/item/9789240097759</w:t>
        </w:r>
      </w:hyperlink>
      <w:r w:rsidR="00000000">
        <w:rPr>
          <w:color w:val="0462C1"/>
          <w:spacing w:val="13"/>
        </w:rPr>
        <w:t xml:space="preserve"> </w:t>
      </w:r>
      <w:r w:rsidR="00000000">
        <w:rPr>
          <w:spacing w:val="-2"/>
        </w:rPr>
        <w:t>accessed</w:t>
      </w:r>
      <w:r w:rsidR="00000000">
        <w:rPr>
          <w:spacing w:val="7"/>
        </w:rPr>
        <w:t xml:space="preserve"> </w:t>
      </w:r>
      <w:r w:rsidR="00000000">
        <w:rPr>
          <w:spacing w:val="-2"/>
        </w:rPr>
        <w:t>Dec</w:t>
      </w:r>
      <w:r w:rsidR="00000000">
        <w:rPr>
          <w:spacing w:val="8"/>
        </w:rPr>
        <w:t xml:space="preserve"> </w:t>
      </w:r>
      <w:r w:rsidR="00000000">
        <w:rPr>
          <w:spacing w:val="-2"/>
        </w:rPr>
        <w:t>10</w:t>
      </w:r>
      <w:proofErr w:type="gramStart"/>
      <w:r w:rsidR="00000000">
        <w:rPr>
          <w:spacing w:val="7"/>
        </w:rPr>
        <w:t xml:space="preserve"> </w:t>
      </w:r>
      <w:r w:rsidR="00000000">
        <w:rPr>
          <w:spacing w:val="-2"/>
        </w:rPr>
        <w:t>2024</w:t>
      </w:r>
      <w:proofErr w:type="gramEnd"/>
      <w:r w:rsidR="00000000">
        <w:rPr>
          <w:spacing w:val="-2"/>
        </w:rPr>
        <w:t>.</w:t>
      </w:r>
    </w:p>
    <w:p w14:paraId="06B596F0" w14:textId="77777777" w:rsidR="008C6B42" w:rsidRDefault="00000000">
      <w:pPr>
        <w:pStyle w:val="ListParagraph"/>
        <w:numPr>
          <w:ilvl w:val="0"/>
          <w:numId w:val="1"/>
        </w:numPr>
        <w:tabs>
          <w:tab w:val="left" w:pos="216"/>
          <w:tab w:val="left" w:pos="720"/>
        </w:tabs>
        <w:ind w:right="12" w:hanging="721"/>
      </w:pPr>
      <w:r>
        <w:t>Hao</w:t>
      </w:r>
      <w:r>
        <w:rPr>
          <w:spacing w:val="-6"/>
        </w:rPr>
        <w:t xml:space="preserve"> </w:t>
      </w:r>
      <w:r>
        <w:t>Q,</w:t>
      </w:r>
      <w:r>
        <w:rPr>
          <w:spacing w:val="-7"/>
        </w:rPr>
        <w:t xml:space="preserve"> </w:t>
      </w:r>
      <w:proofErr w:type="spellStart"/>
      <w:r>
        <w:t>Aertgeerts</w:t>
      </w:r>
      <w:proofErr w:type="spellEnd"/>
      <w:r>
        <w:rPr>
          <w:spacing w:val="-6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Guyatt</w:t>
      </w:r>
      <w:r>
        <w:rPr>
          <w:spacing w:val="-5"/>
        </w:rPr>
        <w:t xml:space="preserve"> </w:t>
      </w:r>
      <w:r>
        <w:t>G,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al.</w:t>
      </w:r>
      <w:r>
        <w:rPr>
          <w:spacing w:val="-7"/>
        </w:rPr>
        <w:t xml:space="preserve"> </w:t>
      </w:r>
      <w:r>
        <w:t>PCSK9</w:t>
      </w:r>
      <w:r>
        <w:rPr>
          <w:spacing w:val="-4"/>
        </w:rPr>
        <w:t xml:space="preserve"> </w:t>
      </w:r>
      <w:r>
        <w:t>inhibitors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ezetimibe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reduction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cardiovascular</w:t>
      </w:r>
      <w:r>
        <w:rPr>
          <w:spacing w:val="-7"/>
        </w:rPr>
        <w:t xml:space="preserve"> </w:t>
      </w:r>
      <w:r>
        <w:t xml:space="preserve">events: a clinical practice guideline with risk-stratified recommendations. </w:t>
      </w:r>
      <w:proofErr w:type="spellStart"/>
      <w:r>
        <w:rPr>
          <w:i/>
        </w:rPr>
        <w:t>Bmj</w:t>
      </w:r>
      <w:proofErr w:type="spellEnd"/>
      <w:r>
        <w:rPr>
          <w:i/>
        </w:rPr>
        <w:t xml:space="preserve"> </w:t>
      </w:r>
      <w:r>
        <w:t xml:space="preserve">2022;377:e069066. </w:t>
      </w:r>
      <w:proofErr w:type="spellStart"/>
      <w:r>
        <w:t>doi</w:t>
      </w:r>
      <w:proofErr w:type="spellEnd"/>
      <w:r>
        <w:t>:</w:t>
      </w:r>
    </w:p>
    <w:p w14:paraId="7F6C3A58" w14:textId="77777777" w:rsidR="008C6B42" w:rsidRDefault="00000000">
      <w:pPr>
        <w:pStyle w:val="BodyText"/>
        <w:ind w:left="720"/>
      </w:pPr>
      <w:r>
        <w:t>10.1136/bmj-2021-069066</w:t>
      </w:r>
      <w:r>
        <w:rPr>
          <w:spacing w:val="-13"/>
        </w:rPr>
        <w:t xml:space="preserve"> </w:t>
      </w:r>
      <w:r>
        <w:t>[published</w:t>
      </w:r>
      <w:r>
        <w:rPr>
          <w:spacing w:val="-11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First:</w:t>
      </w:r>
      <w:r>
        <w:rPr>
          <w:spacing w:val="-12"/>
        </w:rPr>
        <w:t xml:space="preserve"> </w:t>
      </w:r>
      <w:r>
        <w:rPr>
          <w:spacing w:val="-2"/>
        </w:rPr>
        <w:t>20220504]</w:t>
      </w:r>
    </w:p>
    <w:p w14:paraId="760734E8" w14:textId="77777777" w:rsidR="008C6B42" w:rsidRDefault="00000000">
      <w:pPr>
        <w:pStyle w:val="ListParagraph"/>
        <w:numPr>
          <w:ilvl w:val="0"/>
          <w:numId w:val="1"/>
        </w:numPr>
        <w:tabs>
          <w:tab w:val="left" w:pos="216"/>
          <w:tab w:val="left" w:pos="720"/>
        </w:tabs>
        <w:ind w:right="557" w:hanging="721"/>
      </w:pPr>
      <w:r>
        <w:t>Zeng</w:t>
      </w:r>
      <w:r>
        <w:rPr>
          <w:spacing w:val="-6"/>
        </w:rPr>
        <w:t xml:space="preserve"> </w:t>
      </w:r>
      <w:r>
        <w:t>L,</w:t>
      </w:r>
      <w:r>
        <w:rPr>
          <w:spacing w:val="-5"/>
        </w:rPr>
        <w:t xml:space="preserve"> </w:t>
      </w:r>
      <w:r>
        <w:t>Li</w:t>
      </w:r>
      <w:r>
        <w:rPr>
          <w:spacing w:val="-7"/>
        </w:rPr>
        <w:t xml:space="preserve"> </w:t>
      </w:r>
      <w:r>
        <w:t>SA,</w:t>
      </w:r>
      <w:r>
        <w:rPr>
          <w:spacing w:val="-8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M,</w:t>
      </w:r>
      <w:r>
        <w:rPr>
          <w:spacing w:val="-5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al.</w:t>
      </w:r>
      <w:r>
        <w:rPr>
          <w:spacing w:val="-6"/>
        </w:rPr>
        <w:t xml:space="preserve"> </w:t>
      </w:r>
      <w:r>
        <w:t>Qualitative</w:t>
      </w:r>
      <w:r>
        <w:rPr>
          <w:spacing w:val="-7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guideline</w:t>
      </w:r>
      <w:r>
        <w:rPr>
          <w:spacing w:val="-5"/>
        </w:rPr>
        <w:t xml:space="preserve"> </w:t>
      </w:r>
      <w:r>
        <w:t>panelists:</w:t>
      </w:r>
      <w:r>
        <w:rPr>
          <w:spacing w:val="-5"/>
        </w:rPr>
        <w:t xml:space="preserve"> </w:t>
      </w:r>
      <w:r>
        <w:t>innovative</w:t>
      </w:r>
      <w:r>
        <w:rPr>
          <w:spacing w:val="-5"/>
        </w:rPr>
        <w:t xml:space="preserve"> </w:t>
      </w:r>
      <w:r>
        <w:t>surveys</w:t>
      </w:r>
      <w:r>
        <w:rPr>
          <w:spacing w:val="-5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 xml:space="preserve">valuable insights regarding patient values and preferences. </w:t>
      </w:r>
      <w:r>
        <w:rPr>
          <w:i/>
        </w:rPr>
        <w:t xml:space="preserve">J Clin Epidemiol </w:t>
      </w:r>
      <w:r>
        <w:t xml:space="preserve">2023;161:173-80. </w:t>
      </w:r>
      <w:proofErr w:type="spellStart"/>
      <w:r>
        <w:t>doi</w:t>
      </w:r>
      <w:proofErr w:type="spellEnd"/>
      <w:r>
        <w:t>:</w:t>
      </w:r>
    </w:p>
    <w:p w14:paraId="0D859AB3" w14:textId="77777777" w:rsidR="008C6B42" w:rsidRDefault="00000000">
      <w:pPr>
        <w:pStyle w:val="BodyText"/>
        <w:spacing w:before="1"/>
        <w:ind w:left="720"/>
      </w:pPr>
      <w:r>
        <w:t>10.1016/j.jclinepi.2023.07.014</w:t>
      </w:r>
      <w:r>
        <w:rPr>
          <w:spacing w:val="-11"/>
        </w:rPr>
        <w:t xml:space="preserve"> </w:t>
      </w:r>
      <w:r>
        <w:t>[published</w:t>
      </w:r>
      <w:r>
        <w:rPr>
          <w:spacing w:val="-12"/>
        </w:rPr>
        <w:t xml:space="preserve"> </w:t>
      </w:r>
      <w:r>
        <w:t>Online</w:t>
      </w:r>
      <w:r>
        <w:rPr>
          <w:spacing w:val="-11"/>
        </w:rPr>
        <w:t xml:space="preserve"> </w:t>
      </w:r>
      <w:r>
        <w:t>First:</w:t>
      </w:r>
      <w:r>
        <w:rPr>
          <w:spacing w:val="-12"/>
        </w:rPr>
        <w:t xml:space="preserve"> </w:t>
      </w:r>
      <w:r>
        <w:rPr>
          <w:spacing w:val="-2"/>
        </w:rPr>
        <w:t>20230729]</w:t>
      </w:r>
    </w:p>
    <w:sectPr w:rsidR="008C6B42">
      <w:type w:val="continuous"/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B3423"/>
    <w:multiLevelType w:val="hybridMultilevel"/>
    <w:tmpl w:val="A75886EA"/>
    <w:lvl w:ilvl="0" w:tplc="47F874E0">
      <w:start w:val="1"/>
      <w:numFmt w:val="decimal"/>
      <w:lvlText w:val="%1."/>
      <w:lvlJc w:val="left"/>
      <w:pPr>
        <w:ind w:left="720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221EEE">
      <w:numFmt w:val="bullet"/>
      <w:lvlText w:val="•"/>
      <w:lvlJc w:val="left"/>
      <w:pPr>
        <w:ind w:left="1656" w:hanging="219"/>
      </w:pPr>
      <w:rPr>
        <w:rFonts w:hint="default"/>
        <w:lang w:val="en-US" w:eastAsia="en-US" w:bidi="ar-SA"/>
      </w:rPr>
    </w:lvl>
    <w:lvl w:ilvl="2" w:tplc="D254A026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4E7C6C38">
      <w:numFmt w:val="bullet"/>
      <w:lvlText w:val="•"/>
      <w:lvlJc w:val="left"/>
      <w:pPr>
        <w:ind w:left="3528" w:hanging="219"/>
      </w:pPr>
      <w:rPr>
        <w:rFonts w:hint="default"/>
        <w:lang w:val="en-US" w:eastAsia="en-US" w:bidi="ar-SA"/>
      </w:rPr>
    </w:lvl>
    <w:lvl w:ilvl="4" w:tplc="1278D298">
      <w:numFmt w:val="bullet"/>
      <w:lvlText w:val="•"/>
      <w:lvlJc w:val="left"/>
      <w:pPr>
        <w:ind w:left="4464" w:hanging="219"/>
      </w:pPr>
      <w:rPr>
        <w:rFonts w:hint="default"/>
        <w:lang w:val="en-US" w:eastAsia="en-US" w:bidi="ar-SA"/>
      </w:rPr>
    </w:lvl>
    <w:lvl w:ilvl="5" w:tplc="BC5C9560">
      <w:numFmt w:val="bullet"/>
      <w:lvlText w:val="•"/>
      <w:lvlJc w:val="left"/>
      <w:pPr>
        <w:ind w:left="5400" w:hanging="219"/>
      </w:pPr>
      <w:rPr>
        <w:rFonts w:hint="default"/>
        <w:lang w:val="en-US" w:eastAsia="en-US" w:bidi="ar-SA"/>
      </w:rPr>
    </w:lvl>
    <w:lvl w:ilvl="6" w:tplc="F88C9568">
      <w:numFmt w:val="bullet"/>
      <w:lvlText w:val="•"/>
      <w:lvlJc w:val="left"/>
      <w:pPr>
        <w:ind w:left="6336" w:hanging="219"/>
      </w:pPr>
      <w:rPr>
        <w:rFonts w:hint="default"/>
        <w:lang w:val="en-US" w:eastAsia="en-US" w:bidi="ar-SA"/>
      </w:rPr>
    </w:lvl>
    <w:lvl w:ilvl="7" w:tplc="44D8A066">
      <w:numFmt w:val="bullet"/>
      <w:lvlText w:val="•"/>
      <w:lvlJc w:val="left"/>
      <w:pPr>
        <w:ind w:left="7272" w:hanging="219"/>
      </w:pPr>
      <w:rPr>
        <w:rFonts w:hint="default"/>
        <w:lang w:val="en-US" w:eastAsia="en-US" w:bidi="ar-SA"/>
      </w:rPr>
    </w:lvl>
    <w:lvl w:ilvl="8" w:tplc="F7D2BE12">
      <w:numFmt w:val="bullet"/>
      <w:lvlText w:val="•"/>
      <w:lvlJc w:val="left"/>
      <w:pPr>
        <w:ind w:left="8208" w:hanging="219"/>
      </w:pPr>
      <w:rPr>
        <w:rFonts w:hint="default"/>
        <w:lang w:val="en-US" w:eastAsia="en-US" w:bidi="ar-SA"/>
      </w:rPr>
    </w:lvl>
  </w:abstractNum>
  <w:num w:numId="1" w16cid:durableId="213039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42"/>
    <w:rsid w:val="00146141"/>
    <w:rsid w:val="001E4860"/>
    <w:rsid w:val="00671422"/>
    <w:rsid w:val="008C6B42"/>
    <w:rsid w:val="00AE6FBF"/>
    <w:rsid w:val="00F8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4451"/>
  <w15:docId w15:val="{42091791-4AB7-4DF2-B9FA-42FAED43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721"/>
    </w:pPr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ho.int/publications/i/item/978924009775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Guyatt, Gordon</dc:creator>
  <cp:lastModifiedBy>Guyatt, Gordon</cp:lastModifiedBy>
  <cp:revision>3</cp:revision>
  <dcterms:created xsi:type="dcterms:W3CDTF">2026-04-28T17:40:00Z</dcterms:created>
  <dcterms:modified xsi:type="dcterms:W3CDTF">2026-04-28T17:44:00Z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for Microsoft 365</vt:lpwstr>
  </property>
</Properties>
</file>