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82A81" w14:textId="77777777" w:rsidR="0057403A" w:rsidRDefault="00000000">
      <w:pPr>
        <w:pStyle w:val="Heading1"/>
        <w:spacing w:before="39"/>
      </w:pPr>
      <w:r>
        <w:t>Appendix</w:t>
      </w:r>
      <w:r>
        <w:rPr>
          <w:spacing w:val="-5"/>
        </w:rPr>
        <w:t xml:space="preserve"> </w:t>
      </w:r>
      <w:r>
        <w:t>2.</w:t>
      </w:r>
      <w:r>
        <w:rPr>
          <w:spacing w:val="-6"/>
        </w:rPr>
        <w:t xml:space="preserve"> </w:t>
      </w:r>
      <w:r>
        <w:t>Alternative</w:t>
      </w:r>
      <w:r>
        <w:rPr>
          <w:spacing w:val="-6"/>
        </w:rPr>
        <w:t xml:space="preserve"> </w:t>
      </w:r>
      <w:r>
        <w:t>approach</w:t>
      </w:r>
      <w:r>
        <w:rPr>
          <w:spacing w:val="-6"/>
        </w:rPr>
        <w:t xml:space="preserve"> </w:t>
      </w:r>
      <w:r>
        <w:t>to</w:t>
      </w:r>
      <w:r>
        <w:rPr>
          <w:spacing w:val="-6"/>
        </w:rPr>
        <w:t xml:space="preserve"> </w:t>
      </w:r>
      <w:r>
        <w:t>rating</w:t>
      </w:r>
      <w:r>
        <w:rPr>
          <w:spacing w:val="-7"/>
        </w:rPr>
        <w:t xml:space="preserve"> </w:t>
      </w:r>
      <w:r>
        <w:t>up</w:t>
      </w:r>
      <w:r>
        <w:rPr>
          <w:spacing w:val="-6"/>
        </w:rPr>
        <w:t xml:space="preserve"> </w:t>
      </w:r>
      <w:r>
        <w:t>certainty</w:t>
      </w:r>
      <w:r>
        <w:rPr>
          <w:spacing w:val="-5"/>
        </w:rPr>
        <w:t xml:space="preserve"> </w:t>
      </w:r>
      <w:r>
        <w:t>of</w:t>
      </w:r>
      <w:r>
        <w:rPr>
          <w:spacing w:val="-5"/>
        </w:rPr>
        <w:t xml:space="preserve"> </w:t>
      </w:r>
      <w:r>
        <w:t>evidence</w:t>
      </w:r>
      <w:r>
        <w:rPr>
          <w:spacing w:val="-5"/>
        </w:rPr>
        <w:t xml:space="preserve"> </w:t>
      </w:r>
      <w:r>
        <w:t>from</w:t>
      </w:r>
      <w:r>
        <w:rPr>
          <w:spacing w:val="-7"/>
        </w:rPr>
        <w:t xml:space="preserve"> </w:t>
      </w:r>
      <w:r>
        <w:t>non-randomized</w:t>
      </w:r>
      <w:r>
        <w:rPr>
          <w:spacing w:val="-6"/>
        </w:rPr>
        <w:t xml:space="preserve"> </w:t>
      </w:r>
      <w:r>
        <w:t>studies</w:t>
      </w:r>
      <w:r>
        <w:rPr>
          <w:spacing w:val="-7"/>
        </w:rPr>
        <w:t xml:space="preserve"> </w:t>
      </w:r>
      <w:r>
        <w:t xml:space="preserve">of </w:t>
      </w:r>
      <w:r>
        <w:rPr>
          <w:spacing w:val="-2"/>
        </w:rPr>
        <w:t>interventions</w:t>
      </w:r>
    </w:p>
    <w:p w14:paraId="1E9381DD" w14:textId="77777777" w:rsidR="0057403A" w:rsidRDefault="0057403A">
      <w:pPr>
        <w:pStyle w:val="BodyText"/>
        <w:spacing w:before="3"/>
        <w:rPr>
          <w:b/>
        </w:rPr>
      </w:pPr>
    </w:p>
    <w:p w14:paraId="1BE9BD73" w14:textId="77777777" w:rsidR="0057403A" w:rsidRDefault="00000000">
      <w:pPr>
        <w:pStyle w:val="BodyText"/>
        <w:spacing w:line="237" w:lineRule="auto"/>
      </w:pPr>
      <w:r>
        <w:t>Up</w:t>
      </w:r>
      <w:r>
        <w:rPr>
          <w:spacing w:val="-6"/>
        </w:rPr>
        <w:t xml:space="preserve"> </w:t>
      </w:r>
      <w:r>
        <w:t>to</w:t>
      </w:r>
      <w:r>
        <w:rPr>
          <w:spacing w:val="-5"/>
        </w:rPr>
        <w:t xml:space="preserve"> </w:t>
      </w:r>
      <w:r>
        <w:t>now,</w:t>
      </w:r>
      <w:r>
        <w:rPr>
          <w:spacing w:val="-5"/>
        </w:rPr>
        <w:t xml:space="preserve"> </w:t>
      </w:r>
      <w:r>
        <w:t>guidance</w:t>
      </w:r>
      <w:r>
        <w:rPr>
          <w:spacing w:val="-5"/>
        </w:rPr>
        <w:t xml:space="preserve"> </w:t>
      </w:r>
      <w:r>
        <w:t>from</w:t>
      </w:r>
      <w:r>
        <w:rPr>
          <w:spacing w:val="-7"/>
        </w:rPr>
        <w:t xml:space="preserve"> </w:t>
      </w:r>
      <w:r>
        <w:t>the</w:t>
      </w:r>
      <w:r>
        <w:rPr>
          <w:spacing w:val="-5"/>
        </w:rPr>
        <w:t xml:space="preserve"> </w:t>
      </w:r>
      <w:r>
        <w:t>GRADE</w:t>
      </w:r>
      <w:r>
        <w:rPr>
          <w:spacing w:val="-5"/>
        </w:rPr>
        <w:t xml:space="preserve"> </w:t>
      </w:r>
      <w:r>
        <w:t>Working</w:t>
      </w:r>
      <w:r>
        <w:rPr>
          <w:spacing w:val="-6"/>
        </w:rPr>
        <w:t xml:space="preserve"> </w:t>
      </w:r>
      <w:r>
        <w:t>Group</w:t>
      </w:r>
      <w:r>
        <w:rPr>
          <w:spacing w:val="-6"/>
        </w:rPr>
        <w:t xml:space="preserve"> </w:t>
      </w:r>
      <w:r>
        <w:t>has</w:t>
      </w:r>
      <w:r>
        <w:rPr>
          <w:spacing w:val="-5"/>
        </w:rPr>
        <w:t xml:space="preserve"> </w:t>
      </w:r>
      <w:r>
        <w:t>taken</w:t>
      </w:r>
      <w:r>
        <w:rPr>
          <w:spacing w:val="-5"/>
        </w:rPr>
        <w:t xml:space="preserve"> </w:t>
      </w:r>
      <w:r>
        <w:t>one</w:t>
      </w:r>
      <w:r>
        <w:rPr>
          <w:spacing w:val="-7"/>
        </w:rPr>
        <w:t xml:space="preserve"> </w:t>
      </w:r>
      <w:r>
        <w:t>of</w:t>
      </w:r>
      <w:r>
        <w:rPr>
          <w:spacing w:val="-8"/>
        </w:rPr>
        <w:t xml:space="preserve"> </w:t>
      </w:r>
      <w:r>
        <w:t>two</w:t>
      </w:r>
      <w:r>
        <w:rPr>
          <w:spacing w:val="-5"/>
        </w:rPr>
        <w:t xml:space="preserve"> </w:t>
      </w:r>
      <w:r>
        <w:t>approaches</w:t>
      </w:r>
      <w:r>
        <w:rPr>
          <w:spacing w:val="-5"/>
        </w:rPr>
        <w:t xml:space="preserve"> </w:t>
      </w:r>
      <w:r>
        <w:t>to assessing</w:t>
      </w:r>
      <w:r>
        <w:rPr>
          <w:spacing w:val="-7"/>
        </w:rPr>
        <w:t xml:space="preserve"> </w:t>
      </w:r>
      <w:r>
        <w:t>certainty</w:t>
      </w:r>
      <w:r>
        <w:rPr>
          <w:spacing w:val="-5"/>
        </w:rPr>
        <w:t xml:space="preserve"> </w:t>
      </w:r>
      <w:r>
        <w:t>of evidence from non-randomized studies of interventions (NRSI):</w:t>
      </w:r>
    </w:p>
    <w:p w14:paraId="7115A729" w14:textId="77777777" w:rsidR="0057403A" w:rsidRDefault="00000000">
      <w:pPr>
        <w:pStyle w:val="ListParagraph"/>
        <w:numPr>
          <w:ilvl w:val="0"/>
          <w:numId w:val="2"/>
        </w:numPr>
        <w:tabs>
          <w:tab w:val="left" w:pos="720"/>
        </w:tabs>
        <w:spacing w:before="2"/>
        <w:ind w:right="201"/>
      </w:pPr>
      <w:r>
        <w:t>Given</w:t>
      </w:r>
      <w:r>
        <w:rPr>
          <w:spacing w:val="-4"/>
        </w:rPr>
        <w:t xml:space="preserve"> </w:t>
      </w:r>
      <w:r>
        <w:t>the</w:t>
      </w:r>
      <w:r>
        <w:rPr>
          <w:spacing w:val="-4"/>
        </w:rPr>
        <w:t xml:space="preserve"> </w:t>
      </w:r>
      <w:r>
        <w:t>seriousness</w:t>
      </w:r>
      <w:r>
        <w:rPr>
          <w:spacing w:val="-6"/>
        </w:rPr>
        <w:t xml:space="preserve"> </w:t>
      </w:r>
      <w:r>
        <w:t>of</w:t>
      </w:r>
      <w:r>
        <w:rPr>
          <w:spacing w:val="-4"/>
        </w:rPr>
        <w:t xml:space="preserve"> </w:t>
      </w:r>
      <w:r>
        <w:t>the</w:t>
      </w:r>
      <w:r>
        <w:rPr>
          <w:spacing w:val="-4"/>
        </w:rPr>
        <w:t xml:space="preserve"> </w:t>
      </w:r>
      <w:r>
        <w:t>residual</w:t>
      </w:r>
      <w:r>
        <w:rPr>
          <w:spacing w:val="-4"/>
        </w:rPr>
        <w:t xml:space="preserve"> </w:t>
      </w:r>
      <w:r>
        <w:t>confounding</w:t>
      </w:r>
      <w:r>
        <w:rPr>
          <w:spacing w:val="-5"/>
        </w:rPr>
        <w:t xml:space="preserve"> </w:t>
      </w:r>
      <w:r>
        <w:t>problem,</w:t>
      </w:r>
      <w:r>
        <w:rPr>
          <w:spacing w:val="-4"/>
        </w:rPr>
        <w:t xml:space="preserve"> </w:t>
      </w:r>
      <w:r>
        <w:t>all</w:t>
      </w:r>
      <w:r>
        <w:rPr>
          <w:spacing w:val="-4"/>
        </w:rPr>
        <w:t xml:space="preserve"> </w:t>
      </w:r>
      <w:r>
        <w:t>NRSI</w:t>
      </w:r>
      <w:r>
        <w:rPr>
          <w:spacing w:val="-5"/>
        </w:rPr>
        <w:t xml:space="preserve"> </w:t>
      </w:r>
      <w:r>
        <w:t>start</w:t>
      </w:r>
      <w:r>
        <w:rPr>
          <w:spacing w:val="-4"/>
        </w:rPr>
        <w:t xml:space="preserve"> </w:t>
      </w:r>
      <w:r>
        <w:t>as</w:t>
      </w:r>
      <w:r>
        <w:rPr>
          <w:spacing w:val="-6"/>
        </w:rPr>
        <w:t xml:space="preserve"> </w:t>
      </w:r>
      <w:r>
        <w:t>low</w:t>
      </w:r>
      <w:r>
        <w:rPr>
          <w:spacing w:val="-6"/>
        </w:rPr>
        <w:t xml:space="preserve"> </w:t>
      </w:r>
      <w:r>
        <w:t>certainty</w:t>
      </w:r>
      <w:r>
        <w:rPr>
          <w:spacing w:val="-5"/>
        </w:rPr>
        <w:t xml:space="preserve"> </w:t>
      </w:r>
      <w:r>
        <w:t>evidence</w:t>
      </w:r>
      <w:r>
        <w:rPr>
          <w:spacing w:val="-4"/>
        </w:rPr>
        <w:t xml:space="preserve"> </w:t>
      </w:r>
      <w:r>
        <w:t>but can be rated down to very low or be rated up to moderate or high.</w:t>
      </w:r>
      <w:r>
        <w:rPr>
          <w:spacing w:val="40"/>
        </w:rPr>
        <w:t xml:space="preserve"> </w:t>
      </w:r>
      <w:r>
        <w:t>This approach</w:t>
      </w:r>
      <w:r>
        <w:rPr>
          <w:spacing w:val="-1"/>
        </w:rPr>
        <w:t xml:space="preserve"> </w:t>
      </w:r>
      <w:r>
        <w:t>is valid, familiar to most GRADE users, and therefore we opted for recommending it as the primary approach in Core</w:t>
      </w:r>
    </w:p>
    <w:p w14:paraId="66BACD8C" w14:textId="77777777" w:rsidR="0057403A" w:rsidRDefault="00000000">
      <w:pPr>
        <w:pStyle w:val="BodyText"/>
        <w:ind w:left="720"/>
      </w:pPr>
      <w:r>
        <w:rPr>
          <w:spacing w:val="-2"/>
        </w:rPr>
        <w:t>GRADE.</w:t>
      </w:r>
    </w:p>
    <w:p w14:paraId="276C653A" w14:textId="77777777" w:rsidR="0057403A" w:rsidRDefault="00000000">
      <w:pPr>
        <w:pStyle w:val="ListParagraph"/>
        <w:numPr>
          <w:ilvl w:val="0"/>
          <w:numId w:val="2"/>
        </w:numPr>
        <w:tabs>
          <w:tab w:val="left" w:pos="720"/>
        </w:tabs>
        <w:ind w:right="83"/>
      </w:pPr>
      <w:r>
        <w:t>Using</w:t>
      </w:r>
      <w:r>
        <w:rPr>
          <w:spacing w:val="-6"/>
        </w:rPr>
        <w:t xml:space="preserve"> </w:t>
      </w:r>
      <w:r>
        <w:t>ROBINS-I,</w:t>
      </w:r>
      <w:r>
        <w:rPr>
          <w:vertAlign w:val="superscript"/>
        </w:rPr>
        <w:t>1</w:t>
      </w:r>
      <w:r>
        <w:rPr>
          <w:spacing w:val="-5"/>
        </w:rPr>
        <w:t xml:space="preserve"> </w:t>
      </w:r>
      <w:r>
        <w:t>starting</w:t>
      </w:r>
      <w:r>
        <w:rPr>
          <w:spacing w:val="-6"/>
        </w:rPr>
        <w:t xml:space="preserve"> </w:t>
      </w:r>
      <w:r>
        <w:t>all</w:t>
      </w:r>
      <w:r>
        <w:rPr>
          <w:spacing w:val="-5"/>
        </w:rPr>
        <w:t xml:space="preserve"> </w:t>
      </w:r>
      <w:r>
        <w:t>NRSI</w:t>
      </w:r>
      <w:r>
        <w:rPr>
          <w:spacing w:val="-6"/>
        </w:rPr>
        <w:t xml:space="preserve"> </w:t>
      </w:r>
      <w:r>
        <w:t>as</w:t>
      </w:r>
      <w:r>
        <w:rPr>
          <w:spacing w:val="-5"/>
        </w:rPr>
        <w:t xml:space="preserve"> </w:t>
      </w:r>
      <w:r>
        <w:t>high</w:t>
      </w:r>
      <w:r>
        <w:rPr>
          <w:spacing w:val="-6"/>
        </w:rPr>
        <w:t xml:space="preserve"> </w:t>
      </w:r>
      <w:r>
        <w:t>certainty</w:t>
      </w:r>
      <w:r>
        <w:rPr>
          <w:spacing w:val="-6"/>
        </w:rPr>
        <w:t xml:space="preserve"> </w:t>
      </w:r>
      <w:r>
        <w:t>evidence.</w:t>
      </w:r>
      <w:r>
        <w:rPr>
          <w:vertAlign w:val="superscript"/>
        </w:rPr>
        <w:t>2</w:t>
      </w:r>
      <w:r>
        <w:rPr>
          <w:spacing w:val="-6"/>
        </w:rPr>
        <w:t xml:space="preserve"> </w:t>
      </w:r>
      <w:r>
        <w:t>The</w:t>
      </w:r>
      <w:r>
        <w:rPr>
          <w:spacing w:val="-5"/>
        </w:rPr>
        <w:t xml:space="preserve"> </w:t>
      </w:r>
      <w:r>
        <w:t>complexity</w:t>
      </w:r>
      <w:r>
        <w:rPr>
          <w:spacing w:val="-6"/>
        </w:rPr>
        <w:t xml:space="preserve"> </w:t>
      </w:r>
      <w:r>
        <w:t>of</w:t>
      </w:r>
      <w:r>
        <w:rPr>
          <w:spacing w:val="-6"/>
        </w:rPr>
        <w:t xml:space="preserve"> </w:t>
      </w:r>
      <w:r>
        <w:t>ROBINS–I</w:t>
      </w:r>
      <w:r>
        <w:rPr>
          <w:spacing w:val="-5"/>
        </w:rPr>
        <w:t xml:space="preserve"> </w:t>
      </w:r>
      <w:r>
        <w:t>is</w:t>
      </w:r>
      <w:r>
        <w:rPr>
          <w:spacing w:val="-5"/>
        </w:rPr>
        <w:t xml:space="preserve"> </w:t>
      </w:r>
      <w:r>
        <w:t>inconsistent with the objectives of Core GRADE.</w:t>
      </w:r>
    </w:p>
    <w:p w14:paraId="04743518" w14:textId="77777777" w:rsidR="0057403A" w:rsidRDefault="0057403A">
      <w:pPr>
        <w:pStyle w:val="BodyText"/>
      </w:pPr>
    </w:p>
    <w:p w14:paraId="79259715" w14:textId="77777777" w:rsidR="0057403A" w:rsidRDefault="00000000">
      <w:pPr>
        <w:pStyle w:val="BodyText"/>
        <w:ind w:right="235"/>
        <w:jc w:val="both"/>
      </w:pPr>
      <w:r>
        <w:t>However, in discussing this topic, we found ourselves also acknowledging that the primary GRADE position of always considering NRSI</w:t>
      </w:r>
      <w:r>
        <w:rPr>
          <w:spacing w:val="-1"/>
        </w:rPr>
        <w:t xml:space="preserve"> </w:t>
      </w:r>
      <w:r>
        <w:t>to</w:t>
      </w:r>
      <w:r>
        <w:rPr>
          <w:spacing w:val="-1"/>
        </w:rPr>
        <w:t xml:space="preserve"> </w:t>
      </w:r>
      <w:r>
        <w:t>start as low</w:t>
      </w:r>
      <w:r>
        <w:rPr>
          <w:spacing w:val="-1"/>
        </w:rPr>
        <w:t xml:space="preserve"> </w:t>
      </w:r>
      <w:r>
        <w:t>certainty has</w:t>
      </w:r>
      <w:r>
        <w:rPr>
          <w:spacing w:val="-3"/>
        </w:rPr>
        <w:t xml:space="preserve"> </w:t>
      </w:r>
      <w:r>
        <w:t>been</w:t>
      </w:r>
      <w:r>
        <w:rPr>
          <w:spacing w:val="-3"/>
        </w:rPr>
        <w:t xml:space="preserve"> </w:t>
      </w:r>
      <w:r>
        <w:t>one</w:t>
      </w:r>
      <w:r>
        <w:rPr>
          <w:spacing w:val="-2"/>
        </w:rPr>
        <w:t xml:space="preserve"> </w:t>
      </w:r>
      <w:r>
        <w:t>of the aspects</w:t>
      </w:r>
      <w:r>
        <w:rPr>
          <w:spacing w:val="-2"/>
        </w:rPr>
        <w:t xml:space="preserve"> </w:t>
      </w:r>
      <w:r>
        <w:t>of GRADE</w:t>
      </w:r>
      <w:r>
        <w:rPr>
          <w:spacing w:val="-2"/>
        </w:rPr>
        <w:t xml:space="preserve"> </w:t>
      </w:r>
      <w:r>
        <w:t>creating</w:t>
      </w:r>
      <w:r>
        <w:rPr>
          <w:spacing w:val="-1"/>
        </w:rPr>
        <w:t xml:space="preserve"> </w:t>
      </w:r>
      <w:r>
        <w:t>barriers</w:t>
      </w:r>
      <w:r>
        <w:rPr>
          <w:spacing w:val="-2"/>
        </w:rPr>
        <w:t xml:space="preserve"> </w:t>
      </w:r>
      <w:r>
        <w:t>to its adoption,</w:t>
      </w:r>
      <w:r>
        <w:rPr>
          <w:spacing w:val="-8"/>
        </w:rPr>
        <w:t xml:space="preserve"> </w:t>
      </w:r>
      <w:r>
        <w:t>particularly</w:t>
      </w:r>
      <w:r>
        <w:rPr>
          <w:spacing w:val="-5"/>
        </w:rPr>
        <w:t xml:space="preserve"> </w:t>
      </w:r>
      <w:r>
        <w:t>in</w:t>
      </w:r>
      <w:r>
        <w:rPr>
          <w:spacing w:val="-9"/>
        </w:rPr>
        <w:t xml:space="preserve"> </w:t>
      </w:r>
      <w:r>
        <w:t>fields</w:t>
      </w:r>
      <w:r>
        <w:rPr>
          <w:spacing w:val="-6"/>
        </w:rPr>
        <w:t xml:space="preserve"> </w:t>
      </w:r>
      <w:r>
        <w:t>where</w:t>
      </w:r>
      <w:r>
        <w:rPr>
          <w:spacing w:val="-6"/>
        </w:rPr>
        <w:t xml:space="preserve"> </w:t>
      </w:r>
      <w:r>
        <w:t>RCTs</w:t>
      </w:r>
      <w:r>
        <w:rPr>
          <w:spacing w:val="-6"/>
        </w:rPr>
        <w:t xml:space="preserve"> </w:t>
      </w:r>
      <w:r>
        <w:t>are</w:t>
      </w:r>
      <w:r>
        <w:rPr>
          <w:spacing w:val="-6"/>
        </w:rPr>
        <w:t xml:space="preserve"> </w:t>
      </w:r>
      <w:r>
        <w:t>more</w:t>
      </w:r>
      <w:r>
        <w:rPr>
          <w:spacing w:val="-6"/>
        </w:rPr>
        <w:t xml:space="preserve"> </w:t>
      </w:r>
      <w:r>
        <w:t>difficult</w:t>
      </w:r>
      <w:r>
        <w:rPr>
          <w:spacing w:val="-6"/>
        </w:rPr>
        <w:t xml:space="preserve"> </w:t>
      </w:r>
      <w:r>
        <w:t>to</w:t>
      </w:r>
      <w:r>
        <w:rPr>
          <w:spacing w:val="-8"/>
        </w:rPr>
        <w:t xml:space="preserve"> </w:t>
      </w:r>
      <w:r>
        <w:t>perform</w:t>
      </w:r>
      <w:r>
        <w:rPr>
          <w:spacing w:val="-8"/>
        </w:rPr>
        <w:t xml:space="preserve"> </w:t>
      </w:r>
      <w:r>
        <w:t>and</w:t>
      </w:r>
      <w:r>
        <w:rPr>
          <w:spacing w:val="-8"/>
        </w:rPr>
        <w:t xml:space="preserve"> </w:t>
      </w:r>
      <w:r>
        <w:t>therefore</w:t>
      </w:r>
      <w:r>
        <w:rPr>
          <w:spacing w:val="-3"/>
        </w:rPr>
        <w:t xml:space="preserve"> </w:t>
      </w:r>
      <w:r>
        <w:t>RCT</w:t>
      </w:r>
      <w:r>
        <w:rPr>
          <w:spacing w:val="-6"/>
        </w:rPr>
        <w:t xml:space="preserve"> </w:t>
      </w:r>
      <w:r>
        <w:t>based</w:t>
      </w:r>
      <w:r>
        <w:rPr>
          <w:spacing w:val="-6"/>
        </w:rPr>
        <w:t xml:space="preserve"> </w:t>
      </w:r>
      <w:r>
        <w:t>evidence</w:t>
      </w:r>
      <w:r>
        <w:rPr>
          <w:spacing w:val="-7"/>
        </w:rPr>
        <w:t xml:space="preserve"> </w:t>
      </w:r>
      <w:r>
        <w:t>less</w:t>
      </w:r>
    </w:p>
    <w:p w14:paraId="3221F7C4" w14:textId="77777777" w:rsidR="0057403A" w:rsidRDefault="00000000">
      <w:pPr>
        <w:pStyle w:val="BodyText"/>
        <w:ind w:right="36"/>
        <w:jc w:val="both"/>
      </w:pPr>
      <w:r>
        <w:t>common,</w:t>
      </w:r>
      <w:r>
        <w:rPr>
          <w:spacing w:val="-5"/>
        </w:rPr>
        <w:t xml:space="preserve"> </w:t>
      </w:r>
      <w:r>
        <w:t>including</w:t>
      </w:r>
      <w:r>
        <w:rPr>
          <w:spacing w:val="-6"/>
        </w:rPr>
        <w:t xml:space="preserve"> </w:t>
      </w:r>
      <w:r>
        <w:t>public</w:t>
      </w:r>
      <w:r>
        <w:rPr>
          <w:spacing w:val="-7"/>
        </w:rPr>
        <w:t xml:space="preserve"> </w:t>
      </w:r>
      <w:r>
        <w:t>health,</w:t>
      </w:r>
      <w:r>
        <w:rPr>
          <w:spacing w:val="-5"/>
        </w:rPr>
        <w:t xml:space="preserve"> </w:t>
      </w:r>
      <w:r>
        <w:t>nutrition,</w:t>
      </w:r>
      <w:r>
        <w:rPr>
          <w:spacing w:val="-8"/>
        </w:rPr>
        <w:t xml:space="preserve"> </w:t>
      </w:r>
      <w:r>
        <w:t>toxicology,</w:t>
      </w:r>
      <w:r>
        <w:rPr>
          <w:spacing w:val="-5"/>
        </w:rPr>
        <w:t xml:space="preserve"> </w:t>
      </w:r>
      <w:r>
        <w:t>and</w:t>
      </w:r>
      <w:r>
        <w:rPr>
          <w:spacing w:val="-7"/>
        </w:rPr>
        <w:t xml:space="preserve"> </w:t>
      </w:r>
      <w:r>
        <w:t>rare</w:t>
      </w:r>
      <w:r>
        <w:rPr>
          <w:spacing w:val="-5"/>
        </w:rPr>
        <w:t xml:space="preserve"> </w:t>
      </w:r>
      <w:r>
        <w:t>diseases.</w:t>
      </w:r>
      <w:r>
        <w:rPr>
          <w:spacing w:val="-6"/>
        </w:rPr>
        <w:t xml:space="preserve"> </w:t>
      </w:r>
      <w:r>
        <w:t>This</w:t>
      </w:r>
      <w:r>
        <w:rPr>
          <w:spacing w:val="-8"/>
        </w:rPr>
        <w:t xml:space="preserve"> </w:t>
      </w:r>
      <w:r>
        <w:t>was</w:t>
      </w:r>
      <w:r>
        <w:rPr>
          <w:spacing w:val="-5"/>
        </w:rPr>
        <w:t xml:space="preserve"> </w:t>
      </w:r>
      <w:r>
        <w:t>one</w:t>
      </w:r>
      <w:r>
        <w:rPr>
          <w:spacing w:val="-7"/>
        </w:rPr>
        <w:t xml:space="preserve"> </w:t>
      </w:r>
      <w:r>
        <w:t>of</w:t>
      </w:r>
      <w:r>
        <w:rPr>
          <w:spacing w:val="-8"/>
        </w:rPr>
        <w:t xml:space="preserve"> </w:t>
      </w:r>
      <w:r>
        <w:t>the</w:t>
      </w:r>
      <w:r>
        <w:rPr>
          <w:spacing w:val="-5"/>
        </w:rPr>
        <w:t xml:space="preserve"> </w:t>
      </w:r>
      <w:r>
        <w:t>motivations</w:t>
      </w:r>
      <w:r>
        <w:rPr>
          <w:spacing w:val="-5"/>
        </w:rPr>
        <w:t xml:space="preserve"> </w:t>
      </w:r>
      <w:r>
        <w:t>for</w:t>
      </w:r>
      <w:r>
        <w:rPr>
          <w:spacing w:val="-5"/>
        </w:rPr>
        <w:t xml:space="preserve"> </w:t>
      </w:r>
      <w:r>
        <w:t>the creation of ROBINS–I and the enthusiasm of some GRADE working group members for its use.</w:t>
      </w:r>
    </w:p>
    <w:p w14:paraId="5C2AECB3" w14:textId="77777777" w:rsidR="0057403A" w:rsidRDefault="0057403A">
      <w:pPr>
        <w:pStyle w:val="BodyText"/>
      </w:pPr>
    </w:p>
    <w:p w14:paraId="75C76857" w14:textId="77777777" w:rsidR="0057403A" w:rsidRDefault="00000000">
      <w:pPr>
        <w:pStyle w:val="BodyText"/>
      </w:pPr>
      <w:r>
        <w:t>Therefore,</w:t>
      </w:r>
      <w:r>
        <w:rPr>
          <w:spacing w:val="-8"/>
        </w:rPr>
        <w:t xml:space="preserve"> </w:t>
      </w:r>
      <w:r>
        <w:t>we</w:t>
      </w:r>
      <w:r>
        <w:rPr>
          <w:spacing w:val="-8"/>
        </w:rPr>
        <w:t xml:space="preserve"> </w:t>
      </w:r>
      <w:r>
        <w:t>have</w:t>
      </w:r>
      <w:r>
        <w:rPr>
          <w:spacing w:val="-6"/>
        </w:rPr>
        <w:t xml:space="preserve"> </w:t>
      </w:r>
      <w:r>
        <w:t>conceived</w:t>
      </w:r>
      <w:r>
        <w:rPr>
          <w:spacing w:val="-6"/>
        </w:rPr>
        <w:t xml:space="preserve"> </w:t>
      </w:r>
      <w:r>
        <w:t>and</w:t>
      </w:r>
      <w:r>
        <w:rPr>
          <w:spacing w:val="-8"/>
        </w:rPr>
        <w:t xml:space="preserve"> </w:t>
      </w:r>
      <w:r>
        <w:t>will</w:t>
      </w:r>
      <w:r>
        <w:rPr>
          <w:spacing w:val="-6"/>
        </w:rPr>
        <w:t xml:space="preserve"> </w:t>
      </w:r>
      <w:r>
        <w:t>present</w:t>
      </w:r>
      <w:r>
        <w:rPr>
          <w:spacing w:val="-5"/>
        </w:rPr>
        <w:t xml:space="preserve"> </w:t>
      </w:r>
      <w:r>
        <w:t>here</w:t>
      </w:r>
      <w:r>
        <w:rPr>
          <w:spacing w:val="-7"/>
        </w:rPr>
        <w:t xml:space="preserve"> </w:t>
      </w:r>
      <w:r>
        <w:t>an</w:t>
      </w:r>
      <w:r>
        <w:rPr>
          <w:spacing w:val="-7"/>
        </w:rPr>
        <w:t xml:space="preserve"> </w:t>
      </w:r>
      <w:r>
        <w:t>alternative</w:t>
      </w:r>
      <w:r>
        <w:rPr>
          <w:spacing w:val="-6"/>
        </w:rPr>
        <w:t xml:space="preserve"> </w:t>
      </w:r>
      <w:r>
        <w:t>conceptual</w:t>
      </w:r>
      <w:r>
        <w:rPr>
          <w:spacing w:val="-7"/>
        </w:rPr>
        <w:t xml:space="preserve"> </w:t>
      </w:r>
      <w:r>
        <w:t>framework</w:t>
      </w:r>
      <w:r>
        <w:rPr>
          <w:spacing w:val="-6"/>
        </w:rPr>
        <w:t xml:space="preserve"> </w:t>
      </w:r>
      <w:r>
        <w:t>to</w:t>
      </w:r>
      <w:r>
        <w:rPr>
          <w:spacing w:val="-7"/>
        </w:rPr>
        <w:t xml:space="preserve"> </w:t>
      </w:r>
      <w:r>
        <w:t>the</w:t>
      </w:r>
      <w:r>
        <w:rPr>
          <w:spacing w:val="-6"/>
        </w:rPr>
        <w:t xml:space="preserve"> </w:t>
      </w:r>
      <w:r>
        <w:t>process</w:t>
      </w:r>
      <w:r>
        <w:rPr>
          <w:spacing w:val="-8"/>
        </w:rPr>
        <w:t xml:space="preserve"> </w:t>
      </w:r>
      <w:r>
        <w:t>of</w:t>
      </w:r>
      <w:r>
        <w:rPr>
          <w:spacing w:val="-6"/>
        </w:rPr>
        <w:t xml:space="preserve"> </w:t>
      </w:r>
      <w:r>
        <w:t>rating up certainty of evidence from NRSI. This approach might appeal particularly to systematic reviewers, guideline developers and health technology assessors mostly relying on NRSI, including routine clinical observation.</w:t>
      </w:r>
    </w:p>
    <w:p w14:paraId="7DFABF39" w14:textId="77777777" w:rsidR="0057403A" w:rsidRDefault="0057403A">
      <w:pPr>
        <w:pStyle w:val="BodyText"/>
        <w:spacing w:before="1"/>
      </w:pPr>
    </w:p>
    <w:p w14:paraId="1786E406" w14:textId="77777777" w:rsidR="0057403A" w:rsidRDefault="00000000">
      <w:pPr>
        <w:pStyle w:val="BodyText"/>
      </w:pPr>
      <w:r>
        <w:t>The</w:t>
      </w:r>
      <w:r>
        <w:rPr>
          <w:spacing w:val="-7"/>
        </w:rPr>
        <w:t xml:space="preserve"> </w:t>
      </w:r>
      <w:r>
        <w:t>key</w:t>
      </w:r>
      <w:r>
        <w:rPr>
          <w:spacing w:val="-7"/>
        </w:rPr>
        <w:t xml:space="preserve"> </w:t>
      </w:r>
      <w:r>
        <w:t>difference</w:t>
      </w:r>
      <w:r>
        <w:rPr>
          <w:spacing w:val="-6"/>
        </w:rPr>
        <w:t xml:space="preserve"> </w:t>
      </w:r>
      <w:r>
        <w:t>between</w:t>
      </w:r>
      <w:r>
        <w:rPr>
          <w:spacing w:val="-8"/>
        </w:rPr>
        <w:t xml:space="preserve"> </w:t>
      </w:r>
      <w:r>
        <w:t>the</w:t>
      </w:r>
      <w:r>
        <w:rPr>
          <w:spacing w:val="-5"/>
        </w:rPr>
        <w:t xml:space="preserve"> </w:t>
      </w:r>
      <w:r>
        <w:t>primary</w:t>
      </w:r>
      <w:r>
        <w:rPr>
          <w:spacing w:val="-7"/>
        </w:rPr>
        <w:t xml:space="preserve"> </w:t>
      </w:r>
      <w:r>
        <w:t>approach</w:t>
      </w:r>
      <w:r>
        <w:rPr>
          <w:spacing w:val="-8"/>
        </w:rPr>
        <w:t xml:space="preserve"> </w:t>
      </w:r>
      <w:r>
        <w:t>presented</w:t>
      </w:r>
      <w:r>
        <w:rPr>
          <w:spacing w:val="-6"/>
        </w:rPr>
        <w:t xml:space="preserve"> </w:t>
      </w:r>
      <w:r>
        <w:t>in</w:t>
      </w:r>
      <w:r>
        <w:rPr>
          <w:spacing w:val="-8"/>
        </w:rPr>
        <w:t xml:space="preserve"> </w:t>
      </w:r>
      <w:r>
        <w:t>the</w:t>
      </w:r>
      <w:r>
        <w:rPr>
          <w:spacing w:val="-7"/>
        </w:rPr>
        <w:t xml:space="preserve"> </w:t>
      </w:r>
      <w:r>
        <w:t>main</w:t>
      </w:r>
      <w:r>
        <w:rPr>
          <w:spacing w:val="-8"/>
        </w:rPr>
        <w:t xml:space="preserve"> </w:t>
      </w:r>
      <w:r>
        <w:t>text</w:t>
      </w:r>
      <w:r>
        <w:rPr>
          <w:spacing w:val="-9"/>
        </w:rPr>
        <w:t xml:space="preserve"> </w:t>
      </w:r>
      <w:r>
        <w:t>and</w:t>
      </w:r>
      <w:r>
        <w:rPr>
          <w:spacing w:val="-8"/>
        </w:rPr>
        <w:t xml:space="preserve"> </w:t>
      </w:r>
      <w:r>
        <w:t>the</w:t>
      </w:r>
      <w:r>
        <w:rPr>
          <w:spacing w:val="-7"/>
        </w:rPr>
        <w:t xml:space="preserve"> </w:t>
      </w:r>
      <w:r>
        <w:t>alternative</w:t>
      </w:r>
      <w:r>
        <w:rPr>
          <w:spacing w:val="-5"/>
        </w:rPr>
        <w:t xml:space="preserve"> </w:t>
      </w:r>
      <w:r>
        <w:rPr>
          <w:spacing w:val="-2"/>
        </w:rPr>
        <w:t>approach</w:t>
      </w:r>
    </w:p>
    <w:p w14:paraId="2CE66677" w14:textId="77777777" w:rsidR="0057403A" w:rsidRDefault="00000000">
      <w:pPr>
        <w:pStyle w:val="BodyText"/>
        <w:spacing w:before="2" w:line="237" w:lineRule="auto"/>
      </w:pPr>
      <w:r>
        <w:t>presented</w:t>
      </w:r>
      <w:r>
        <w:rPr>
          <w:spacing w:val="-6"/>
        </w:rPr>
        <w:t xml:space="preserve"> </w:t>
      </w:r>
      <w:r>
        <w:t>here</w:t>
      </w:r>
      <w:r>
        <w:rPr>
          <w:spacing w:val="-7"/>
        </w:rPr>
        <w:t xml:space="preserve"> </w:t>
      </w:r>
      <w:r>
        <w:t>is</w:t>
      </w:r>
      <w:r>
        <w:rPr>
          <w:spacing w:val="-6"/>
        </w:rPr>
        <w:t xml:space="preserve"> </w:t>
      </w:r>
      <w:r>
        <w:t>that</w:t>
      </w:r>
      <w:r>
        <w:rPr>
          <w:spacing w:val="-8"/>
        </w:rPr>
        <w:t xml:space="preserve"> </w:t>
      </w:r>
      <w:r>
        <w:t>the</w:t>
      </w:r>
      <w:r>
        <w:rPr>
          <w:spacing w:val="-8"/>
        </w:rPr>
        <w:t xml:space="preserve"> </w:t>
      </w:r>
      <w:r>
        <w:t>alternative</w:t>
      </w:r>
      <w:r>
        <w:rPr>
          <w:spacing w:val="-8"/>
        </w:rPr>
        <w:t xml:space="preserve"> </w:t>
      </w:r>
      <w:r>
        <w:t>one</w:t>
      </w:r>
      <w:r>
        <w:rPr>
          <w:spacing w:val="-7"/>
        </w:rPr>
        <w:t xml:space="preserve"> </w:t>
      </w:r>
      <w:r>
        <w:t>uses</w:t>
      </w:r>
      <w:r>
        <w:rPr>
          <w:spacing w:val="-8"/>
        </w:rPr>
        <w:t xml:space="preserve"> </w:t>
      </w:r>
      <w:r>
        <w:t>considerations</w:t>
      </w:r>
      <w:r>
        <w:rPr>
          <w:spacing w:val="-6"/>
        </w:rPr>
        <w:t xml:space="preserve"> </w:t>
      </w:r>
      <w:r>
        <w:t>about</w:t>
      </w:r>
      <w:r>
        <w:rPr>
          <w:spacing w:val="-6"/>
        </w:rPr>
        <w:t xml:space="preserve"> </w:t>
      </w:r>
      <w:r>
        <w:t>large</w:t>
      </w:r>
      <w:r>
        <w:rPr>
          <w:spacing w:val="-8"/>
        </w:rPr>
        <w:t xml:space="preserve"> </w:t>
      </w:r>
      <w:r>
        <w:t>effect</w:t>
      </w:r>
      <w:r>
        <w:rPr>
          <w:spacing w:val="-8"/>
        </w:rPr>
        <w:t xml:space="preserve"> </w:t>
      </w:r>
      <w:r>
        <w:t>and</w:t>
      </w:r>
      <w:r>
        <w:rPr>
          <w:spacing w:val="-4"/>
        </w:rPr>
        <w:t xml:space="preserve"> </w:t>
      </w:r>
      <w:r>
        <w:t>dose-response</w:t>
      </w:r>
      <w:r>
        <w:rPr>
          <w:spacing w:val="-4"/>
        </w:rPr>
        <w:t xml:space="preserve"> </w:t>
      </w:r>
      <w:r>
        <w:t>gradient</w:t>
      </w:r>
      <w:r>
        <w:rPr>
          <w:spacing w:val="-6"/>
        </w:rPr>
        <w:t xml:space="preserve"> </w:t>
      </w:r>
      <w:r>
        <w:t>not to rate up the certainty, but to establish the starting point for the certainty of evidence from NRSI. That is, RCT</w:t>
      </w:r>
    </w:p>
    <w:p w14:paraId="1DF5A41F" w14:textId="77777777" w:rsidR="0057403A" w:rsidRDefault="00000000">
      <w:pPr>
        <w:pStyle w:val="BodyText"/>
        <w:spacing w:before="2"/>
      </w:pPr>
      <w:r>
        <w:t>will</w:t>
      </w:r>
      <w:r>
        <w:rPr>
          <w:spacing w:val="-5"/>
        </w:rPr>
        <w:t xml:space="preserve"> </w:t>
      </w:r>
      <w:r>
        <w:t>always</w:t>
      </w:r>
      <w:r>
        <w:rPr>
          <w:spacing w:val="-8"/>
        </w:rPr>
        <w:t xml:space="preserve"> </w:t>
      </w:r>
      <w:r>
        <w:t>start</w:t>
      </w:r>
      <w:r>
        <w:rPr>
          <w:spacing w:val="-5"/>
        </w:rPr>
        <w:t xml:space="preserve"> </w:t>
      </w:r>
      <w:r>
        <w:t>at</w:t>
      </w:r>
      <w:r>
        <w:rPr>
          <w:spacing w:val="-7"/>
        </w:rPr>
        <w:t xml:space="preserve"> </w:t>
      </w:r>
      <w:r>
        <w:t>high</w:t>
      </w:r>
      <w:r>
        <w:rPr>
          <w:spacing w:val="-6"/>
        </w:rPr>
        <w:t xml:space="preserve"> </w:t>
      </w:r>
      <w:r>
        <w:t>certainty,</w:t>
      </w:r>
      <w:r>
        <w:rPr>
          <w:spacing w:val="-5"/>
        </w:rPr>
        <w:t xml:space="preserve"> </w:t>
      </w:r>
      <w:r>
        <w:t>and</w:t>
      </w:r>
      <w:r>
        <w:rPr>
          <w:spacing w:val="-7"/>
        </w:rPr>
        <w:t xml:space="preserve"> </w:t>
      </w:r>
      <w:r>
        <w:t>NRSI</w:t>
      </w:r>
      <w:r>
        <w:rPr>
          <w:spacing w:val="-7"/>
        </w:rPr>
        <w:t xml:space="preserve"> </w:t>
      </w:r>
      <w:r>
        <w:t>will</w:t>
      </w:r>
      <w:r>
        <w:rPr>
          <w:spacing w:val="-5"/>
        </w:rPr>
        <w:t xml:space="preserve"> </w:t>
      </w:r>
      <w:r>
        <w:t>start</w:t>
      </w:r>
      <w:r>
        <w:rPr>
          <w:spacing w:val="-5"/>
        </w:rPr>
        <w:t xml:space="preserve"> </w:t>
      </w:r>
      <w:r>
        <w:t>low</w:t>
      </w:r>
      <w:r>
        <w:rPr>
          <w:spacing w:val="-5"/>
        </w:rPr>
        <w:t xml:space="preserve"> </w:t>
      </w:r>
      <w:r>
        <w:t>unless</w:t>
      </w:r>
      <w:r>
        <w:rPr>
          <w:spacing w:val="-7"/>
        </w:rPr>
        <w:t xml:space="preserve"> </w:t>
      </w:r>
      <w:r>
        <w:t>they</w:t>
      </w:r>
      <w:r>
        <w:rPr>
          <w:spacing w:val="-5"/>
        </w:rPr>
        <w:t xml:space="preserve"> </w:t>
      </w:r>
      <w:r>
        <w:t>present</w:t>
      </w:r>
      <w:r>
        <w:rPr>
          <w:spacing w:val="-7"/>
        </w:rPr>
        <w:t xml:space="preserve"> </w:t>
      </w:r>
      <w:r>
        <w:t>a</w:t>
      </w:r>
      <w:r>
        <w:rPr>
          <w:spacing w:val="-5"/>
        </w:rPr>
        <w:t xml:space="preserve"> </w:t>
      </w:r>
      <w:r>
        <w:t>large</w:t>
      </w:r>
      <w:r>
        <w:rPr>
          <w:spacing w:val="-5"/>
        </w:rPr>
        <w:t xml:space="preserve"> </w:t>
      </w:r>
      <w:r>
        <w:t>effect</w:t>
      </w:r>
      <w:r>
        <w:rPr>
          <w:spacing w:val="-6"/>
        </w:rPr>
        <w:t xml:space="preserve"> </w:t>
      </w:r>
      <w:r>
        <w:t>or</w:t>
      </w:r>
      <w:r>
        <w:rPr>
          <w:spacing w:val="-7"/>
        </w:rPr>
        <w:t xml:space="preserve"> </w:t>
      </w:r>
      <w:r>
        <w:t>a</w:t>
      </w:r>
      <w:r>
        <w:rPr>
          <w:spacing w:val="-4"/>
        </w:rPr>
        <w:t xml:space="preserve"> </w:t>
      </w:r>
      <w:r>
        <w:t>dose-response gradient. Specifically, NRSI presenting a large effect (RR &gt;2.0 or &lt;0.5) or a gradient will start at moderate</w:t>
      </w:r>
    </w:p>
    <w:p w14:paraId="73A5F846" w14:textId="77777777" w:rsidR="0057403A" w:rsidRDefault="00000000">
      <w:pPr>
        <w:pStyle w:val="BodyText"/>
        <w:spacing w:before="1"/>
      </w:pPr>
      <w:r>
        <w:t>certainty.</w:t>
      </w:r>
      <w:r>
        <w:rPr>
          <w:spacing w:val="-6"/>
        </w:rPr>
        <w:t xml:space="preserve"> </w:t>
      </w:r>
      <w:r>
        <w:t>NRSI</w:t>
      </w:r>
      <w:r>
        <w:rPr>
          <w:spacing w:val="-7"/>
        </w:rPr>
        <w:t xml:space="preserve"> </w:t>
      </w:r>
      <w:r>
        <w:t>presenting</w:t>
      </w:r>
      <w:r>
        <w:rPr>
          <w:spacing w:val="-7"/>
        </w:rPr>
        <w:t xml:space="preserve"> </w:t>
      </w:r>
      <w:r>
        <w:t>a</w:t>
      </w:r>
      <w:r>
        <w:rPr>
          <w:spacing w:val="-8"/>
        </w:rPr>
        <w:t xml:space="preserve"> </w:t>
      </w:r>
      <w:r>
        <w:t>very</w:t>
      </w:r>
      <w:r>
        <w:rPr>
          <w:spacing w:val="-8"/>
        </w:rPr>
        <w:t xml:space="preserve"> </w:t>
      </w:r>
      <w:r>
        <w:t>large</w:t>
      </w:r>
      <w:r>
        <w:rPr>
          <w:spacing w:val="-6"/>
        </w:rPr>
        <w:t xml:space="preserve"> </w:t>
      </w:r>
      <w:r>
        <w:t>effect</w:t>
      </w:r>
      <w:r>
        <w:rPr>
          <w:spacing w:val="-7"/>
        </w:rPr>
        <w:t xml:space="preserve"> </w:t>
      </w:r>
      <w:r>
        <w:t>(RR</w:t>
      </w:r>
      <w:r>
        <w:rPr>
          <w:spacing w:val="-8"/>
        </w:rPr>
        <w:t xml:space="preserve"> </w:t>
      </w:r>
      <w:r>
        <w:t>&gt;</w:t>
      </w:r>
      <w:r>
        <w:rPr>
          <w:spacing w:val="-6"/>
        </w:rPr>
        <w:t xml:space="preserve"> </w:t>
      </w:r>
      <w:r>
        <w:t>5.0</w:t>
      </w:r>
      <w:r>
        <w:rPr>
          <w:spacing w:val="-7"/>
        </w:rPr>
        <w:t xml:space="preserve"> </w:t>
      </w:r>
      <w:r>
        <w:t>or</w:t>
      </w:r>
      <w:r>
        <w:rPr>
          <w:spacing w:val="-6"/>
        </w:rPr>
        <w:t xml:space="preserve"> </w:t>
      </w:r>
      <w:r>
        <w:t>&lt;0.2)</w:t>
      </w:r>
      <w:r>
        <w:rPr>
          <w:spacing w:val="-8"/>
        </w:rPr>
        <w:t xml:space="preserve"> </w:t>
      </w:r>
      <w:r>
        <w:t>or</w:t>
      </w:r>
      <w:r>
        <w:rPr>
          <w:spacing w:val="-8"/>
        </w:rPr>
        <w:t xml:space="preserve"> </w:t>
      </w:r>
      <w:r>
        <w:t>presenting</w:t>
      </w:r>
      <w:r>
        <w:rPr>
          <w:spacing w:val="-6"/>
        </w:rPr>
        <w:t xml:space="preserve"> </w:t>
      </w:r>
      <w:r>
        <w:t>any</w:t>
      </w:r>
      <w:r>
        <w:rPr>
          <w:spacing w:val="-8"/>
        </w:rPr>
        <w:t xml:space="preserve"> </w:t>
      </w:r>
      <w:r>
        <w:t>large</w:t>
      </w:r>
      <w:r>
        <w:rPr>
          <w:spacing w:val="-8"/>
        </w:rPr>
        <w:t xml:space="preserve"> </w:t>
      </w:r>
      <w:r>
        <w:t>effect</w:t>
      </w:r>
      <w:r>
        <w:rPr>
          <w:spacing w:val="-6"/>
        </w:rPr>
        <w:t xml:space="preserve"> </w:t>
      </w:r>
      <w:r>
        <w:t>and</w:t>
      </w:r>
      <w:r>
        <w:rPr>
          <w:spacing w:val="-7"/>
        </w:rPr>
        <w:t xml:space="preserve"> </w:t>
      </w:r>
      <w:r>
        <w:t>a</w:t>
      </w:r>
      <w:r>
        <w:rPr>
          <w:spacing w:val="-5"/>
        </w:rPr>
        <w:t xml:space="preserve"> </w:t>
      </w:r>
      <w:r>
        <w:t>dose-response gradient at the same time will start at high certainty. Thereafter, one will determine whether rating down</w:t>
      </w:r>
    </w:p>
    <w:p w14:paraId="41328C6B" w14:textId="77777777" w:rsidR="0057403A" w:rsidRDefault="00000000">
      <w:pPr>
        <w:pStyle w:val="BodyText"/>
      </w:pPr>
      <w:r>
        <w:t>certainty</w:t>
      </w:r>
      <w:r>
        <w:rPr>
          <w:spacing w:val="-6"/>
        </w:rPr>
        <w:t xml:space="preserve"> </w:t>
      </w:r>
      <w:r>
        <w:t>is</w:t>
      </w:r>
      <w:r>
        <w:rPr>
          <w:spacing w:val="-5"/>
        </w:rPr>
        <w:t xml:space="preserve"> </w:t>
      </w:r>
      <w:r>
        <w:t>needed</w:t>
      </w:r>
      <w:r>
        <w:rPr>
          <w:spacing w:val="-7"/>
        </w:rPr>
        <w:t xml:space="preserve"> </w:t>
      </w:r>
      <w:r>
        <w:t>or</w:t>
      </w:r>
      <w:r>
        <w:rPr>
          <w:spacing w:val="-5"/>
        </w:rPr>
        <w:t xml:space="preserve"> </w:t>
      </w:r>
      <w:r>
        <w:t>not</w:t>
      </w:r>
      <w:r>
        <w:rPr>
          <w:spacing w:val="-7"/>
        </w:rPr>
        <w:t xml:space="preserve"> </w:t>
      </w:r>
      <w:r>
        <w:t>by</w:t>
      </w:r>
      <w:r>
        <w:rPr>
          <w:spacing w:val="-5"/>
        </w:rPr>
        <w:t xml:space="preserve"> </w:t>
      </w:r>
      <w:r>
        <w:t>assessing</w:t>
      </w:r>
      <w:r>
        <w:rPr>
          <w:spacing w:val="-7"/>
        </w:rPr>
        <w:t xml:space="preserve"> </w:t>
      </w:r>
      <w:r>
        <w:t>risk</w:t>
      </w:r>
      <w:r>
        <w:rPr>
          <w:spacing w:val="-5"/>
        </w:rPr>
        <w:t xml:space="preserve"> </w:t>
      </w:r>
      <w:r>
        <w:t>of</w:t>
      </w:r>
      <w:r>
        <w:rPr>
          <w:spacing w:val="-8"/>
        </w:rPr>
        <w:t xml:space="preserve"> </w:t>
      </w:r>
      <w:r>
        <w:t>bias</w:t>
      </w:r>
      <w:r>
        <w:rPr>
          <w:spacing w:val="-6"/>
        </w:rPr>
        <w:t xml:space="preserve"> </w:t>
      </w:r>
      <w:r>
        <w:t>with</w:t>
      </w:r>
      <w:r>
        <w:rPr>
          <w:spacing w:val="-5"/>
        </w:rPr>
        <w:t xml:space="preserve"> </w:t>
      </w:r>
      <w:r>
        <w:t>criteria</w:t>
      </w:r>
      <w:r>
        <w:rPr>
          <w:spacing w:val="-5"/>
        </w:rPr>
        <w:t xml:space="preserve"> </w:t>
      </w:r>
      <w:r>
        <w:t>appropriate</w:t>
      </w:r>
      <w:r>
        <w:rPr>
          <w:spacing w:val="-3"/>
        </w:rPr>
        <w:t xml:space="preserve"> </w:t>
      </w:r>
      <w:r>
        <w:t>for</w:t>
      </w:r>
      <w:r>
        <w:rPr>
          <w:spacing w:val="-5"/>
        </w:rPr>
        <w:t xml:space="preserve"> </w:t>
      </w:r>
      <w:r>
        <w:t>RCTs</w:t>
      </w:r>
      <w:r>
        <w:rPr>
          <w:spacing w:val="-6"/>
        </w:rPr>
        <w:t xml:space="preserve"> </w:t>
      </w:r>
      <w:r>
        <w:t>or</w:t>
      </w:r>
      <w:r>
        <w:rPr>
          <w:spacing w:val="-5"/>
        </w:rPr>
        <w:t xml:space="preserve"> </w:t>
      </w:r>
      <w:r>
        <w:rPr>
          <w:spacing w:val="-2"/>
        </w:rPr>
        <w:t>NRSI.</w:t>
      </w:r>
    </w:p>
    <w:p w14:paraId="4B41A96E" w14:textId="77777777" w:rsidR="0057403A" w:rsidRDefault="0057403A">
      <w:pPr>
        <w:pStyle w:val="BodyText"/>
      </w:pPr>
    </w:p>
    <w:p w14:paraId="310DC285" w14:textId="77777777" w:rsidR="0057403A" w:rsidRDefault="00000000">
      <w:pPr>
        <w:pStyle w:val="BodyText"/>
        <w:spacing w:before="1"/>
        <w:ind w:right="80"/>
      </w:pPr>
      <w:r>
        <w:t>There</w:t>
      </w:r>
      <w:r>
        <w:rPr>
          <w:spacing w:val="-6"/>
        </w:rPr>
        <w:t xml:space="preserve"> </w:t>
      </w:r>
      <w:r>
        <w:t>are</w:t>
      </w:r>
      <w:r>
        <w:rPr>
          <w:spacing w:val="-3"/>
        </w:rPr>
        <w:t xml:space="preserve"> </w:t>
      </w:r>
      <w:r>
        <w:t>potential</w:t>
      </w:r>
      <w:r>
        <w:rPr>
          <w:spacing w:val="-4"/>
        </w:rPr>
        <w:t xml:space="preserve"> </w:t>
      </w:r>
      <w:r>
        <w:t>upsides</w:t>
      </w:r>
      <w:r>
        <w:rPr>
          <w:spacing w:val="-5"/>
        </w:rPr>
        <w:t xml:space="preserve"> </w:t>
      </w:r>
      <w:r>
        <w:t>to</w:t>
      </w:r>
      <w:r>
        <w:rPr>
          <w:spacing w:val="-5"/>
        </w:rPr>
        <w:t xml:space="preserve"> </w:t>
      </w:r>
      <w:r>
        <w:t>this</w:t>
      </w:r>
      <w:r>
        <w:rPr>
          <w:spacing w:val="-4"/>
        </w:rPr>
        <w:t xml:space="preserve"> </w:t>
      </w:r>
      <w:r>
        <w:t>alternative</w:t>
      </w:r>
      <w:r>
        <w:rPr>
          <w:spacing w:val="-6"/>
        </w:rPr>
        <w:t xml:space="preserve"> </w:t>
      </w:r>
      <w:r>
        <w:t>approach.</w:t>
      </w:r>
      <w:r>
        <w:rPr>
          <w:spacing w:val="-4"/>
        </w:rPr>
        <w:t xml:space="preserve"> </w:t>
      </w:r>
      <w:r>
        <w:t>First,</w:t>
      </w:r>
      <w:r>
        <w:rPr>
          <w:spacing w:val="-4"/>
        </w:rPr>
        <w:t xml:space="preserve"> </w:t>
      </w:r>
      <w:r>
        <w:t>it</w:t>
      </w:r>
      <w:r>
        <w:rPr>
          <w:spacing w:val="-4"/>
        </w:rPr>
        <w:t xml:space="preserve"> </w:t>
      </w:r>
      <w:r>
        <w:t>follows</w:t>
      </w:r>
      <w:r>
        <w:rPr>
          <w:spacing w:val="-4"/>
        </w:rPr>
        <w:t xml:space="preserve"> </w:t>
      </w:r>
      <w:r>
        <w:t>a</w:t>
      </w:r>
      <w:r>
        <w:rPr>
          <w:spacing w:val="-4"/>
        </w:rPr>
        <w:t xml:space="preserve"> </w:t>
      </w:r>
      <w:r>
        <w:t>more</w:t>
      </w:r>
      <w:r>
        <w:rPr>
          <w:spacing w:val="-6"/>
        </w:rPr>
        <w:t xml:space="preserve"> </w:t>
      </w:r>
      <w:r>
        <w:t>linear</w:t>
      </w:r>
      <w:r>
        <w:rPr>
          <w:spacing w:val="-3"/>
        </w:rPr>
        <w:t xml:space="preserve"> </w:t>
      </w:r>
      <w:r>
        <w:t>reasoning.</w:t>
      </w:r>
      <w:r>
        <w:rPr>
          <w:spacing w:val="-4"/>
        </w:rPr>
        <w:t xml:space="preserve"> </w:t>
      </w:r>
      <w:r>
        <w:t>Considering NRSI</w:t>
      </w:r>
      <w:r>
        <w:rPr>
          <w:spacing w:val="-7"/>
        </w:rPr>
        <w:t xml:space="preserve"> </w:t>
      </w:r>
      <w:r>
        <w:t>starting</w:t>
      </w:r>
      <w:r>
        <w:rPr>
          <w:spacing w:val="-6"/>
        </w:rPr>
        <w:t xml:space="preserve"> </w:t>
      </w:r>
      <w:r>
        <w:t>low</w:t>
      </w:r>
      <w:r>
        <w:rPr>
          <w:spacing w:val="-7"/>
        </w:rPr>
        <w:t xml:space="preserve"> </w:t>
      </w:r>
      <w:r>
        <w:t>in</w:t>
      </w:r>
      <w:r>
        <w:rPr>
          <w:spacing w:val="-5"/>
        </w:rPr>
        <w:t xml:space="preserve"> </w:t>
      </w:r>
      <w:r>
        <w:t>all</w:t>
      </w:r>
      <w:r>
        <w:rPr>
          <w:spacing w:val="-6"/>
        </w:rPr>
        <w:t xml:space="preserve"> </w:t>
      </w:r>
      <w:r>
        <w:t>cases,</w:t>
      </w:r>
      <w:r>
        <w:rPr>
          <w:spacing w:val="-6"/>
        </w:rPr>
        <w:t xml:space="preserve"> </w:t>
      </w:r>
      <w:r>
        <w:t>only</w:t>
      </w:r>
      <w:r>
        <w:rPr>
          <w:spacing w:val="-5"/>
        </w:rPr>
        <w:t xml:space="preserve"> </w:t>
      </w:r>
      <w:r>
        <w:t>to</w:t>
      </w:r>
      <w:r>
        <w:rPr>
          <w:spacing w:val="-4"/>
        </w:rPr>
        <w:t xml:space="preserve"> </w:t>
      </w:r>
      <w:r>
        <w:t>later</w:t>
      </w:r>
      <w:r>
        <w:rPr>
          <w:spacing w:val="-4"/>
        </w:rPr>
        <w:t xml:space="preserve"> </w:t>
      </w:r>
      <w:r>
        <w:t>modifying</w:t>
      </w:r>
      <w:r>
        <w:rPr>
          <w:spacing w:val="-7"/>
        </w:rPr>
        <w:t xml:space="preserve"> </w:t>
      </w:r>
      <w:r>
        <w:t>our</w:t>
      </w:r>
      <w:r>
        <w:rPr>
          <w:spacing w:val="-5"/>
        </w:rPr>
        <w:t xml:space="preserve"> </w:t>
      </w:r>
      <w:r>
        <w:t>judgment</w:t>
      </w:r>
      <w:r>
        <w:rPr>
          <w:spacing w:val="-5"/>
        </w:rPr>
        <w:t xml:space="preserve"> </w:t>
      </w:r>
      <w:r>
        <w:t>and</w:t>
      </w:r>
      <w:r>
        <w:rPr>
          <w:spacing w:val="-6"/>
        </w:rPr>
        <w:t xml:space="preserve"> </w:t>
      </w:r>
      <w:r>
        <w:t>recognize</w:t>
      </w:r>
      <w:r>
        <w:rPr>
          <w:spacing w:val="-9"/>
        </w:rPr>
        <w:t xml:space="preserve"> </w:t>
      </w:r>
      <w:r>
        <w:t>some</w:t>
      </w:r>
      <w:r>
        <w:rPr>
          <w:spacing w:val="-5"/>
        </w:rPr>
        <w:t xml:space="preserve"> </w:t>
      </w:r>
      <w:r>
        <w:t>are</w:t>
      </w:r>
      <w:r>
        <w:rPr>
          <w:spacing w:val="-5"/>
        </w:rPr>
        <w:t xml:space="preserve"> </w:t>
      </w:r>
      <w:r>
        <w:t>actually</w:t>
      </w:r>
      <w:r>
        <w:rPr>
          <w:spacing w:val="-6"/>
        </w:rPr>
        <w:t xml:space="preserve"> </w:t>
      </w:r>
      <w:r>
        <w:rPr>
          <w:spacing w:val="-2"/>
        </w:rPr>
        <w:t>providing</w:t>
      </w:r>
    </w:p>
    <w:p w14:paraId="77EC2ED2" w14:textId="77777777" w:rsidR="0057403A" w:rsidRDefault="00000000">
      <w:pPr>
        <w:pStyle w:val="BodyText"/>
      </w:pPr>
      <w:r>
        <w:t>higher</w:t>
      </w:r>
      <w:r>
        <w:rPr>
          <w:spacing w:val="-5"/>
        </w:rPr>
        <w:t xml:space="preserve"> </w:t>
      </w:r>
      <w:r>
        <w:t>certainty</w:t>
      </w:r>
      <w:r>
        <w:rPr>
          <w:spacing w:val="-3"/>
        </w:rPr>
        <w:t xml:space="preserve"> </w:t>
      </w:r>
      <w:r>
        <w:t>may</w:t>
      </w:r>
      <w:r>
        <w:rPr>
          <w:spacing w:val="-5"/>
        </w:rPr>
        <w:t xml:space="preserve"> </w:t>
      </w:r>
      <w:r>
        <w:t>be</w:t>
      </w:r>
      <w:r>
        <w:rPr>
          <w:spacing w:val="-5"/>
        </w:rPr>
        <w:t xml:space="preserve"> </w:t>
      </w:r>
      <w:r>
        <w:t>perceived</w:t>
      </w:r>
      <w:r>
        <w:rPr>
          <w:spacing w:val="-4"/>
        </w:rPr>
        <w:t xml:space="preserve"> </w:t>
      </w:r>
      <w:r>
        <w:t>as</w:t>
      </w:r>
      <w:r>
        <w:rPr>
          <w:spacing w:val="-7"/>
        </w:rPr>
        <w:t xml:space="preserve"> </w:t>
      </w:r>
      <w:r>
        <w:t>a</w:t>
      </w:r>
      <w:r>
        <w:rPr>
          <w:spacing w:val="-5"/>
        </w:rPr>
        <w:t xml:space="preserve"> </w:t>
      </w:r>
      <w:r>
        <w:t>convoluted</w:t>
      </w:r>
      <w:r>
        <w:rPr>
          <w:spacing w:val="-8"/>
        </w:rPr>
        <w:t xml:space="preserve"> </w:t>
      </w:r>
      <w:r>
        <w:t>and</w:t>
      </w:r>
      <w:r>
        <w:rPr>
          <w:spacing w:val="-7"/>
        </w:rPr>
        <w:t xml:space="preserve"> </w:t>
      </w:r>
      <w:r>
        <w:t>contradictory</w:t>
      </w:r>
      <w:r>
        <w:rPr>
          <w:spacing w:val="-4"/>
        </w:rPr>
        <w:t xml:space="preserve"> </w:t>
      </w:r>
      <w:r>
        <w:t>process.</w:t>
      </w:r>
      <w:r>
        <w:rPr>
          <w:spacing w:val="40"/>
        </w:rPr>
        <w:t xml:space="preserve"> </w:t>
      </w:r>
      <w:r>
        <w:t>One</w:t>
      </w:r>
      <w:r>
        <w:rPr>
          <w:spacing w:val="-5"/>
        </w:rPr>
        <w:t xml:space="preserve"> </w:t>
      </w:r>
      <w:r>
        <w:t>might</w:t>
      </w:r>
      <w:r>
        <w:rPr>
          <w:spacing w:val="-5"/>
        </w:rPr>
        <w:t xml:space="preserve"> </w:t>
      </w:r>
      <w:r>
        <w:t>consider</w:t>
      </w:r>
      <w:r>
        <w:rPr>
          <w:spacing w:val="-5"/>
        </w:rPr>
        <w:t xml:space="preserve"> </w:t>
      </w:r>
      <w:r>
        <w:t>it</w:t>
      </w:r>
      <w:r>
        <w:rPr>
          <w:spacing w:val="-3"/>
        </w:rPr>
        <w:t xml:space="preserve"> </w:t>
      </w:r>
      <w:r>
        <w:t>more</w:t>
      </w:r>
      <w:r>
        <w:rPr>
          <w:spacing w:val="-5"/>
        </w:rPr>
        <w:t xml:space="preserve"> </w:t>
      </w:r>
      <w:r>
        <w:t>logical and appropriate to set the starting level certainty looking at the characteristics of the study, beyond the simple aspect of randomization. This approach</w:t>
      </w:r>
      <w:r>
        <w:rPr>
          <w:spacing w:val="-3"/>
        </w:rPr>
        <w:t xml:space="preserve"> </w:t>
      </w:r>
      <w:r>
        <w:t>does not, as</w:t>
      </w:r>
      <w:r>
        <w:rPr>
          <w:spacing w:val="-2"/>
        </w:rPr>
        <w:t xml:space="preserve"> </w:t>
      </w:r>
      <w:r>
        <w:t>in ROBINS–I, suggest</w:t>
      </w:r>
      <w:r>
        <w:rPr>
          <w:spacing w:val="-1"/>
        </w:rPr>
        <w:t xml:space="preserve"> </w:t>
      </w:r>
      <w:r>
        <w:t>allowing liberally setting</w:t>
      </w:r>
      <w:r>
        <w:rPr>
          <w:spacing w:val="-2"/>
        </w:rPr>
        <w:t xml:space="preserve"> </w:t>
      </w:r>
      <w:r>
        <w:t>the certainty. However, it</w:t>
      </w:r>
      <w:r>
        <w:rPr>
          <w:spacing w:val="-1"/>
        </w:rPr>
        <w:t xml:space="preserve"> </w:t>
      </w:r>
      <w:r>
        <w:t>does use the large effect and dose-response gradient concepts not to “rate up” after rating down, but to</w:t>
      </w:r>
      <w:r>
        <w:rPr>
          <w:spacing w:val="-1"/>
        </w:rPr>
        <w:t xml:space="preserve"> </w:t>
      </w:r>
      <w:r>
        <w:t>set an</w:t>
      </w:r>
      <w:r>
        <w:rPr>
          <w:spacing w:val="-1"/>
        </w:rPr>
        <w:t xml:space="preserve"> </w:t>
      </w:r>
      <w:r>
        <w:t>appropriate starting</w:t>
      </w:r>
      <w:r>
        <w:rPr>
          <w:spacing w:val="-1"/>
        </w:rPr>
        <w:t xml:space="preserve"> </w:t>
      </w:r>
      <w:r>
        <w:t>point, in a somewhat</w:t>
      </w:r>
      <w:r>
        <w:rPr>
          <w:spacing w:val="-2"/>
        </w:rPr>
        <w:t xml:space="preserve"> </w:t>
      </w:r>
      <w:r>
        <w:t>more</w:t>
      </w:r>
      <w:r>
        <w:rPr>
          <w:spacing w:val="-2"/>
        </w:rPr>
        <w:t xml:space="preserve"> </w:t>
      </w:r>
      <w:r>
        <w:t>respectful and</w:t>
      </w:r>
      <w:r>
        <w:rPr>
          <w:spacing w:val="-1"/>
        </w:rPr>
        <w:t xml:space="preserve"> </w:t>
      </w:r>
      <w:r>
        <w:t>fair</w:t>
      </w:r>
      <w:r>
        <w:rPr>
          <w:spacing w:val="-1"/>
        </w:rPr>
        <w:t xml:space="preserve"> </w:t>
      </w:r>
      <w:r>
        <w:t>consideration of</w:t>
      </w:r>
      <w:r>
        <w:rPr>
          <w:spacing w:val="-3"/>
        </w:rPr>
        <w:t xml:space="preserve"> </w:t>
      </w:r>
      <w:r>
        <w:t>the quality and value of those specific studies and their authors. It is in the nature of the effect to be large or to present a gradient, and that strengthens the corresponding evidence, which therefore obviates the need to set a low</w:t>
      </w:r>
    </w:p>
    <w:p w14:paraId="3ACD2B92" w14:textId="77777777" w:rsidR="0057403A" w:rsidRDefault="00000000">
      <w:pPr>
        <w:pStyle w:val="BodyText"/>
      </w:pPr>
      <w:r>
        <w:rPr>
          <w:spacing w:val="-2"/>
        </w:rPr>
        <w:t>certainty</w:t>
      </w:r>
      <w:r>
        <w:rPr>
          <w:spacing w:val="4"/>
        </w:rPr>
        <w:t xml:space="preserve"> </w:t>
      </w:r>
      <w:r>
        <w:rPr>
          <w:spacing w:val="-2"/>
        </w:rPr>
        <w:t>starting</w:t>
      </w:r>
      <w:r>
        <w:rPr>
          <w:spacing w:val="2"/>
        </w:rPr>
        <w:t xml:space="preserve"> </w:t>
      </w:r>
      <w:r>
        <w:rPr>
          <w:spacing w:val="-2"/>
        </w:rPr>
        <w:t>point.</w:t>
      </w:r>
    </w:p>
    <w:p w14:paraId="6C0D4E7D" w14:textId="77777777" w:rsidR="0057403A" w:rsidRDefault="0057403A">
      <w:pPr>
        <w:pStyle w:val="BodyText"/>
      </w:pPr>
    </w:p>
    <w:p w14:paraId="5588F211" w14:textId="77777777" w:rsidR="0057403A" w:rsidRDefault="00000000">
      <w:pPr>
        <w:pStyle w:val="BodyText"/>
      </w:pPr>
      <w:r>
        <w:t>Second, it takes away an unresolved and somewhat embarrassing situation which happens with the rating up mechanism,</w:t>
      </w:r>
      <w:r>
        <w:rPr>
          <w:spacing w:val="-3"/>
        </w:rPr>
        <w:t xml:space="preserve"> </w:t>
      </w:r>
      <w:r>
        <w:t>which</w:t>
      </w:r>
      <w:r>
        <w:rPr>
          <w:spacing w:val="-4"/>
        </w:rPr>
        <w:t xml:space="preserve"> </w:t>
      </w:r>
      <w:r>
        <w:t>is</w:t>
      </w:r>
      <w:r>
        <w:rPr>
          <w:spacing w:val="-5"/>
        </w:rPr>
        <w:t xml:space="preserve"> </w:t>
      </w:r>
      <w:r>
        <w:t>the</w:t>
      </w:r>
      <w:r>
        <w:rPr>
          <w:spacing w:val="-3"/>
        </w:rPr>
        <w:t xml:space="preserve"> </w:t>
      </w:r>
      <w:r>
        <w:t>decision</w:t>
      </w:r>
      <w:r>
        <w:rPr>
          <w:spacing w:val="-6"/>
        </w:rPr>
        <w:t xml:space="preserve"> </w:t>
      </w:r>
      <w:r>
        <w:t>to</w:t>
      </w:r>
      <w:r>
        <w:rPr>
          <w:spacing w:val="-5"/>
        </w:rPr>
        <w:t xml:space="preserve"> </w:t>
      </w:r>
      <w:r>
        <w:t>rate</w:t>
      </w:r>
      <w:r>
        <w:rPr>
          <w:spacing w:val="-3"/>
        </w:rPr>
        <w:t xml:space="preserve"> </w:t>
      </w:r>
      <w:r>
        <w:t>up</w:t>
      </w:r>
      <w:r>
        <w:rPr>
          <w:spacing w:val="-6"/>
        </w:rPr>
        <w:t xml:space="preserve"> </w:t>
      </w:r>
      <w:r>
        <w:t>(or</w:t>
      </w:r>
      <w:r>
        <w:rPr>
          <w:spacing w:val="-3"/>
        </w:rPr>
        <w:t xml:space="preserve"> </w:t>
      </w:r>
      <w:r>
        <w:t>not)</w:t>
      </w:r>
      <w:r>
        <w:rPr>
          <w:spacing w:val="-5"/>
        </w:rPr>
        <w:t xml:space="preserve"> </w:t>
      </w:r>
      <w:r>
        <w:t>after</w:t>
      </w:r>
      <w:r>
        <w:rPr>
          <w:spacing w:val="-3"/>
        </w:rPr>
        <w:t xml:space="preserve"> </w:t>
      </w:r>
      <w:r>
        <w:t>having</w:t>
      </w:r>
      <w:r>
        <w:rPr>
          <w:spacing w:val="-4"/>
        </w:rPr>
        <w:t xml:space="preserve"> </w:t>
      </w:r>
      <w:r>
        <w:t>rated</w:t>
      </w:r>
      <w:r>
        <w:rPr>
          <w:spacing w:val="-3"/>
        </w:rPr>
        <w:t xml:space="preserve"> </w:t>
      </w:r>
      <w:r>
        <w:t>down</w:t>
      </w:r>
      <w:r>
        <w:rPr>
          <w:spacing w:val="-5"/>
        </w:rPr>
        <w:t xml:space="preserve"> </w:t>
      </w:r>
      <w:r>
        <w:t>the</w:t>
      </w:r>
      <w:r>
        <w:rPr>
          <w:spacing w:val="-5"/>
        </w:rPr>
        <w:t xml:space="preserve"> </w:t>
      </w:r>
      <w:r>
        <w:t>same</w:t>
      </w:r>
      <w:r>
        <w:rPr>
          <w:spacing w:val="-3"/>
        </w:rPr>
        <w:t xml:space="preserve"> </w:t>
      </w:r>
      <w:r>
        <w:t>evidence</w:t>
      </w:r>
      <w:r>
        <w:rPr>
          <w:spacing w:val="-3"/>
        </w:rPr>
        <w:t xml:space="preserve"> </w:t>
      </w:r>
      <w:r>
        <w:t>during</w:t>
      </w:r>
      <w:r>
        <w:rPr>
          <w:spacing w:val="-4"/>
        </w:rPr>
        <w:t xml:space="preserve"> </w:t>
      </w:r>
      <w:r>
        <w:t>the</w:t>
      </w:r>
      <w:r>
        <w:rPr>
          <w:spacing w:val="-5"/>
        </w:rPr>
        <w:t xml:space="preserve"> </w:t>
      </w:r>
      <w:r>
        <w:t>RoB assessment. On this point, GRADE is not proposing a unique solution, leading to the same body of evidence potentially being assigned a different level of certainty depending on one rating up or not after having rated down. By using the large effect and gradient criteria to set the starting certainty point, the issue is naturally</w:t>
      </w:r>
    </w:p>
    <w:p w14:paraId="01BB5C28" w14:textId="77777777" w:rsidR="0057403A" w:rsidRDefault="00000000">
      <w:pPr>
        <w:pStyle w:val="BodyText"/>
        <w:spacing w:line="267" w:lineRule="exact"/>
      </w:pPr>
      <w:r>
        <w:t>solved,</w:t>
      </w:r>
      <w:r>
        <w:rPr>
          <w:spacing w:val="-5"/>
        </w:rPr>
        <w:t xml:space="preserve"> </w:t>
      </w:r>
      <w:r>
        <w:t>as</w:t>
      </w:r>
      <w:r>
        <w:rPr>
          <w:spacing w:val="-5"/>
        </w:rPr>
        <w:t xml:space="preserve"> </w:t>
      </w:r>
      <w:r>
        <w:t>rating</w:t>
      </w:r>
      <w:r>
        <w:rPr>
          <w:spacing w:val="-5"/>
        </w:rPr>
        <w:t xml:space="preserve"> </w:t>
      </w:r>
      <w:r>
        <w:t>down</w:t>
      </w:r>
      <w:r>
        <w:rPr>
          <w:spacing w:val="-7"/>
        </w:rPr>
        <w:t xml:space="preserve"> </w:t>
      </w:r>
      <w:r>
        <w:t>will</w:t>
      </w:r>
      <w:r>
        <w:rPr>
          <w:spacing w:val="-7"/>
        </w:rPr>
        <w:t xml:space="preserve"> </w:t>
      </w:r>
      <w:r>
        <w:t>happen</w:t>
      </w:r>
      <w:r>
        <w:rPr>
          <w:spacing w:val="-4"/>
        </w:rPr>
        <w:t xml:space="preserve"> </w:t>
      </w:r>
      <w:r>
        <w:t>at</w:t>
      </w:r>
      <w:r>
        <w:rPr>
          <w:spacing w:val="-5"/>
        </w:rPr>
        <w:t xml:space="preserve"> </w:t>
      </w:r>
      <w:r>
        <w:t>a</w:t>
      </w:r>
      <w:r>
        <w:rPr>
          <w:spacing w:val="-5"/>
        </w:rPr>
        <w:t xml:space="preserve"> </w:t>
      </w:r>
      <w:r>
        <w:t>later</w:t>
      </w:r>
      <w:r>
        <w:rPr>
          <w:spacing w:val="-4"/>
        </w:rPr>
        <w:t xml:space="preserve"> </w:t>
      </w:r>
      <w:r>
        <w:t>step,</w:t>
      </w:r>
      <w:r>
        <w:rPr>
          <w:spacing w:val="-5"/>
        </w:rPr>
        <w:t xml:space="preserve"> </w:t>
      </w:r>
      <w:r>
        <w:t>with</w:t>
      </w:r>
      <w:r>
        <w:rPr>
          <w:spacing w:val="-4"/>
        </w:rPr>
        <w:t xml:space="preserve"> </w:t>
      </w:r>
      <w:r>
        <w:t>no</w:t>
      </w:r>
      <w:r>
        <w:rPr>
          <w:spacing w:val="-5"/>
        </w:rPr>
        <w:t xml:space="preserve"> </w:t>
      </w:r>
      <w:r>
        <w:rPr>
          <w:spacing w:val="-2"/>
        </w:rPr>
        <w:t>ambiguity.</w:t>
      </w:r>
    </w:p>
    <w:p w14:paraId="0BCB262D" w14:textId="77777777" w:rsidR="0057403A" w:rsidRDefault="0057403A">
      <w:pPr>
        <w:pStyle w:val="BodyText"/>
        <w:spacing w:line="267" w:lineRule="exact"/>
        <w:sectPr w:rsidR="0057403A">
          <w:type w:val="continuous"/>
          <w:pgSz w:w="12240" w:h="15840"/>
          <w:pgMar w:top="1400" w:right="1080" w:bottom="280" w:left="1080" w:header="720" w:footer="720" w:gutter="0"/>
          <w:cols w:space="720"/>
        </w:sectPr>
      </w:pPr>
    </w:p>
    <w:p w14:paraId="0B84564F" w14:textId="77777777" w:rsidR="0057403A" w:rsidRDefault="00000000">
      <w:pPr>
        <w:pStyle w:val="BodyText"/>
        <w:spacing w:before="39"/>
        <w:ind w:right="80"/>
      </w:pPr>
      <w:r>
        <w:lastRenderedPageBreak/>
        <w:t>Third,</w:t>
      </w:r>
      <w:r>
        <w:rPr>
          <w:spacing w:val="-5"/>
        </w:rPr>
        <w:t xml:space="preserve"> </w:t>
      </w:r>
      <w:r>
        <w:t>the</w:t>
      </w:r>
      <w:r>
        <w:rPr>
          <w:spacing w:val="-7"/>
        </w:rPr>
        <w:t xml:space="preserve"> </w:t>
      </w:r>
      <w:r>
        <w:t>two</w:t>
      </w:r>
      <w:r>
        <w:rPr>
          <w:spacing w:val="-4"/>
        </w:rPr>
        <w:t xml:space="preserve"> </w:t>
      </w:r>
      <w:r>
        <w:t>criteria</w:t>
      </w:r>
      <w:r>
        <w:rPr>
          <w:spacing w:val="-8"/>
        </w:rPr>
        <w:t xml:space="preserve"> </w:t>
      </w:r>
      <w:r>
        <w:t>were</w:t>
      </w:r>
      <w:r>
        <w:rPr>
          <w:spacing w:val="-7"/>
        </w:rPr>
        <w:t xml:space="preserve"> </w:t>
      </w:r>
      <w:r>
        <w:t>empirically</w:t>
      </w:r>
      <w:r>
        <w:rPr>
          <w:spacing w:val="-2"/>
        </w:rPr>
        <w:t xml:space="preserve"> </w:t>
      </w:r>
      <w:r>
        <w:t>discovered.</w:t>
      </w:r>
      <w:r>
        <w:rPr>
          <w:spacing w:val="-6"/>
        </w:rPr>
        <w:t xml:space="preserve"> </w:t>
      </w:r>
      <w:r>
        <w:t>They</w:t>
      </w:r>
      <w:r>
        <w:rPr>
          <w:spacing w:val="-3"/>
        </w:rPr>
        <w:t xml:space="preserve"> </w:t>
      </w:r>
      <w:r>
        <w:t>are</w:t>
      </w:r>
      <w:r>
        <w:rPr>
          <w:spacing w:val="-7"/>
        </w:rPr>
        <w:t xml:space="preserve"> </w:t>
      </w:r>
      <w:r>
        <w:t>not</w:t>
      </w:r>
      <w:r>
        <w:rPr>
          <w:spacing w:val="-5"/>
        </w:rPr>
        <w:t xml:space="preserve"> </w:t>
      </w:r>
      <w:r>
        <w:t>common</w:t>
      </w:r>
      <w:r>
        <w:rPr>
          <w:spacing w:val="-6"/>
        </w:rPr>
        <w:t xml:space="preserve"> </w:t>
      </w:r>
      <w:r>
        <w:t>but</w:t>
      </w:r>
      <w:r>
        <w:rPr>
          <w:spacing w:val="-5"/>
        </w:rPr>
        <w:t xml:space="preserve"> </w:t>
      </w:r>
      <w:r>
        <w:t>present</w:t>
      </w:r>
      <w:r>
        <w:rPr>
          <w:spacing w:val="-5"/>
        </w:rPr>
        <w:t xml:space="preserve"> </w:t>
      </w:r>
      <w:r>
        <w:t>from</w:t>
      </w:r>
      <w:r>
        <w:rPr>
          <w:spacing w:val="-7"/>
        </w:rPr>
        <w:t xml:space="preserve"> </w:t>
      </w:r>
      <w:r>
        <w:t>time</w:t>
      </w:r>
      <w:r>
        <w:rPr>
          <w:spacing w:val="-7"/>
        </w:rPr>
        <w:t xml:space="preserve"> </w:t>
      </w:r>
      <w:r>
        <w:t>to</w:t>
      </w:r>
      <w:r>
        <w:rPr>
          <w:spacing w:val="-7"/>
        </w:rPr>
        <w:t xml:space="preserve"> </w:t>
      </w:r>
      <w:r>
        <w:t>time.</w:t>
      </w:r>
      <w:r>
        <w:rPr>
          <w:spacing w:val="-2"/>
        </w:rPr>
        <w:t xml:space="preserve"> </w:t>
      </w:r>
      <w:r>
        <w:t>Setting the starting level of certainty basing the judgement on empirically established criteria is a logical approach, which is very similar in nature to the concept of target trial,</w:t>
      </w:r>
      <w:r>
        <w:rPr>
          <w:vertAlign w:val="superscript"/>
        </w:rPr>
        <w:t>3</w:t>
      </w:r>
      <w:r>
        <w:t xml:space="preserve"> or the assumption behind the logical construct of </w:t>
      </w:r>
      <w:r>
        <w:rPr>
          <w:spacing w:val="-2"/>
        </w:rPr>
        <w:t>ROBINS-I.</w:t>
      </w:r>
    </w:p>
    <w:p w14:paraId="6EEFC384" w14:textId="77777777" w:rsidR="0057403A" w:rsidRDefault="00000000">
      <w:pPr>
        <w:pStyle w:val="BodyText"/>
      </w:pPr>
      <w:r>
        <w:t>We anticipate that those systematic reviewers, guidelines users and health technology assessors sympathetic with ROBINS-I but hesitating because of its complexity will find the alternative approach more natural and congenial.</w:t>
      </w:r>
      <w:r>
        <w:rPr>
          <w:spacing w:val="40"/>
        </w:rPr>
        <w:t xml:space="preserve"> </w:t>
      </w:r>
      <w:r>
        <w:t>We are not suggesting, at this time, that in</w:t>
      </w:r>
      <w:r>
        <w:rPr>
          <w:spacing w:val="-2"/>
        </w:rPr>
        <w:t xml:space="preserve"> </w:t>
      </w:r>
      <w:r>
        <w:t>keeping</w:t>
      </w:r>
      <w:r>
        <w:rPr>
          <w:spacing w:val="-1"/>
        </w:rPr>
        <w:t xml:space="preserve"> </w:t>
      </w:r>
      <w:r>
        <w:t>with ROBINS–I,</w:t>
      </w:r>
      <w:r>
        <w:rPr>
          <w:spacing w:val="-1"/>
        </w:rPr>
        <w:t xml:space="preserve"> </w:t>
      </w:r>
      <w:r>
        <w:t>NRSI will start high or</w:t>
      </w:r>
      <w:r>
        <w:rPr>
          <w:spacing w:val="-1"/>
        </w:rPr>
        <w:t xml:space="preserve"> </w:t>
      </w:r>
      <w:r>
        <w:t>moderate for</w:t>
      </w:r>
      <w:r>
        <w:rPr>
          <w:spacing w:val="-8"/>
        </w:rPr>
        <w:t xml:space="preserve"> </w:t>
      </w:r>
      <w:r>
        <w:t>reasons</w:t>
      </w:r>
      <w:r>
        <w:rPr>
          <w:spacing w:val="-11"/>
        </w:rPr>
        <w:t xml:space="preserve"> </w:t>
      </w:r>
      <w:r>
        <w:t>different</w:t>
      </w:r>
      <w:r>
        <w:rPr>
          <w:spacing w:val="-10"/>
        </w:rPr>
        <w:t xml:space="preserve"> </w:t>
      </w:r>
      <w:r>
        <w:t>from</w:t>
      </w:r>
      <w:r>
        <w:rPr>
          <w:spacing w:val="-10"/>
        </w:rPr>
        <w:t xml:space="preserve"> </w:t>
      </w:r>
      <w:r>
        <w:t>large</w:t>
      </w:r>
      <w:r>
        <w:rPr>
          <w:spacing w:val="-10"/>
        </w:rPr>
        <w:t xml:space="preserve"> </w:t>
      </w:r>
      <w:r>
        <w:t>effects</w:t>
      </w:r>
      <w:r>
        <w:rPr>
          <w:spacing w:val="-10"/>
        </w:rPr>
        <w:t xml:space="preserve"> </w:t>
      </w:r>
      <w:r>
        <w:t>or</w:t>
      </w:r>
      <w:r>
        <w:rPr>
          <w:spacing w:val="-8"/>
        </w:rPr>
        <w:t xml:space="preserve"> </w:t>
      </w:r>
      <w:r>
        <w:t>gradient.</w:t>
      </w:r>
      <w:r>
        <w:rPr>
          <w:spacing w:val="-8"/>
        </w:rPr>
        <w:t xml:space="preserve"> </w:t>
      </w:r>
      <w:r>
        <w:t>However,</w:t>
      </w:r>
      <w:r>
        <w:rPr>
          <w:spacing w:val="-8"/>
        </w:rPr>
        <w:t xml:space="preserve"> </w:t>
      </w:r>
      <w:r>
        <w:t>should</w:t>
      </w:r>
      <w:r>
        <w:rPr>
          <w:spacing w:val="-10"/>
        </w:rPr>
        <w:t xml:space="preserve"> </w:t>
      </w:r>
      <w:r>
        <w:t>empirical</w:t>
      </w:r>
      <w:r>
        <w:rPr>
          <w:spacing w:val="-8"/>
        </w:rPr>
        <w:t xml:space="preserve"> </w:t>
      </w:r>
      <w:r>
        <w:t>evidence</w:t>
      </w:r>
      <w:r>
        <w:rPr>
          <w:spacing w:val="-8"/>
        </w:rPr>
        <w:t xml:space="preserve"> </w:t>
      </w:r>
      <w:r>
        <w:t>be</w:t>
      </w:r>
      <w:r>
        <w:rPr>
          <w:spacing w:val="-8"/>
        </w:rPr>
        <w:t xml:space="preserve"> </w:t>
      </w:r>
      <w:r>
        <w:t>put</w:t>
      </w:r>
      <w:r>
        <w:rPr>
          <w:spacing w:val="-10"/>
        </w:rPr>
        <w:t xml:space="preserve"> </w:t>
      </w:r>
      <w:r>
        <w:t>forward</w:t>
      </w:r>
      <w:r>
        <w:rPr>
          <w:spacing w:val="-9"/>
        </w:rPr>
        <w:t xml:space="preserve"> </w:t>
      </w:r>
      <w:r>
        <w:t>to</w:t>
      </w:r>
      <w:r>
        <w:rPr>
          <w:spacing w:val="-8"/>
        </w:rPr>
        <w:t xml:space="preserve"> </w:t>
      </w:r>
      <w:r>
        <w:t>make</w:t>
      </w:r>
    </w:p>
    <w:p w14:paraId="7F2CA40D" w14:textId="77777777" w:rsidR="0057403A" w:rsidRDefault="00000000">
      <w:pPr>
        <w:pStyle w:val="BodyText"/>
        <w:ind w:right="9"/>
      </w:pPr>
      <w:r>
        <w:t>the</w:t>
      </w:r>
      <w:r>
        <w:rPr>
          <w:spacing w:val="-6"/>
        </w:rPr>
        <w:t xml:space="preserve"> </w:t>
      </w:r>
      <w:r>
        <w:t>case</w:t>
      </w:r>
      <w:r>
        <w:rPr>
          <w:spacing w:val="-8"/>
        </w:rPr>
        <w:t xml:space="preserve"> </w:t>
      </w:r>
      <w:r>
        <w:t>that</w:t>
      </w:r>
      <w:r>
        <w:rPr>
          <w:spacing w:val="-8"/>
        </w:rPr>
        <w:t xml:space="preserve"> </w:t>
      </w:r>
      <w:r>
        <w:t>other</w:t>
      </w:r>
      <w:r>
        <w:rPr>
          <w:spacing w:val="-6"/>
        </w:rPr>
        <w:t xml:space="preserve"> </w:t>
      </w:r>
      <w:r>
        <w:t>study</w:t>
      </w:r>
      <w:r>
        <w:rPr>
          <w:spacing w:val="-8"/>
        </w:rPr>
        <w:t xml:space="preserve"> </w:t>
      </w:r>
      <w:r>
        <w:t>characteristics</w:t>
      </w:r>
      <w:r>
        <w:rPr>
          <w:spacing w:val="-9"/>
        </w:rPr>
        <w:t xml:space="preserve"> </w:t>
      </w:r>
      <w:r>
        <w:t>might</w:t>
      </w:r>
      <w:r>
        <w:rPr>
          <w:spacing w:val="-5"/>
        </w:rPr>
        <w:t xml:space="preserve"> </w:t>
      </w:r>
      <w:r>
        <w:t>contribute</w:t>
      </w:r>
      <w:r>
        <w:rPr>
          <w:spacing w:val="-4"/>
        </w:rPr>
        <w:t xml:space="preserve"> </w:t>
      </w:r>
      <w:r>
        <w:t>to</w:t>
      </w:r>
      <w:r>
        <w:rPr>
          <w:spacing w:val="-5"/>
        </w:rPr>
        <w:t xml:space="preserve"> </w:t>
      </w:r>
      <w:r>
        <w:t>increase</w:t>
      </w:r>
      <w:r>
        <w:rPr>
          <w:spacing w:val="-8"/>
        </w:rPr>
        <w:t xml:space="preserve"> </w:t>
      </w:r>
      <w:r>
        <w:t>our</w:t>
      </w:r>
      <w:r>
        <w:rPr>
          <w:spacing w:val="-6"/>
        </w:rPr>
        <w:t xml:space="preserve"> </w:t>
      </w:r>
      <w:r>
        <w:t>certainty,</w:t>
      </w:r>
      <w:r>
        <w:rPr>
          <w:spacing w:val="-6"/>
        </w:rPr>
        <w:t xml:space="preserve"> </w:t>
      </w:r>
      <w:r>
        <w:t>they</w:t>
      </w:r>
      <w:r>
        <w:rPr>
          <w:spacing w:val="-6"/>
        </w:rPr>
        <w:t xml:space="preserve"> </w:t>
      </w:r>
      <w:r>
        <w:t>could</w:t>
      </w:r>
      <w:r>
        <w:rPr>
          <w:spacing w:val="-8"/>
        </w:rPr>
        <w:t xml:space="preserve"> </w:t>
      </w:r>
      <w:r>
        <w:t>be</w:t>
      </w:r>
      <w:r>
        <w:rPr>
          <w:spacing w:val="-6"/>
        </w:rPr>
        <w:t xml:space="preserve"> </w:t>
      </w:r>
      <w:r>
        <w:t>incorporated</w:t>
      </w:r>
      <w:r>
        <w:rPr>
          <w:spacing w:val="-4"/>
        </w:rPr>
        <w:t xml:space="preserve"> </w:t>
      </w:r>
      <w:r>
        <w:t>in future guidance.</w:t>
      </w:r>
    </w:p>
    <w:p w14:paraId="6E9E7EAE" w14:textId="77777777" w:rsidR="0057403A" w:rsidRDefault="0057403A">
      <w:pPr>
        <w:pStyle w:val="BodyText"/>
        <w:spacing w:before="1"/>
      </w:pPr>
    </w:p>
    <w:p w14:paraId="516ED212" w14:textId="77777777" w:rsidR="0057403A" w:rsidRDefault="00000000">
      <w:pPr>
        <w:pStyle w:val="BodyText"/>
      </w:pPr>
      <w:r>
        <w:t>Fourth,</w:t>
      </w:r>
      <w:r>
        <w:rPr>
          <w:spacing w:val="-4"/>
        </w:rPr>
        <w:t xml:space="preserve"> </w:t>
      </w:r>
      <w:r>
        <w:t>it</w:t>
      </w:r>
      <w:r>
        <w:rPr>
          <w:spacing w:val="-6"/>
        </w:rPr>
        <w:t xml:space="preserve"> </w:t>
      </w:r>
      <w:r>
        <w:t>is</w:t>
      </w:r>
      <w:r>
        <w:rPr>
          <w:spacing w:val="-4"/>
        </w:rPr>
        <w:t xml:space="preserve"> </w:t>
      </w:r>
      <w:r>
        <w:t>important</w:t>
      </w:r>
      <w:r>
        <w:rPr>
          <w:spacing w:val="-4"/>
        </w:rPr>
        <w:t xml:space="preserve"> </w:t>
      </w:r>
      <w:r>
        <w:t>to</w:t>
      </w:r>
      <w:r>
        <w:rPr>
          <w:spacing w:val="-5"/>
        </w:rPr>
        <w:t xml:space="preserve"> </w:t>
      </w:r>
      <w:r>
        <w:t>outline</w:t>
      </w:r>
      <w:r>
        <w:rPr>
          <w:spacing w:val="-4"/>
        </w:rPr>
        <w:t xml:space="preserve"> </w:t>
      </w:r>
      <w:r>
        <w:t>that</w:t>
      </w:r>
      <w:r>
        <w:rPr>
          <w:spacing w:val="-4"/>
        </w:rPr>
        <w:t xml:space="preserve"> </w:t>
      </w:r>
      <w:r>
        <w:t>the</w:t>
      </w:r>
      <w:r>
        <w:rPr>
          <w:spacing w:val="-2"/>
        </w:rPr>
        <w:t xml:space="preserve"> </w:t>
      </w:r>
      <w:r>
        <w:t>proposed</w:t>
      </w:r>
      <w:r>
        <w:rPr>
          <w:spacing w:val="-3"/>
        </w:rPr>
        <w:t xml:space="preserve"> </w:t>
      </w:r>
      <w:r>
        <w:t>alternative</w:t>
      </w:r>
      <w:r>
        <w:rPr>
          <w:spacing w:val="-4"/>
        </w:rPr>
        <w:t xml:space="preserve"> </w:t>
      </w:r>
      <w:r>
        <w:t>approach</w:t>
      </w:r>
      <w:r>
        <w:rPr>
          <w:spacing w:val="-4"/>
        </w:rPr>
        <w:t xml:space="preserve"> </w:t>
      </w:r>
      <w:r>
        <w:t>will</w:t>
      </w:r>
      <w:r>
        <w:rPr>
          <w:spacing w:val="-4"/>
        </w:rPr>
        <w:t xml:space="preserve"> </w:t>
      </w:r>
      <w:r>
        <w:t>lead</w:t>
      </w:r>
      <w:r>
        <w:rPr>
          <w:spacing w:val="-7"/>
        </w:rPr>
        <w:t xml:space="preserve"> </w:t>
      </w:r>
      <w:r>
        <w:t>exactly</w:t>
      </w:r>
      <w:r>
        <w:rPr>
          <w:spacing w:val="-6"/>
        </w:rPr>
        <w:t xml:space="preserve"> </w:t>
      </w:r>
      <w:r>
        <w:t>to</w:t>
      </w:r>
      <w:r>
        <w:rPr>
          <w:spacing w:val="-5"/>
        </w:rPr>
        <w:t xml:space="preserve"> </w:t>
      </w:r>
      <w:r>
        <w:t>the</w:t>
      </w:r>
      <w:r>
        <w:rPr>
          <w:spacing w:val="-4"/>
        </w:rPr>
        <w:t xml:space="preserve"> </w:t>
      </w:r>
      <w:r>
        <w:t>same</w:t>
      </w:r>
      <w:r>
        <w:rPr>
          <w:spacing w:val="-4"/>
        </w:rPr>
        <w:t xml:space="preserve"> </w:t>
      </w:r>
      <w:r>
        <w:t>results</w:t>
      </w:r>
      <w:r>
        <w:rPr>
          <w:spacing w:val="-7"/>
        </w:rPr>
        <w:t xml:space="preserve"> </w:t>
      </w:r>
      <w:r>
        <w:t xml:space="preserve">as the rating up process, thus not causing any disagreement or deviation in the appraisal of the same body of </w:t>
      </w:r>
      <w:r>
        <w:rPr>
          <w:spacing w:val="-2"/>
        </w:rPr>
        <w:t>evidence.</w:t>
      </w:r>
    </w:p>
    <w:p w14:paraId="237DD5EE" w14:textId="77777777" w:rsidR="0057403A" w:rsidRDefault="00000000">
      <w:pPr>
        <w:pStyle w:val="BodyText"/>
        <w:spacing w:before="267"/>
      </w:pPr>
      <w:r>
        <w:t>The</w:t>
      </w:r>
      <w:r>
        <w:rPr>
          <w:spacing w:val="-6"/>
        </w:rPr>
        <w:t xml:space="preserve"> </w:t>
      </w:r>
      <w:r>
        <w:t>major</w:t>
      </w:r>
      <w:r>
        <w:rPr>
          <w:spacing w:val="-8"/>
        </w:rPr>
        <w:t xml:space="preserve"> </w:t>
      </w:r>
      <w:r>
        <w:t>downside</w:t>
      </w:r>
      <w:r>
        <w:rPr>
          <w:spacing w:val="-6"/>
        </w:rPr>
        <w:t xml:space="preserve"> </w:t>
      </w:r>
      <w:r>
        <w:t>we</w:t>
      </w:r>
      <w:r>
        <w:rPr>
          <w:spacing w:val="-7"/>
        </w:rPr>
        <w:t xml:space="preserve"> </w:t>
      </w:r>
      <w:r>
        <w:t>see</w:t>
      </w:r>
      <w:r>
        <w:rPr>
          <w:spacing w:val="-6"/>
        </w:rPr>
        <w:t xml:space="preserve"> </w:t>
      </w:r>
      <w:r>
        <w:t>to</w:t>
      </w:r>
      <w:r>
        <w:rPr>
          <w:spacing w:val="-4"/>
        </w:rPr>
        <w:t xml:space="preserve"> </w:t>
      </w:r>
      <w:r>
        <w:t>this</w:t>
      </w:r>
      <w:r>
        <w:rPr>
          <w:spacing w:val="-5"/>
        </w:rPr>
        <w:t xml:space="preserve"> </w:t>
      </w:r>
      <w:r>
        <w:t>approach,</w:t>
      </w:r>
      <w:r>
        <w:rPr>
          <w:spacing w:val="-5"/>
        </w:rPr>
        <w:t xml:space="preserve"> </w:t>
      </w:r>
      <w:r>
        <w:t>which</w:t>
      </w:r>
      <w:r>
        <w:rPr>
          <w:spacing w:val="-9"/>
        </w:rPr>
        <w:t xml:space="preserve"> </w:t>
      </w:r>
      <w:r>
        <w:t>we</w:t>
      </w:r>
      <w:r>
        <w:rPr>
          <w:spacing w:val="-5"/>
        </w:rPr>
        <w:t xml:space="preserve"> </w:t>
      </w:r>
      <w:r>
        <w:t>considered</w:t>
      </w:r>
      <w:r>
        <w:rPr>
          <w:spacing w:val="-5"/>
        </w:rPr>
        <w:t xml:space="preserve"> </w:t>
      </w:r>
      <w:r>
        <w:t>important</w:t>
      </w:r>
      <w:r>
        <w:rPr>
          <w:spacing w:val="-7"/>
        </w:rPr>
        <w:t xml:space="preserve"> </w:t>
      </w:r>
      <w:r>
        <w:t>enough</w:t>
      </w:r>
      <w:r>
        <w:rPr>
          <w:spacing w:val="-6"/>
        </w:rPr>
        <w:t xml:space="preserve"> </w:t>
      </w:r>
      <w:r>
        <w:t>to</w:t>
      </w:r>
      <w:r>
        <w:rPr>
          <w:spacing w:val="-7"/>
        </w:rPr>
        <w:t xml:space="preserve"> </w:t>
      </w:r>
      <w:r>
        <w:t>propose it</w:t>
      </w:r>
      <w:r>
        <w:rPr>
          <w:spacing w:val="-4"/>
        </w:rPr>
        <w:t xml:space="preserve"> </w:t>
      </w:r>
      <w:r>
        <w:t>as</w:t>
      </w:r>
      <w:r>
        <w:rPr>
          <w:spacing w:val="-5"/>
        </w:rPr>
        <w:t xml:space="preserve"> an</w:t>
      </w:r>
    </w:p>
    <w:p w14:paraId="2D84D9B0" w14:textId="77777777" w:rsidR="0057403A" w:rsidRDefault="00000000">
      <w:pPr>
        <w:pStyle w:val="BodyText"/>
        <w:spacing w:before="1"/>
        <w:ind w:right="80"/>
      </w:pPr>
      <w:r>
        <w:t>alternative</w:t>
      </w:r>
      <w:r>
        <w:rPr>
          <w:spacing w:val="-5"/>
        </w:rPr>
        <w:t xml:space="preserve"> </w:t>
      </w:r>
      <w:r>
        <w:t>and</w:t>
      </w:r>
      <w:r>
        <w:rPr>
          <w:spacing w:val="-5"/>
        </w:rPr>
        <w:t xml:space="preserve"> </w:t>
      </w:r>
      <w:r>
        <w:t>not</w:t>
      </w:r>
      <w:r>
        <w:rPr>
          <w:spacing w:val="-5"/>
        </w:rPr>
        <w:t xml:space="preserve"> </w:t>
      </w:r>
      <w:r>
        <w:t>as</w:t>
      </w:r>
      <w:r>
        <w:rPr>
          <w:spacing w:val="-3"/>
        </w:rPr>
        <w:t xml:space="preserve"> </w:t>
      </w:r>
      <w:r>
        <w:t>the</w:t>
      </w:r>
      <w:r>
        <w:rPr>
          <w:spacing w:val="-5"/>
        </w:rPr>
        <w:t xml:space="preserve"> </w:t>
      </w:r>
      <w:r>
        <w:t>main</w:t>
      </w:r>
      <w:r>
        <w:rPr>
          <w:spacing w:val="-5"/>
        </w:rPr>
        <w:t xml:space="preserve"> </w:t>
      </w:r>
      <w:r>
        <w:t>approach,</w:t>
      </w:r>
      <w:r>
        <w:rPr>
          <w:spacing w:val="-4"/>
        </w:rPr>
        <w:t xml:space="preserve"> </w:t>
      </w:r>
      <w:r>
        <w:t>is</w:t>
      </w:r>
      <w:r>
        <w:rPr>
          <w:spacing w:val="-4"/>
        </w:rPr>
        <w:t xml:space="preserve"> </w:t>
      </w:r>
      <w:r>
        <w:t>the</w:t>
      </w:r>
      <w:r>
        <w:rPr>
          <w:spacing w:val="-5"/>
        </w:rPr>
        <w:t xml:space="preserve"> </w:t>
      </w:r>
      <w:r>
        <w:t>risk</w:t>
      </w:r>
      <w:r>
        <w:rPr>
          <w:spacing w:val="-5"/>
        </w:rPr>
        <w:t xml:space="preserve"> </w:t>
      </w:r>
      <w:r>
        <w:t>that</w:t>
      </w:r>
      <w:r>
        <w:rPr>
          <w:spacing w:val="-4"/>
        </w:rPr>
        <w:t xml:space="preserve"> </w:t>
      </w:r>
      <w:r>
        <w:t>it</w:t>
      </w:r>
      <w:r>
        <w:rPr>
          <w:spacing w:val="-4"/>
        </w:rPr>
        <w:t xml:space="preserve"> </w:t>
      </w:r>
      <w:r>
        <w:t>would</w:t>
      </w:r>
      <w:r>
        <w:rPr>
          <w:spacing w:val="-5"/>
        </w:rPr>
        <w:t xml:space="preserve"> </w:t>
      </w:r>
      <w:r>
        <w:t>appear</w:t>
      </w:r>
      <w:r>
        <w:rPr>
          <w:spacing w:val="-4"/>
        </w:rPr>
        <w:t xml:space="preserve"> </w:t>
      </w:r>
      <w:r>
        <w:t>as</w:t>
      </w:r>
      <w:r>
        <w:rPr>
          <w:spacing w:val="-4"/>
        </w:rPr>
        <w:t xml:space="preserve"> </w:t>
      </w:r>
      <w:r>
        <w:t>a</w:t>
      </w:r>
      <w:r>
        <w:rPr>
          <w:spacing w:val="-4"/>
        </w:rPr>
        <w:t xml:space="preserve"> </w:t>
      </w:r>
      <w:r>
        <w:t>significant</w:t>
      </w:r>
      <w:r>
        <w:rPr>
          <w:spacing w:val="-4"/>
        </w:rPr>
        <w:t xml:space="preserve"> </w:t>
      </w:r>
      <w:r>
        <w:t>deviation</w:t>
      </w:r>
      <w:r>
        <w:rPr>
          <w:spacing w:val="-4"/>
        </w:rPr>
        <w:t xml:space="preserve"> </w:t>
      </w:r>
      <w:r>
        <w:t>from</w:t>
      </w:r>
      <w:r>
        <w:rPr>
          <w:spacing w:val="-1"/>
        </w:rPr>
        <w:t xml:space="preserve"> </w:t>
      </w:r>
      <w:r>
        <w:t>current GRADE</w:t>
      </w:r>
      <w:r>
        <w:rPr>
          <w:spacing w:val="-2"/>
        </w:rPr>
        <w:t xml:space="preserve"> </w:t>
      </w:r>
      <w:r>
        <w:t>practice,</w:t>
      </w:r>
      <w:r>
        <w:rPr>
          <w:spacing w:val="-4"/>
        </w:rPr>
        <w:t xml:space="preserve"> </w:t>
      </w:r>
      <w:r>
        <w:t>and</w:t>
      </w:r>
      <w:r>
        <w:rPr>
          <w:spacing w:val="-3"/>
        </w:rPr>
        <w:t xml:space="preserve"> </w:t>
      </w:r>
      <w:r>
        <w:t>would</w:t>
      </w:r>
      <w:r>
        <w:rPr>
          <w:spacing w:val="-6"/>
        </w:rPr>
        <w:t xml:space="preserve"> </w:t>
      </w:r>
      <w:r>
        <w:t>therefore</w:t>
      </w:r>
      <w:r>
        <w:rPr>
          <w:spacing w:val="-4"/>
        </w:rPr>
        <w:t xml:space="preserve"> </w:t>
      </w:r>
      <w:r>
        <w:t>be</w:t>
      </w:r>
      <w:r>
        <w:rPr>
          <w:spacing w:val="-2"/>
        </w:rPr>
        <w:t xml:space="preserve"> </w:t>
      </w:r>
      <w:r>
        <w:t>unwelcome</w:t>
      </w:r>
      <w:r>
        <w:rPr>
          <w:spacing w:val="-2"/>
        </w:rPr>
        <w:t xml:space="preserve"> </w:t>
      </w:r>
      <w:r>
        <w:t>to</w:t>
      </w:r>
      <w:r>
        <w:rPr>
          <w:spacing w:val="-1"/>
        </w:rPr>
        <w:t xml:space="preserve"> </w:t>
      </w:r>
      <w:r>
        <w:t>long</w:t>
      </w:r>
      <w:r>
        <w:rPr>
          <w:spacing w:val="-3"/>
        </w:rPr>
        <w:t xml:space="preserve"> </w:t>
      </w:r>
      <w:r>
        <w:t>standing</w:t>
      </w:r>
      <w:r>
        <w:rPr>
          <w:spacing w:val="-3"/>
        </w:rPr>
        <w:t xml:space="preserve"> </w:t>
      </w:r>
      <w:r>
        <w:t>GRADE</w:t>
      </w:r>
      <w:r>
        <w:rPr>
          <w:spacing w:val="-2"/>
        </w:rPr>
        <w:t xml:space="preserve"> </w:t>
      </w:r>
      <w:r>
        <w:t>users. Also,</w:t>
      </w:r>
      <w:r>
        <w:rPr>
          <w:spacing w:val="-5"/>
        </w:rPr>
        <w:t xml:space="preserve"> </w:t>
      </w:r>
      <w:r>
        <w:t>we</w:t>
      </w:r>
      <w:r>
        <w:rPr>
          <w:spacing w:val="-4"/>
        </w:rPr>
        <w:t xml:space="preserve"> </w:t>
      </w:r>
      <w:r>
        <w:t>do</w:t>
      </w:r>
      <w:r>
        <w:rPr>
          <w:spacing w:val="-4"/>
        </w:rPr>
        <w:t xml:space="preserve"> </w:t>
      </w:r>
      <w:r>
        <w:t>feel</w:t>
      </w:r>
      <w:r>
        <w:rPr>
          <w:spacing w:val="-5"/>
        </w:rPr>
        <w:t xml:space="preserve"> </w:t>
      </w:r>
      <w:r>
        <w:t>that,</w:t>
      </w:r>
      <w:r>
        <w:rPr>
          <w:spacing w:val="-4"/>
        </w:rPr>
        <w:t xml:space="preserve"> </w:t>
      </w:r>
      <w:r>
        <w:t>while many may perceive the alternative approach as promising, organic, and logical on the theoretical plane, it has not been piloted and has not survived yet the empirical test of repeated application.</w:t>
      </w:r>
    </w:p>
    <w:p w14:paraId="5CA000B0" w14:textId="77777777" w:rsidR="0057403A" w:rsidRDefault="0057403A">
      <w:pPr>
        <w:pStyle w:val="BodyText"/>
        <w:spacing w:before="1"/>
      </w:pPr>
    </w:p>
    <w:p w14:paraId="01475248" w14:textId="77777777" w:rsidR="0057403A" w:rsidRDefault="00000000">
      <w:pPr>
        <w:pStyle w:val="BodyText"/>
        <w:ind w:right="16"/>
        <w:jc w:val="both"/>
      </w:pPr>
      <w:r>
        <w:t>For</w:t>
      </w:r>
      <w:r>
        <w:rPr>
          <w:spacing w:val="-4"/>
        </w:rPr>
        <w:t xml:space="preserve"> </w:t>
      </w:r>
      <w:r>
        <w:t>all</w:t>
      </w:r>
      <w:r>
        <w:rPr>
          <w:spacing w:val="-7"/>
        </w:rPr>
        <w:t xml:space="preserve"> </w:t>
      </w:r>
      <w:r>
        <w:t>those</w:t>
      </w:r>
      <w:r>
        <w:rPr>
          <w:spacing w:val="-4"/>
        </w:rPr>
        <w:t xml:space="preserve"> </w:t>
      </w:r>
      <w:r>
        <w:t>who</w:t>
      </w:r>
      <w:r>
        <w:rPr>
          <w:spacing w:val="-5"/>
        </w:rPr>
        <w:t xml:space="preserve"> </w:t>
      </w:r>
      <w:r>
        <w:t>will</w:t>
      </w:r>
      <w:r>
        <w:rPr>
          <w:spacing w:val="-4"/>
        </w:rPr>
        <w:t xml:space="preserve"> </w:t>
      </w:r>
      <w:r>
        <w:t>opt</w:t>
      </w:r>
      <w:r>
        <w:rPr>
          <w:spacing w:val="-4"/>
        </w:rPr>
        <w:t xml:space="preserve"> </w:t>
      </w:r>
      <w:r>
        <w:t>to</w:t>
      </w:r>
      <w:r>
        <w:rPr>
          <w:spacing w:val="-3"/>
        </w:rPr>
        <w:t xml:space="preserve"> </w:t>
      </w:r>
      <w:r>
        <w:t>adopt</w:t>
      </w:r>
      <w:r>
        <w:rPr>
          <w:spacing w:val="-6"/>
        </w:rPr>
        <w:t xml:space="preserve"> </w:t>
      </w:r>
      <w:r>
        <w:t>the</w:t>
      </w:r>
      <w:r>
        <w:rPr>
          <w:spacing w:val="-1"/>
        </w:rPr>
        <w:t xml:space="preserve"> </w:t>
      </w:r>
      <w:r>
        <w:t>proposed</w:t>
      </w:r>
      <w:r>
        <w:rPr>
          <w:spacing w:val="-4"/>
        </w:rPr>
        <w:t xml:space="preserve"> </w:t>
      </w:r>
      <w:r>
        <w:t>alternative</w:t>
      </w:r>
      <w:r>
        <w:rPr>
          <w:spacing w:val="-4"/>
        </w:rPr>
        <w:t xml:space="preserve"> </w:t>
      </w:r>
      <w:r>
        <w:t>approach,</w:t>
      </w:r>
      <w:r>
        <w:rPr>
          <w:spacing w:val="-6"/>
        </w:rPr>
        <w:t xml:space="preserve"> </w:t>
      </w:r>
      <w:r>
        <w:t>we</w:t>
      </w:r>
      <w:r>
        <w:rPr>
          <w:spacing w:val="-4"/>
        </w:rPr>
        <w:t xml:space="preserve"> </w:t>
      </w:r>
      <w:r>
        <w:t>suggest</w:t>
      </w:r>
      <w:r>
        <w:rPr>
          <w:spacing w:val="-4"/>
        </w:rPr>
        <w:t xml:space="preserve"> </w:t>
      </w:r>
      <w:r>
        <w:t>they</w:t>
      </w:r>
      <w:r>
        <w:rPr>
          <w:spacing w:val="-6"/>
        </w:rPr>
        <w:t xml:space="preserve"> </w:t>
      </w:r>
      <w:r>
        <w:t>do</w:t>
      </w:r>
      <w:r>
        <w:rPr>
          <w:spacing w:val="-4"/>
        </w:rPr>
        <w:t xml:space="preserve"> </w:t>
      </w:r>
      <w:r>
        <w:t>mention</w:t>
      </w:r>
      <w:r>
        <w:rPr>
          <w:spacing w:val="-4"/>
        </w:rPr>
        <w:t xml:space="preserve"> </w:t>
      </w:r>
      <w:r>
        <w:t>it</w:t>
      </w:r>
      <w:r>
        <w:rPr>
          <w:spacing w:val="-4"/>
        </w:rPr>
        <w:t xml:space="preserve"> </w:t>
      </w:r>
      <w:r>
        <w:t>explicitly</w:t>
      </w:r>
      <w:r>
        <w:rPr>
          <w:spacing w:val="-4"/>
        </w:rPr>
        <w:t xml:space="preserve"> </w:t>
      </w:r>
      <w:r>
        <w:t>in their publications, Summary of</w:t>
      </w:r>
      <w:r>
        <w:rPr>
          <w:spacing w:val="-3"/>
        </w:rPr>
        <w:t xml:space="preserve"> </w:t>
      </w:r>
      <w:r>
        <w:t>Findings tables,</w:t>
      </w:r>
      <w:r>
        <w:rPr>
          <w:spacing w:val="-3"/>
        </w:rPr>
        <w:t xml:space="preserve"> </w:t>
      </w:r>
      <w:r>
        <w:t>and</w:t>
      </w:r>
      <w:r>
        <w:rPr>
          <w:spacing w:val="-2"/>
        </w:rPr>
        <w:t xml:space="preserve"> </w:t>
      </w:r>
      <w:r>
        <w:t>reports. Reporting</w:t>
      </w:r>
      <w:r>
        <w:rPr>
          <w:spacing w:val="-1"/>
        </w:rPr>
        <w:t xml:space="preserve"> </w:t>
      </w:r>
      <w:r>
        <w:t>on</w:t>
      </w:r>
      <w:r>
        <w:rPr>
          <w:spacing w:val="-4"/>
        </w:rPr>
        <w:t xml:space="preserve"> </w:t>
      </w:r>
      <w:r>
        <w:t>upsides and</w:t>
      </w:r>
      <w:r>
        <w:rPr>
          <w:spacing w:val="-2"/>
        </w:rPr>
        <w:t xml:space="preserve"> </w:t>
      </w:r>
      <w:r>
        <w:t>downsides experienced in applying the approach will help establishing the value of this alternative approach.</w:t>
      </w:r>
    </w:p>
    <w:p w14:paraId="282C4EAD" w14:textId="77777777" w:rsidR="0057403A" w:rsidRDefault="0057403A">
      <w:pPr>
        <w:pStyle w:val="BodyText"/>
      </w:pPr>
    </w:p>
    <w:p w14:paraId="46D3175E" w14:textId="77777777" w:rsidR="0057403A" w:rsidRDefault="0057403A">
      <w:pPr>
        <w:pStyle w:val="BodyText"/>
        <w:spacing w:before="268"/>
      </w:pPr>
    </w:p>
    <w:p w14:paraId="2B34524B" w14:textId="77777777" w:rsidR="0057403A" w:rsidRDefault="00000000">
      <w:pPr>
        <w:pStyle w:val="Heading1"/>
      </w:pPr>
      <w:r>
        <w:rPr>
          <w:spacing w:val="-2"/>
        </w:rPr>
        <w:t>References</w:t>
      </w:r>
    </w:p>
    <w:p w14:paraId="1145E103" w14:textId="77777777" w:rsidR="0057403A" w:rsidRDefault="00000000">
      <w:pPr>
        <w:pStyle w:val="ListParagraph"/>
        <w:numPr>
          <w:ilvl w:val="0"/>
          <w:numId w:val="1"/>
        </w:numPr>
        <w:tabs>
          <w:tab w:val="left" w:pos="216"/>
          <w:tab w:val="left" w:pos="720"/>
        </w:tabs>
        <w:spacing w:before="0"/>
        <w:ind w:hanging="721"/>
      </w:pPr>
      <w:r>
        <w:t>Sterne</w:t>
      </w:r>
      <w:r>
        <w:rPr>
          <w:spacing w:val="-5"/>
        </w:rPr>
        <w:t xml:space="preserve"> </w:t>
      </w:r>
      <w:r>
        <w:t>JA,</w:t>
      </w:r>
      <w:r>
        <w:rPr>
          <w:spacing w:val="-5"/>
        </w:rPr>
        <w:t xml:space="preserve"> </w:t>
      </w:r>
      <w:r>
        <w:t>Hernan</w:t>
      </w:r>
      <w:r>
        <w:rPr>
          <w:spacing w:val="-5"/>
        </w:rPr>
        <w:t xml:space="preserve"> </w:t>
      </w:r>
      <w:r>
        <w:t>MA,</w:t>
      </w:r>
      <w:r>
        <w:rPr>
          <w:spacing w:val="-2"/>
        </w:rPr>
        <w:t xml:space="preserve"> </w:t>
      </w:r>
      <w:r>
        <w:t>Reeves</w:t>
      </w:r>
      <w:r>
        <w:rPr>
          <w:spacing w:val="-4"/>
        </w:rPr>
        <w:t xml:space="preserve"> </w:t>
      </w:r>
      <w:r>
        <w:t>BC,</w:t>
      </w:r>
      <w:r>
        <w:rPr>
          <w:spacing w:val="-4"/>
        </w:rPr>
        <w:t xml:space="preserve"> </w:t>
      </w:r>
      <w:r>
        <w:t>et</w:t>
      </w:r>
      <w:r>
        <w:rPr>
          <w:spacing w:val="-2"/>
        </w:rPr>
        <w:t xml:space="preserve"> </w:t>
      </w:r>
      <w:r>
        <w:t>al.</w:t>
      </w:r>
      <w:r>
        <w:rPr>
          <w:spacing w:val="-3"/>
        </w:rPr>
        <w:t xml:space="preserve"> </w:t>
      </w:r>
      <w:r>
        <w:t>ROBINS-I:</w:t>
      </w:r>
      <w:r>
        <w:rPr>
          <w:spacing w:val="-2"/>
        </w:rPr>
        <w:t xml:space="preserve"> </w:t>
      </w:r>
      <w:r>
        <w:t>a</w:t>
      </w:r>
      <w:r>
        <w:rPr>
          <w:spacing w:val="-5"/>
        </w:rPr>
        <w:t xml:space="preserve"> </w:t>
      </w:r>
      <w:r>
        <w:t>tool</w:t>
      </w:r>
      <w:r>
        <w:rPr>
          <w:spacing w:val="-2"/>
        </w:rPr>
        <w:t xml:space="preserve"> </w:t>
      </w:r>
      <w:r>
        <w:t>for</w:t>
      </w:r>
      <w:r>
        <w:rPr>
          <w:spacing w:val="-2"/>
        </w:rPr>
        <w:t xml:space="preserve"> </w:t>
      </w:r>
      <w:r>
        <w:t>assessing</w:t>
      </w:r>
      <w:r>
        <w:rPr>
          <w:spacing w:val="-4"/>
        </w:rPr>
        <w:t xml:space="preserve"> </w:t>
      </w:r>
      <w:r>
        <w:t>risk</w:t>
      </w:r>
      <w:r>
        <w:rPr>
          <w:spacing w:val="-4"/>
        </w:rPr>
        <w:t xml:space="preserve"> </w:t>
      </w:r>
      <w:r>
        <w:t>of</w:t>
      </w:r>
      <w:r>
        <w:rPr>
          <w:spacing w:val="-5"/>
        </w:rPr>
        <w:t xml:space="preserve"> </w:t>
      </w:r>
      <w:r>
        <w:t>bias</w:t>
      </w:r>
      <w:r>
        <w:rPr>
          <w:spacing w:val="-2"/>
        </w:rPr>
        <w:t xml:space="preserve"> </w:t>
      </w:r>
      <w:r>
        <w:t>in</w:t>
      </w:r>
      <w:r>
        <w:rPr>
          <w:spacing w:val="-2"/>
        </w:rPr>
        <w:t xml:space="preserve"> </w:t>
      </w:r>
      <w:r>
        <w:t>non-randomised</w:t>
      </w:r>
      <w:r>
        <w:rPr>
          <w:spacing w:val="-6"/>
        </w:rPr>
        <w:t xml:space="preserve"> </w:t>
      </w:r>
      <w:r>
        <w:t>studies</w:t>
      </w:r>
      <w:r>
        <w:rPr>
          <w:spacing w:val="-1"/>
        </w:rPr>
        <w:t xml:space="preserve"> </w:t>
      </w:r>
      <w:r>
        <w:t xml:space="preserve">of interventions. </w:t>
      </w:r>
      <w:r>
        <w:rPr>
          <w:i/>
        </w:rPr>
        <w:t xml:space="preserve">BMJ </w:t>
      </w:r>
      <w:r>
        <w:t>2016;355:i4919. doi: 10.1136/bmj.i4919 [published Online First: 20161012]</w:t>
      </w:r>
    </w:p>
    <w:p w14:paraId="40D5FACB" w14:textId="77777777" w:rsidR="0057403A" w:rsidRDefault="00000000">
      <w:pPr>
        <w:pStyle w:val="ListParagraph"/>
        <w:numPr>
          <w:ilvl w:val="0"/>
          <w:numId w:val="1"/>
        </w:numPr>
        <w:tabs>
          <w:tab w:val="left" w:pos="216"/>
          <w:tab w:val="left" w:pos="720"/>
        </w:tabs>
        <w:ind w:right="203" w:hanging="721"/>
        <w:rPr>
          <w:i/>
        </w:rPr>
      </w:pPr>
      <w:r>
        <w:t>Schunemann</w:t>
      </w:r>
      <w:r>
        <w:rPr>
          <w:spacing w:val="-3"/>
        </w:rPr>
        <w:t xml:space="preserve"> </w:t>
      </w:r>
      <w:r>
        <w:t>HJ,</w:t>
      </w:r>
      <w:r>
        <w:rPr>
          <w:spacing w:val="-2"/>
        </w:rPr>
        <w:t xml:space="preserve"> </w:t>
      </w:r>
      <w:r>
        <w:t>Cuello</w:t>
      </w:r>
      <w:r>
        <w:rPr>
          <w:spacing w:val="-3"/>
        </w:rPr>
        <w:t xml:space="preserve"> </w:t>
      </w:r>
      <w:r>
        <w:t>C,</w:t>
      </w:r>
      <w:r>
        <w:rPr>
          <w:spacing w:val="-2"/>
        </w:rPr>
        <w:t xml:space="preserve"> </w:t>
      </w:r>
      <w:r>
        <w:t>Akl</w:t>
      </w:r>
      <w:r>
        <w:rPr>
          <w:spacing w:val="-4"/>
        </w:rPr>
        <w:t xml:space="preserve"> </w:t>
      </w:r>
      <w:r>
        <w:t>EA,</w:t>
      </w:r>
      <w:r>
        <w:rPr>
          <w:spacing w:val="-2"/>
        </w:rPr>
        <w:t xml:space="preserve"> </w:t>
      </w:r>
      <w:r>
        <w:t>et</w:t>
      </w:r>
      <w:r>
        <w:rPr>
          <w:spacing w:val="-2"/>
        </w:rPr>
        <w:t xml:space="preserve"> </w:t>
      </w:r>
      <w:r>
        <w:t>al.</w:t>
      </w:r>
      <w:r>
        <w:rPr>
          <w:spacing w:val="-3"/>
        </w:rPr>
        <w:t xml:space="preserve"> </w:t>
      </w:r>
      <w:r>
        <w:t>GRADE</w:t>
      </w:r>
      <w:r>
        <w:rPr>
          <w:spacing w:val="-2"/>
        </w:rPr>
        <w:t xml:space="preserve"> </w:t>
      </w:r>
      <w:r>
        <w:t>guidelines:</w:t>
      </w:r>
      <w:r>
        <w:rPr>
          <w:spacing w:val="-3"/>
        </w:rPr>
        <w:t xml:space="preserve"> </w:t>
      </w:r>
      <w:r>
        <w:t>18.</w:t>
      </w:r>
      <w:r>
        <w:rPr>
          <w:spacing w:val="-5"/>
        </w:rPr>
        <w:t xml:space="preserve"> </w:t>
      </w:r>
      <w:r>
        <w:t>How</w:t>
      </w:r>
      <w:r>
        <w:rPr>
          <w:spacing w:val="-1"/>
        </w:rPr>
        <w:t xml:space="preserve"> </w:t>
      </w:r>
      <w:r>
        <w:t>ROBINS-I</w:t>
      </w:r>
      <w:r>
        <w:rPr>
          <w:spacing w:val="-2"/>
        </w:rPr>
        <w:t xml:space="preserve"> </w:t>
      </w:r>
      <w:r>
        <w:t>and</w:t>
      </w:r>
      <w:r>
        <w:rPr>
          <w:spacing w:val="-3"/>
        </w:rPr>
        <w:t xml:space="preserve"> </w:t>
      </w:r>
      <w:r>
        <w:t>other</w:t>
      </w:r>
      <w:r>
        <w:rPr>
          <w:spacing w:val="-4"/>
        </w:rPr>
        <w:t xml:space="preserve"> </w:t>
      </w:r>
      <w:r>
        <w:t>tools</w:t>
      </w:r>
      <w:r>
        <w:rPr>
          <w:spacing w:val="-5"/>
        </w:rPr>
        <w:t xml:space="preserve"> </w:t>
      </w:r>
      <w:r>
        <w:t>to</w:t>
      </w:r>
      <w:r>
        <w:rPr>
          <w:spacing w:val="-3"/>
        </w:rPr>
        <w:t xml:space="preserve"> </w:t>
      </w:r>
      <w:r>
        <w:t>assess</w:t>
      </w:r>
      <w:r>
        <w:rPr>
          <w:spacing w:val="-4"/>
        </w:rPr>
        <w:t xml:space="preserve"> </w:t>
      </w:r>
      <w:r>
        <w:t>risk</w:t>
      </w:r>
      <w:r>
        <w:rPr>
          <w:spacing w:val="-2"/>
        </w:rPr>
        <w:t xml:space="preserve"> </w:t>
      </w:r>
      <w:r>
        <w:t xml:space="preserve">of bias in nonrandomized studies should be used to rate the certainty of a body of evidence. </w:t>
      </w:r>
      <w:r>
        <w:rPr>
          <w:i/>
        </w:rPr>
        <w:t>J Clin</w:t>
      </w:r>
    </w:p>
    <w:p w14:paraId="6C031B41" w14:textId="77777777" w:rsidR="0057403A" w:rsidRDefault="00000000">
      <w:pPr>
        <w:pStyle w:val="BodyText"/>
        <w:ind w:left="720"/>
      </w:pPr>
      <w:r>
        <w:rPr>
          <w:i/>
        </w:rPr>
        <w:t>Epidemiol</w:t>
      </w:r>
      <w:r>
        <w:rPr>
          <w:i/>
          <w:spacing w:val="-12"/>
        </w:rPr>
        <w:t xml:space="preserve"> </w:t>
      </w:r>
      <w:r>
        <w:t>2019;111:105-14.</w:t>
      </w:r>
      <w:r>
        <w:rPr>
          <w:spacing w:val="-10"/>
        </w:rPr>
        <w:t xml:space="preserve"> </w:t>
      </w:r>
      <w:r>
        <w:t>doi:</w:t>
      </w:r>
      <w:r>
        <w:rPr>
          <w:spacing w:val="-10"/>
        </w:rPr>
        <w:t xml:space="preserve"> </w:t>
      </w:r>
      <w:r>
        <w:t>10.1016/j.jclinepi.2018.01.012</w:t>
      </w:r>
      <w:r>
        <w:rPr>
          <w:spacing w:val="-10"/>
        </w:rPr>
        <w:t xml:space="preserve"> </w:t>
      </w:r>
      <w:r>
        <w:t>[published</w:t>
      </w:r>
      <w:r>
        <w:rPr>
          <w:spacing w:val="-10"/>
        </w:rPr>
        <w:t xml:space="preserve"> </w:t>
      </w:r>
      <w:r>
        <w:t>Online</w:t>
      </w:r>
      <w:r>
        <w:rPr>
          <w:spacing w:val="-10"/>
        </w:rPr>
        <w:t xml:space="preserve"> </w:t>
      </w:r>
      <w:r>
        <w:t>First:</w:t>
      </w:r>
      <w:r>
        <w:rPr>
          <w:spacing w:val="-9"/>
        </w:rPr>
        <w:t xml:space="preserve"> </w:t>
      </w:r>
      <w:r>
        <w:rPr>
          <w:spacing w:val="-2"/>
        </w:rPr>
        <w:t>20180209]</w:t>
      </w:r>
    </w:p>
    <w:p w14:paraId="4E3980D4" w14:textId="77777777" w:rsidR="0057403A" w:rsidRDefault="00000000">
      <w:pPr>
        <w:pStyle w:val="ListParagraph"/>
        <w:numPr>
          <w:ilvl w:val="0"/>
          <w:numId w:val="1"/>
        </w:numPr>
        <w:tabs>
          <w:tab w:val="left" w:pos="216"/>
          <w:tab w:val="left" w:pos="720"/>
        </w:tabs>
        <w:spacing w:before="3" w:line="237" w:lineRule="auto"/>
        <w:ind w:right="249" w:hanging="721"/>
      </w:pPr>
      <w:r>
        <w:t>Hernan</w:t>
      </w:r>
      <w:r>
        <w:rPr>
          <w:spacing w:val="-11"/>
        </w:rPr>
        <w:t xml:space="preserve"> </w:t>
      </w:r>
      <w:r>
        <w:t>MA,</w:t>
      </w:r>
      <w:r>
        <w:rPr>
          <w:spacing w:val="-10"/>
        </w:rPr>
        <w:t xml:space="preserve"> </w:t>
      </w:r>
      <w:r>
        <w:t>Wang</w:t>
      </w:r>
      <w:r>
        <w:rPr>
          <w:spacing w:val="-10"/>
        </w:rPr>
        <w:t xml:space="preserve"> </w:t>
      </w:r>
      <w:r>
        <w:t>W,</w:t>
      </w:r>
      <w:r>
        <w:rPr>
          <w:spacing w:val="-10"/>
        </w:rPr>
        <w:t xml:space="preserve"> </w:t>
      </w:r>
      <w:r>
        <w:t>Leaf</w:t>
      </w:r>
      <w:r>
        <w:rPr>
          <w:spacing w:val="-11"/>
        </w:rPr>
        <w:t xml:space="preserve"> </w:t>
      </w:r>
      <w:r>
        <w:t>DE.</w:t>
      </w:r>
      <w:r>
        <w:rPr>
          <w:spacing w:val="-9"/>
        </w:rPr>
        <w:t xml:space="preserve"> </w:t>
      </w:r>
      <w:r>
        <w:t>Target</w:t>
      </w:r>
      <w:r>
        <w:rPr>
          <w:spacing w:val="-9"/>
        </w:rPr>
        <w:t xml:space="preserve"> </w:t>
      </w:r>
      <w:r>
        <w:t>Trial</w:t>
      </w:r>
      <w:r>
        <w:rPr>
          <w:spacing w:val="-9"/>
        </w:rPr>
        <w:t xml:space="preserve"> </w:t>
      </w:r>
      <w:r>
        <w:t>Emulation:</w:t>
      </w:r>
      <w:r>
        <w:rPr>
          <w:spacing w:val="-9"/>
        </w:rPr>
        <w:t xml:space="preserve"> </w:t>
      </w:r>
      <w:r>
        <w:t>A</w:t>
      </w:r>
      <w:r>
        <w:rPr>
          <w:spacing w:val="-9"/>
        </w:rPr>
        <w:t xml:space="preserve"> </w:t>
      </w:r>
      <w:r>
        <w:t>Framework</w:t>
      </w:r>
      <w:r>
        <w:rPr>
          <w:spacing w:val="-9"/>
        </w:rPr>
        <w:t xml:space="preserve"> </w:t>
      </w:r>
      <w:r>
        <w:t>for</w:t>
      </w:r>
      <w:r>
        <w:rPr>
          <w:spacing w:val="-9"/>
        </w:rPr>
        <w:t xml:space="preserve"> </w:t>
      </w:r>
      <w:r>
        <w:t>Causal</w:t>
      </w:r>
      <w:r>
        <w:rPr>
          <w:spacing w:val="-9"/>
        </w:rPr>
        <w:t xml:space="preserve"> </w:t>
      </w:r>
      <w:r>
        <w:t>Inference</w:t>
      </w:r>
      <w:r>
        <w:rPr>
          <w:spacing w:val="-9"/>
        </w:rPr>
        <w:t xml:space="preserve"> </w:t>
      </w:r>
      <w:r>
        <w:t>From</w:t>
      </w:r>
      <w:r>
        <w:rPr>
          <w:spacing w:val="-12"/>
        </w:rPr>
        <w:t xml:space="preserve"> </w:t>
      </w:r>
      <w:r>
        <w:t xml:space="preserve">Observational Data. </w:t>
      </w:r>
      <w:r>
        <w:rPr>
          <w:i/>
        </w:rPr>
        <w:t xml:space="preserve">JAMA </w:t>
      </w:r>
      <w:r>
        <w:t>2022;328(24):2446-47. doi: 10.1001/jama.2022.21383</w:t>
      </w:r>
    </w:p>
    <w:sectPr w:rsidR="0057403A">
      <w:pgSz w:w="12240" w:h="15840"/>
      <w:pgMar w:top="140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B3249A"/>
    <w:multiLevelType w:val="hybridMultilevel"/>
    <w:tmpl w:val="CD8E5690"/>
    <w:lvl w:ilvl="0" w:tplc="35988F66">
      <w:start w:val="1"/>
      <w:numFmt w:val="lowerRoman"/>
      <w:lvlText w:val="%1)"/>
      <w:lvlJc w:val="left"/>
      <w:pPr>
        <w:ind w:left="720" w:hanging="721"/>
        <w:jc w:val="left"/>
      </w:pPr>
      <w:rPr>
        <w:rFonts w:ascii="Calibri" w:eastAsia="Calibri" w:hAnsi="Calibri" w:cs="Calibri" w:hint="default"/>
        <w:b w:val="0"/>
        <w:bCs w:val="0"/>
        <w:i w:val="0"/>
        <w:iCs w:val="0"/>
        <w:spacing w:val="-1"/>
        <w:w w:val="100"/>
        <w:sz w:val="22"/>
        <w:szCs w:val="22"/>
        <w:lang w:val="en-US" w:eastAsia="en-US" w:bidi="ar-SA"/>
      </w:rPr>
    </w:lvl>
    <w:lvl w:ilvl="1" w:tplc="DA5472D6">
      <w:numFmt w:val="bullet"/>
      <w:lvlText w:val="•"/>
      <w:lvlJc w:val="left"/>
      <w:pPr>
        <w:ind w:left="1656" w:hanging="721"/>
      </w:pPr>
      <w:rPr>
        <w:rFonts w:hint="default"/>
        <w:lang w:val="en-US" w:eastAsia="en-US" w:bidi="ar-SA"/>
      </w:rPr>
    </w:lvl>
    <w:lvl w:ilvl="2" w:tplc="17A214B0">
      <w:numFmt w:val="bullet"/>
      <w:lvlText w:val="•"/>
      <w:lvlJc w:val="left"/>
      <w:pPr>
        <w:ind w:left="2592" w:hanging="721"/>
      </w:pPr>
      <w:rPr>
        <w:rFonts w:hint="default"/>
        <w:lang w:val="en-US" w:eastAsia="en-US" w:bidi="ar-SA"/>
      </w:rPr>
    </w:lvl>
    <w:lvl w:ilvl="3" w:tplc="13DAF276">
      <w:numFmt w:val="bullet"/>
      <w:lvlText w:val="•"/>
      <w:lvlJc w:val="left"/>
      <w:pPr>
        <w:ind w:left="3528" w:hanging="721"/>
      </w:pPr>
      <w:rPr>
        <w:rFonts w:hint="default"/>
        <w:lang w:val="en-US" w:eastAsia="en-US" w:bidi="ar-SA"/>
      </w:rPr>
    </w:lvl>
    <w:lvl w:ilvl="4" w:tplc="45CC08A0">
      <w:numFmt w:val="bullet"/>
      <w:lvlText w:val="•"/>
      <w:lvlJc w:val="left"/>
      <w:pPr>
        <w:ind w:left="4464" w:hanging="721"/>
      </w:pPr>
      <w:rPr>
        <w:rFonts w:hint="default"/>
        <w:lang w:val="en-US" w:eastAsia="en-US" w:bidi="ar-SA"/>
      </w:rPr>
    </w:lvl>
    <w:lvl w:ilvl="5" w:tplc="24541C12">
      <w:numFmt w:val="bullet"/>
      <w:lvlText w:val="•"/>
      <w:lvlJc w:val="left"/>
      <w:pPr>
        <w:ind w:left="5400" w:hanging="721"/>
      </w:pPr>
      <w:rPr>
        <w:rFonts w:hint="default"/>
        <w:lang w:val="en-US" w:eastAsia="en-US" w:bidi="ar-SA"/>
      </w:rPr>
    </w:lvl>
    <w:lvl w:ilvl="6" w:tplc="5498AF54">
      <w:numFmt w:val="bullet"/>
      <w:lvlText w:val="•"/>
      <w:lvlJc w:val="left"/>
      <w:pPr>
        <w:ind w:left="6336" w:hanging="721"/>
      </w:pPr>
      <w:rPr>
        <w:rFonts w:hint="default"/>
        <w:lang w:val="en-US" w:eastAsia="en-US" w:bidi="ar-SA"/>
      </w:rPr>
    </w:lvl>
    <w:lvl w:ilvl="7" w:tplc="CF3E3738">
      <w:numFmt w:val="bullet"/>
      <w:lvlText w:val="•"/>
      <w:lvlJc w:val="left"/>
      <w:pPr>
        <w:ind w:left="7272" w:hanging="721"/>
      </w:pPr>
      <w:rPr>
        <w:rFonts w:hint="default"/>
        <w:lang w:val="en-US" w:eastAsia="en-US" w:bidi="ar-SA"/>
      </w:rPr>
    </w:lvl>
    <w:lvl w:ilvl="8" w:tplc="A91E7A4A">
      <w:numFmt w:val="bullet"/>
      <w:lvlText w:val="•"/>
      <w:lvlJc w:val="left"/>
      <w:pPr>
        <w:ind w:left="8208" w:hanging="721"/>
      </w:pPr>
      <w:rPr>
        <w:rFonts w:hint="default"/>
        <w:lang w:val="en-US" w:eastAsia="en-US" w:bidi="ar-SA"/>
      </w:rPr>
    </w:lvl>
  </w:abstractNum>
  <w:abstractNum w:abstractNumId="1" w15:restartNumberingAfterBreak="0">
    <w:nsid w:val="7CC97CD4"/>
    <w:multiLevelType w:val="hybridMultilevel"/>
    <w:tmpl w:val="57D641D2"/>
    <w:lvl w:ilvl="0" w:tplc="66CAB550">
      <w:start w:val="1"/>
      <w:numFmt w:val="decimal"/>
      <w:lvlText w:val="%1."/>
      <w:lvlJc w:val="left"/>
      <w:pPr>
        <w:ind w:left="720" w:hanging="219"/>
        <w:jc w:val="left"/>
      </w:pPr>
      <w:rPr>
        <w:rFonts w:ascii="Calibri" w:eastAsia="Calibri" w:hAnsi="Calibri" w:cs="Calibri" w:hint="default"/>
        <w:b w:val="0"/>
        <w:bCs w:val="0"/>
        <w:i w:val="0"/>
        <w:iCs w:val="0"/>
        <w:spacing w:val="0"/>
        <w:w w:val="100"/>
        <w:sz w:val="22"/>
        <w:szCs w:val="22"/>
        <w:lang w:val="en-US" w:eastAsia="en-US" w:bidi="ar-SA"/>
      </w:rPr>
    </w:lvl>
    <w:lvl w:ilvl="1" w:tplc="758621A2">
      <w:numFmt w:val="bullet"/>
      <w:lvlText w:val="•"/>
      <w:lvlJc w:val="left"/>
      <w:pPr>
        <w:ind w:left="1656" w:hanging="219"/>
      </w:pPr>
      <w:rPr>
        <w:rFonts w:hint="default"/>
        <w:lang w:val="en-US" w:eastAsia="en-US" w:bidi="ar-SA"/>
      </w:rPr>
    </w:lvl>
    <w:lvl w:ilvl="2" w:tplc="A250461E">
      <w:numFmt w:val="bullet"/>
      <w:lvlText w:val="•"/>
      <w:lvlJc w:val="left"/>
      <w:pPr>
        <w:ind w:left="2592" w:hanging="219"/>
      </w:pPr>
      <w:rPr>
        <w:rFonts w:hint="default"/>
        <w:lang w:val="en-US" w:eastAsia="en-US" w:bidi="ar-SA"/>
      </w:rPr>
    </w:lvl>
    <w:lvl w:ilvl="3" w:tplc="46A8220E">
      <w:numFmt w:val="bullet"/>
      <w:lvlText w:val="•"/>
      <w:lvlJc w:val="left"/>
      <w:pPr>
        <w:ind w:left="3528" w:hanging="219"/>
      </w:pPr>
      <w:rPr>
        <w:rFonts w:hint="default"/>
        <w:lang w:val="en-US" w:eastAsia="en-US" w:bidi="ar-SA"/>
      </w:rPr>
    </w:lvl>
    <w:lvl w:ilvl="4" w:tplc="E0CA2864">
      <w:numFmt w:val="bullet"/>
      <w:lvlText w:val="•"/>
      <w:lvlJc w:val="left"/>
      <w:pPr>
        <w:ind w:left="4464" w:hanging="219"/>
      </w:pPr>
      <w:rPr>
        <w:rFonts w:hint="default"/>
        <w:lang w:val="en-US" w:eastAsia="en-US" w:bidi="ar-SA"/>
      </w:rPr>
    </w:lvl>
    <w:lvl w:ilvl="5" w:tplc="0EC02672">
      <w:numFmt w:val="bullet"/>
      <w:lvlText w:val="•"/>
      <w:lvlJc w:val="left"/>
      <w:pPr>
        <w:ind w:left="5400" w:hanging="219"/>
      </w:pPr>
      <w:rPr>
        <w:rFonts w:hint="default"/>
        <w:lang w:val="en-US" w:eastAsia="en-US" w:bidi="ar-SA"/>
      </w:rPr>
    </w:lvl>
    <w:lvl w:ilvl="6" w:tplc="2B526124">
      <w:numFmt w:val="bullet"/>
      <w:lvlText w:val="•"/>
      <w:lvlJc w:val="left"/>
      <w:pPr>
        <w:ind w:left="6336" w:hanging="219"/>
      </w:pPr>
      <w:rPr>
        <w:rFonts w:hint="default"/>
        <w:lang w:val="en-US" w:eastAsia="en-US" w:bidi="ar-SA"/>
      </w:rPr>
    </w:lvl>
    <w:lvl w:ilvl="7" w:tplc="2AF8C392">
      <w:numFmt w:val="bullet"/>
      <w:lvlText w:val="•"/>
      <w:lvlJc w:val="left"/>
      <w:pPr>
        <w:ind w:left="7272" w:hanging="219"/>
      </w:pPr>
      <w:rPr>
        <w:rFonts w:hint="default"/>
        <w:lang w:val="en-US" w:eastAsia="en-US" w:bidi="ar-SA"/>
      </w:rPr>
    </w:lvl>
    <w:lvl w:ilvl="8" w:tplc="739813A0">
      <w:numFmt w:val="bullet"/>
      <w:lvlText w:val="•"/>
      <w:lvlJc w:val="left"/>
      <w:pPr>
        <w:ind w:left="8208" w:hanging="219"/>
      </w:pPr>
      <w:rPr>
        <w:rFonts w:hint="default"/>
        <w:lang w:val="en-US" w:eastAsia="en-US" w:bidi="ar-SA"/>
      </w:rPr>
    </w:lvl>
  </w:abstractNum>
  <w:num w:numId="1" w16cid:durableId="770593413">
    <w:abstractNumId w:val="1"/>
  </w:num>
  <w:num w:numId="2" w16cid:durableId="10940860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393"/>
  <w:hideSpellingErrors/>
  <w:hideGrammaticalErrors/>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03A"/>
    <w:rsid w:val="0057403A"/>
    <w:rsid w:val="008925B7"/>
    <w:rsid w:val="00F9371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1E5E1191"/>
  <w15:docId w15:val="{FED92284-E471-EA44-AB47-412C3FDD2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1"/>
      <w:ind w:left="720" w:right="14" w:hanging="721"/>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1016</Words>
  <Characters>5794</Characters>
  <Application>Microsoft Office Word</Application>
  <DocSecurity>0</DocSecurity>
  <Lines>48</Lines>
  <Paragraphs>13</Paragraphs>
  <ScaleCrop>false</ScaleCrop>
  <Company/>
  <LinksUpToDate>false</LinksUpToDate>
  <CharactersWithSpaces>6797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Iorio, Alfonso</dc:creator>
  <cp:lastModifiedBy>Guyatt, Gordon</cp:lastModifiedBy>
  <cp:revision>2</cp:revision>
  <dcterms:created xsi:type="dcterms:W3CDTF">2026-04-26T02:04:00Z</dcterms:created>
  <dcterms:modified xsi:type="dcterms:W3CDTF">2026-04-26T02:04:00Z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2025-04-03T00:00:00Z</vt:filetime>
  </property>
  <property fmtid="{D5CDD505-2E9C-101B-9397-08002B2CF9AE}" pid="3" name="Creator">
    <vt:lpwstr>Microsoft® Word for Microsoft 365</vt:lpwstr>
  </property>
  <property fmtid="{D5CDD505-2E9C-101B-9397-08002B2CF9AE}" pid="4" name="LastSaved">
    <vt:filetime>2026-02-22T00:00:00Z</vt:filetime>
  </property>
  <property fmtid="{D5CDD505-2E9C-101B-9397-08002B2CF9AE}" pid="5" name="Producer">
    <vt:lpwstr>Microsoft® Word for Microsoft 365</vt:lpwstr>
  </property>
</Properties>
</file>