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72FE6" w14:textId="1D67592D" w:rsidR="00542EDE" w:rsidRDefault="00000000" w:rsidP="00846D7E">
      <w:pPr>
        <w:pStyle w:val="Heading1"/>
        <w:ind w:left="0" w:firstLine="360"/>
      </w:pPr>
      <w:r>
        <w:t>Writing</w:t>
      </w:r>
      <w:r>
        <w:rPr>
          <w:spacing w:val="-9"/>
        </w:rPr>
        <w:t xml:space="preserve"> </w:t>
      </w:r>
      <w:r>
        <w:t>footnotes</w:t>
      </w:r>
      <w:r>
        <w:rPr>
          <w:spacing w:val="-7"/>
        </w:rPr>
        <w:t xml:space="preserve"> </w:t>
      </w:r>
      <w:r>
        <w:t>to</w:t>
      </w:r>
      <w:r>
        <w:rPr>
          <w:spacing w:val="-7"/>
        </w:rPr>
        <w:t xml:space="preserve"> </w:t>
      </w:r>
      <w:r>
        <w:t>explain</w:t>
      </w:r>
      <w:r>
        <w:rPr>
          <w:spacing w:val="-7"/>
        </w:rPr>
        <w:t xml:space="preserve"> </w:t>
      </w:r>
      <w:r>
        <w:t>certainty</w:t>
      </w:r>
      <w:r>
        <w:rPr>
          <w:spacing w:val="-7"/>
        </w:rPr>
        <w:t xml:space="preserve"> </w:t>
      </w:r>
      <w:r>
        <w:t>of</w:t>
      </w:r>
      <w:r>
        <w:rPr>
          <w:spacing w:val="-7"/>
        </w:rPr>
        <w:t xml:space="preserve"> </w:t>
      </w:r>
      <w:r>
        <w:rPr>
          <w:spacing w:val="-2"/>
        </w:rPr>
        <w:t>evidence</w:t>
      </w:r>
      <w:r w:rsidR="00BB0AFF">
        <w:rPr>
          <w:spacing w:val="-2"/>
        </w:rPr>
        <w:t xml:space="preserve"> judgments</w:t>
      </w:r>
    </w:p>
    <w:p w14:paraId="44E56D4F" w14:textId="77777777" w:rsidR="00542EDE" w:rsidRDefault="00542EDE">
      <w:pPr>
        <w:pStyle w:val="BodyText"/>
        <w:spacing w:before="1"/>
        <w:ind w:left="0" w:right="0"/>
        <w:rPr>
          <w:b/>
        </w:rPr>
      </w:pPr>
    </w:p>
    <w:p w14:paraId="309F58FA" w14:textId="77777777" w:rsidR="00542EDE" w:rsidRDefault="00000000">
      <w:pPr>
        <w:pStyle w:val="BodyText"/>
      </w:pPr>
      <w:r>
        <w:t>Explanatory</w:t>
      </w:r>
      <w:r>
        <w:rPr>
          <w:spacing w:val="-6"/>
        </w:rPr>
        <w:t xml:space="preserve"> </w:t>
      </w:r>
      <w:r>
        <w:t>footnotes</w:t>
      </w:r>
      <w:r>
        <w:rPr>
          <w:spacing w:val="-8"/>
        </w:rPr>
        <w:t xml:space="preserve"> </w:t>
      </w:r>
      <w:r>
        <w:t>should</w:t>
      </w:r>
      <w:r>
        <w:rPr>
          <w:spacing w:val="-8"/>
        </w:rPr>
        <w:t xml:space="preserve"> </w:t>
      </w:r>
      <w:r>
        <w:t>make</w:t>
      </w:r>
      <w:r>
        <w:rPr>
          <w:spacing w:val="-6"/>
        </w:rPr>
        <w:t xml:space="preserve"> </w:t>
      </w:r>
      <w:r>
        <w:t>the</w:t>
      </w:r>
      <w:r>
        <w:rPr>
          <w:spacing w:val="-6"/>
        </w:rPr>
        <w:t xml:space="preserve"> </w:t>
      </w:r>
      <w:r>
        <w:t>rationale</w:t>
      </w:r>
      <w:r>
        <w:rPr>
          <w:spacing w:val="-6"/>
        </w:rPr>
        <w:t xml:space="preserve"> </w:t>
      </w:r>
      <w:r>
        <w:t>for</w:t>
      </w:r>
      <w:r>
        <w:rPr>
          <w:spacing w:val="-8"/>
        </w:rPr>
        <w:t xml:space="preserve"> </w:t>
      </w:r>
      <w:r>
        <w:t>assessments</w:t>
      </w:r>
      <w:r>
        <w:rPr>
          <w:spacing w:val="-8"/>
        </w:rPr>
        <w:t xml:space="preserve"> </w:t>
      </w:r>
      <w:r>
        <w:t>of</w:t>
      </w:r>
      <w:r>
        <w:rPr>
          <w:spacing w:val="-8"/>
        </w:rPr>
        <w:t xml:space="preserve"> </w:t>
      </w:r>
      <w:r>
        <w:t>certainty</w:t>
      </w:r>
      <w:r>
        <w:rPr>
          <w:spacing w:val="-7"/>
        </w:rPr>
        <w:t xml:space="preserve"> </w:t>
      </w:r>
      <w:r>
        <w:t>of</w:t>
      </w:r>
      <w:r>
        <w:rPr>
          <w:spacing w:val="-8"/>
        </w:rPr>
        <w:t xml:space="preserve"> </w:t>
      </w:r>
      <w:r>
        <w:t>evidence</w:t>
      </w:r>
      <w:r>
        <w:rPr>
          <w:spacing w:val="-8"/>
        </w:rPr>
        <w:t xml:space="preserve"> </w:t>
      </w:r>
      <w:r>
        <w:t>transparent.</w:t>
      </w:r>
      <w:r>
        <w:rPr>
          <w:spacing w:val="-2"/>
        </w:rPr>
        <w:t xml:space="preserve"> </w:t>
      </w:r>
      <w:r>
        <w:t>They</w:t>
      </w:r>
      <w:r>
        <w:rPr>
          <w:spacing w:val="-6"/>
        </w:rPr>
        <w:t xml:space="preserve"> </w:t>
      </w:r>
      <w:r>
        <w:t>may also specify the source of the baseline risk used to calculate absolute effects. Explanatory footnotes should be</w:t>
      </w:r>
    </w:p>
    <w:p w14:paraId="6C252A29" w14:textId="77777777" w:rsidR="00542EDE" w:rsidRDefault="00000000">
      <w:pPr>
        <w:pStyle w:val="BodyText"/>
      </w:pPr>
      <w:r>
        <w:t>brief, ideally no longer than two printed lines; provide appropriate information about reasons for judgments, additional</w:t>
      </w:r>
      <w:r>
        <w:rPr>
          <w:spacing w:val="-6"/>
        </w:rPr>
        <w:t xml:space="preserve"> </w:t>
      </w:r>
      <w:r>
        <w:t>information</w:t>
      </w:r>
      <w:r>
        <w:rPr>
          <w:spacing w:val="-7"/>
        </w:rPr>
        <w:t xml:space="preserve"> </w:t>
      </w:r>
      <w:r>
        <w:t>considered,</w:t>
      </w:r>
      <w:r>
        <w:rPr>
          <w:spacing w:val="-6"/>
        </w:rPr>
        <w:t xml:space="preserve"> </w:t>
      </w:r>
      <w:r>
        <w:t>and</w:t>
      </w:r>
      <w:r>
        <w:rPr>
          <w:spacing w:val="-8"/>
        </w:rPr>
        <w:t xml:space="preserve"> </w:t>
      </w:r>
      <w:r>
        <w:t>interpretation</w:t>
      </w:r>
      <w:r>
        <w:rPr>
          <w:spacing w:val="-11"/>
        </w:rPr>
        <w:t xml:space="preserve"> </w:t>
      </w:r>
      <w:r>
        <w:t>of</w:t>
      </w:r>
      <w:r>
        <w:rPr>
          <w:spacing w:val="-6"/>
        </w:rPr>
        <w:t xml:space="preserve"> </w:t>
      </w:r>
      <w:r>
        <w:t>results;</w:t>
      </w:r>
      <w:r>
        <w:rPr>
          <w:spacing w:val="-8"/>
        </w:rPr>
        <w:t xml:space="preserve"> </w:t>
      </w:r>
      <w:r>
        <w:t>created</w:t>
      </w:r>
      <w:r>
        <w:rPr>
          <w:spacing w:val="-6"/>
        </w:rPr>
        <w:t xml:space="preserve"> </w:t>
      </w:r>
      <w:r>
        <w:t>for</w:t>
      </w:r>
      <w:r>
        <w:rPr>
          <w:spacing w:val="-8"/>
        </w:rPr>
        <w:t xml:space="preserve"> </w:t>
      </w:r>
      <w:r>
        <w:t>the</w:t>
      </w:r>
      <w:r>
        <w:rPr>
          <w:spacing w:val="-6"/>
        </w:rPr>
        <w:t xml:space="preserve"> </w:t>
      </w:r>
      <w:r>
        <w:t>specific</w:t>
      </w:r>
      <w:r>
        <w:rPr>
          <w:spacing w:val="-8"/>
        </w:rPr>
        <w:t xml:space="preserve"> </w:t>
      </w:r>
      <w:r>
        <w:t>target</w:t>
      </w:r>
      <w:r>
        <w:rPr>
          <w:spacing w:val="-6"/>
        </w:rPr>
        <w:t xml:space="preserve"> </w:t>
      </w:r>
      <w:r>
        <w:t>audience;</w:t>
      </w:r>
      <w:r>
        <w:rPr>
          <w:spacing w:val="-7"/>
        </w:rPr>
        <w:t xml:space="preserve"> </w:t>
      </w:r>
      <w:r>
        <w:t>and</w:t>
      </w:r>
      <w:r>
        <w:rPr>
          <w:spacing w:val="-8"/>
        </w:rPr>
        <w:t xml:space="preserve"> </w:t>
      </w:r>
      <w:r>
        <w:t>be clear and self-explanatory.</w:t>
      </w:r>
    </w:p>
    <w:p w14:paraId="68CF61B3" w14:textId="77777777" w:rsidR="00542EDE" w:rsidRDefault="00000000">
      <w:pPr>
        <w:pStyle w:val="BodyText"/>
        <w:spacing w:before="268"/>
      </w:pPr>
      <w:r>
        <w:t>The</w:t>
      </w:r>
      <w:r>
        <w:rPr>
          <w:spacing w:val="-6"/>
        </w:rPr>
        <w:t xml:space="preserve"> </w:t>
      </w:r>
      <w:r>
        <w:t>following</w:t>
      </w:r>
      <w:r>
        <w:rPr>
          <w:spacing w:val="-8"/>
        </w:rPr>
        <w:t xml:space="preserve"> </w:t>
      </w:r>
      <w:r>
        <w:t>examples</w:t>
      </w:r>
      <w:r>
        <w:rPr>
          <w:spacing w:val="-6"/>
        </w:rPr>
        <w:t xml:space="preserve"> </w:t>
      </w:r>
      <w:r>
        <w:t>provide</w:t>
      </w:r>
      <w:r>
        <w:rPr>
          <w:spacing w:val="-6"/>
        </w:rPr>
        <w:t xml:space="preserve"> </w:t>
      </w:r>
      <w:r>
        <w:t>suboptimal</w:t>
      </w:r>
      <w:r>
        <w:rPr>
          <w:spacing w:val="-6"/>
        </w:rPr>
        <w:t xml:space="preserve"> </w:t>
      </w:r>
      <w:r>
        <w:t>explanations,</w:t>
      </w:r>
      <w:r>
        <w:rPr>
          <w:spacing w:val="-6"/>
        </w:rPr>
        <w:t xml:space="preserve"> </w:t>
      </w:r>
      <w:r>
        <w:t>explain</w:t>
      </w:r>
      <w:r>
        <w:rPr>
          <w:spacing w:val="-8"/>
        </w:rPr>
        <w:t xml:space="preserve"> </w:t>
      </w:r>
      <w:r>
        <w:t>why</w:t>
      </w:r>
      <w:r>
        <w:rPr>
          <w:spacing w:val="-6"/>
        </w:rPr>
        <w:t xml:space="preserve"> </w:t>
      </w:r>
      <w:r>
        <w:t>these</w:t>
      </w:r>
      <w:r>
        <w:rPr>
          <w:spacing w:val="-8"/>
        </w:rPr>
        <w:t xml:space="preserve"> </w:t>
      </w:r>
      <w:r>
        <w:t>are</w:t>
      </w:r>
      <w:r>
        <w:rPr>
          <w:spacing w:val="-8"/>
        </w:rPr>
        <w:t xml:space="preserve"> </w:t>
      </w:r>
      <w:r>
        <w:t>not</w:t>
      </w:r>
      <w:r>
        <w:rPr>
          <w:spacing w:val="-6"/>
        </w:rPr>
        <w:t xml:space="preserve"> </w:t>
      </w:r>
      <w:r>
        <w:t>appropriate,</w:t>
      </w:r>
      <w:r>
        <w:rPr>
          <w:spacing w:val="-6"/>
        </w:rPr>
        <w:t xml:space="preserve"> </w:t>
      </w:r>
      <w:r>
        <w:t>and</w:t>
      </w:r>
      <w:r>
        <w:rPr>
          <w:spacing w:val="-7"/>
        </w:rPr>
        <w:t xml:space="preserve"> </w:t>
      </w:r>
      <w:r>
        <w:t>provide</w:t>
      </w:r>
      <w:r>
        <w:rPr>
          <w:spacing w:val="-6"/>
        </w:rPr>
        <w:t xml:space="preserve"> </w:t>
      </w:r>
      <w:r>
        <w:t>a better alternative:</w:t>
      </w:r>
    </w:p>
    <w:p w14:paraId="76E40523" w14:textId="77777777" w:rsidR="00542EDE" w:rsidRDefault="00000000">
      <w:pPr>
        <w:ind w:left="360" w:right="426"/>
        <w:rPr>
          <w:i/>
        </w:rPr>
      </w:pPr>
      <w:r>
        <w:t>For</w:t>
      </w:r>
      <w:r>
        <w:rPr>
          <w:spacing w:val="-6"/>
        </w:rPr>
        <w:t xml:space="preserve"> </w:t>
      </w:r>
      <w:r>
        <w:t>rating</w:t>
      </w:r>
      <w:r>
        <w:rPr>
          <w:spacing w:val="-7"/>
        </w:rPr>
        <w:t xml:space="preserve"> </w:t>
      </w:r>
      <w:r>
        <w:t>down</w:t>
      </w:r>
      <w:r>
        <w:rPr>
          <w:spacing w:val="-6"/>
        </w:rPr>
        <w:t xml:space="preserve"> </w:t>
      </w:r>
      <w:r>
        <w:t>for</w:t>
      </w:r>
      <w:r>
        <w:rPr>
          <w:spacing w:val="-6"/>
        </w:rPr>
        <w:t xml:space="preserve"> </w:t>
      </w:r>
      <w:r>
        <w:t>imprecision:</w:t>
      </w:r>
      <w:r>
        <w:rPr>
          <w:spacing w:val="-3"/>
        </w:rPr>
        <w:t xml:space="preserve"> </w:t>
      </w:r>
      <w:r>
        <w:rPr>
          <w:i/>
        </w:rPr>
        <w:t>“Although</w:t>
      </w:r>
      <w:r>
        <w:rPr>
          <w:i/>
          <w:spacing w:val="-7"/>
        </w:rPr>
        <w:t xml:space="preserve"> </w:t>
      </w:r>
      <w:r>
        <w:rPr>
          <w:i/>
        </w:rPr>
        <w:t>the</w:t>
      </w:r>
      <w:r>
        <w:rPr>
          <w:i/>
          <w:spacing w:val="-8"/>
        </w:rPr>
        <w:t xml:space="preserve"> </w:t>
      </w:r>
      <w:r>
        <w:rPr>
          <w:i/>
        </w:rPr>
        <w:t>confidence</w:t>
      </w:r>
      <w:r>
        <w:rPr>
          <w:i/>
          <w:spacing w:val="-6"/>
        </w:rPr>
        <w:t xml:space="preserve"> </w:t>
      </w:r>
      <w:r>
        <w:rPr>
          <w:i/>
        </w:rPr>
        <w:t>interval</w:t>
      </w:r>
      <w:r>
        <w:rPr>
          <w:i/>
          <w:spacing w:val="-6"/>
        </w:rPr>
        <w:t xml:space="preserve"> </w:t>
      </w:r>
      <w:r>
        <w:rPr>
          <w:i/>
        </w:rPr>
        <w:t>does</w:t>
      </w:r>
      <w:r>
        <w:rPr>
          <w:i/>
          <w:spacing w:val="-8"/>
        </w:rPr>
        <w:t xml:space="preserve"> </w:t>
      </w:r>
      <w:r>
        <w:rPr>
          <w:i/>
        </w:rPr>
        <w:t>not</w:t>
      </w:r>
      <w:r>
        <w:rPr>
          <w:i/>
          <w:spacing w:val="-6"/>
        </w:rPr>
        <w:t xml:space="preserve"> </w:t>
      </w:r>
      <w:r>
        <w:rPr>
          <w:i/>
        </w:rPr>
        <w:t>cross</w:t>
      </w:r>
      <w:r>
        <w:rPr>
          <w:i/>
          <w:spacing w:val="-7"/>
        </w:rPr>
        <w:t xml:space="preserve"> </w:t>
      </w:r>
      <w:r>
        <w:rPr>
          <w:i/>
        </w:rPr>
        <w:t>the</w:t>
      </w:r>
      <w:r>
        <w:rPr>
          <w:i/>
          <w:spacing w:val="-6"/>
        </w:rPr>
        <w:t xml:space="preserve"> </w:t>
      </w:r>
      <w:r>
        <w:rPr>
          <w:i/>
        </w:rPr>
        <w:t>null,</w:t>
      </w:r>
      <w:r>
        <w:rPr>
          <w:i/>
          <w:spacing w:val="-6"/>
        </w:rPr>
        <w:t xml:space="preserve"> </w:t>
      </w:r>
      <w:r>
        <w:rPr>
          <w:i/>
        </w:rPr>
        <w:t>the</w:t>
      </w:r>
      <w:r>
        <w:rPr>
          <w:i/>
          <w:spacing w:val="-8"/>
        </w:rPr>
        <w:t xml:space="preserve"> </w:t>
      </w:r>
      <w:r>
        <w:rPr>
          <w:i/>
        </w:rPr>
        <w:t>confidence intervals were wide”</w:t>
      </w: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8"/>
      </w:tblGrid>
      <w:tr w:rsidR="00542EDE" w14:paraId="1130A288" w14:textId="77777777">
        <w:trPr>
          <w:trHeight w:val="845"/>
        </w:trPr>
        <w:tc>
          <w:tcPr>
            <w:tcW w:w="10308" w:type="dxa"/>
          </w:tcPr>
          <w:p w14:paraId="24A60C3F" w14:textId="77777777" w:rsidR="00542EDE" w:rsidRDefault="00000000">
            <w:pPr>
              <w:pStyle w:val="TableParagraph"/>
            </w:pPr>
            <w:r>
              <w:t>Problems: does not clearly and explicitly justify rating down or not;</w:t>
            </w:r>
            <w:r>
              <w:rPr>
                <w:spacing w:val="40"/>
              </w:rPr>
              <w:t xml:space="preserve"> </w:t>
            </w:r>
            <w:r>
              <w:t>not sufficiently explicit in that the term “wide”</w:t>
            </w:r>
            <w:r>
              <w:rPr>
                <w:spacing w:val="-6"/>
              </w:rPr>
              <w:t xml:space="preserve"> </w:t>
            </w:r>
            <w:r>
              <w:t>can</w:t>
            </w:r>
            <w:r>
              <w:rPr>
                <w:spacing w:val="-5"/>
              </w:rPr>
              <w:t xml:space="preserve"> </w:t>
            </w:r>
            <w:r>
              <w:t>mean</w:t>
            </w:r>
            <w:r>
              <w:rPr>
                <w:spacing w:val="-4"/>
              </w:rPr>
              <w:t xml:space="preserve"> </w:t>
            </w:r>
            <w:r>
              <w:t>different</w:t>
            </w:r>
            <w:r>
              <w:rPr>
                <w:spacing w:val="-8"/>
              </w:rPr>
              <w:t xml:space="preserve"> </w:t>
            </w:r>
            <w:r>
              <w:t>things</w:t>
            </w:r>
            <w:r>
              <w:rPr>
                <w:spacing w:val="-4"/>
              </w:rPr>
              <w:t xml:space="preserve"> </w:t>
            </w:r>
            <w:r>
              <w:t>depending</w:t>
            </w:r>
            <w:r>
              <w:rPr>
                <w:spacing w:val="-5"/>
              </w:rPr>
              <w:t xml:space="preserve"> </w:t>
            </w:r>
            <w:r>
              <w:t>on</w:t>
            </w:r>
            <w:r>
              <w:rPr>
                <w:spacing w:val="-5"/>
              </w:rPr>
              <w:t xml:space="preserve"> </w:t>
            </w:r>
            <w:r>
              <w:t>the</w:t>
            </w:r>
            <w:r>
              <w:rPr>
                <w:spacing w:val="-4"/>
              </w:rPr>
              <w:t xml:space="preserve"> </w:t>
            </w:r>
            <w:r>
              <w:t>thresholds</w:t>
            </w:r>
            <w:r>
              <w:rPr>
                <w:spacing w:val="-6"/>
              </w:rPr>
              <w:t xml:space="preserve"> </w:t>
            </w:r>
            <w:r>
              <w:t>set);</w:t>
            </w:r>
            <w:r>
              <w:rPr>
                <w:spacing w:val="-6"/>
              </w:rPr>
              <w:t xml:space="preserve"> </w:t>
            </w:r>
            <w:r>
              <w:t>and</w:t>
            </w:r>
            <w:r>
              <w:rPr>
                <w:spacing w:val="-6"/>
              </w:rPr>
              <w:t xml:space="preserve"> </w:t>
            </w:r>
            <w:r>
              <w:t>does</w:t>
            </w:r>
            <w:r>
              <w:rPr>
                <w:spacing w:val="-3"/>
              </w:rPr>
              <w:t xml:space="preserve"> </w:t>
            </w:r>
            <w:r>
              <w:t>not</w:t>
            </w:r>
            <w:r>
              <w:rPr>
                <w:spacing w:val="-6"/>
              </w:rPr>
              <w:t xml:space="preserve"> </w:t>
            </w:r>
            <w:r>
              <w:t>follow</w:t>
            </w:r>
            <w:r>
              <w:rPr>
                <w:spacing w:val="-6"/>
              </w:rPr>
              <w:t xml:space="preserve"> </w:t>
            </w:r>
            <w:r>
              <w:t>GRADE</w:t>
            </w:r>
            <w:r>
              <w:rPr>
                <w:spacing w:val="-4"/>
              </w:rPr>
              <w:t xml:space="preserve"> </w:t>
            </w:r>
            <w:r>
              <w:t>guidance</w:t>
            </w:r>
            <w:r>
              <w:rPr>
                <w:spacing w:val="-3"/>
              </w:rPr>
              <w:t xml:space="preserve"> </w:t>
            </w:r>
            <w:r>
              <w:t>for addressing imprecision.</w:t>
            </w:r>
          </w:p>
        </w:tc>
      </w:tr>
      <w:tr w:rsidR="00542EDE" w14:paraId="18FE41E1" w14:textId="77777777">
        <w:trPr>
          <w:trHeight w:val="846"/>
        </w:trPr>
        <w:tc>
          <w:tcPr>
            <w:tcW w:w="10308" w:type="dxa"/>
          </w:tcPr>
          <w:p w14:paraId="11D8067D" w14:textId="77777777" w:rsidR="00542EDE" w:rsidRDefault="00000000">
            <w:pPr>
              <w:pStyle w:val="TableParagraph"/>
              <w:ind w:right="0"/>
            </w:pPr>
            <w:r>
              <w:t>A</w:t>
            </w:r>
            <w:r>
              <w:rPr>
                <w:spacing w:val="-8"/>
              </w:rPr>
              <w:t xml:space="preserve"> </w:t>
            </w:r>
            <w:r>
              <w:t>better</w:t>
            </w:r>
            <w:r>
              <w:rPr>
                <w:spacing w:val="-8"/>
              </w:rPr>
              <w:t xml:space="preserve"> </w:t>
            </w:r>
            <w:r>
              <w:t>explanation:</w:t>
            </w:r>
            <w:r>
              <w:rPr>
                <w:spacing w:val="-10"/>
              </w:rPr>
              <w:t xml:space="preserve"> </w:t>
            </w:r>
            <w:r>
              <w:t>“Although</w:t>
            </w:r>
            <w:r>
              <w:rPr>
                <w:spacing w:val="-9"/>
              </w:rPr>
              <w:t xml:space="preserve"> </w:t>
            </w:r>
            <w:r>
              <w:t>the</w:t>
            </w:r>
            <w:r>
              <w:rPr>
                <w:spacing w:val="-9"/>
              </w:rPr>
              <w:t xml:space="preserve"> </w:t>
            </w:r>
            <w:r>
              <w:t>95%</w:t>
            </w:r>
            <w:r>
              <w:rPr>
                <w:spacing w:val="-8"/>
              </w:rPr>
              <w:t xml:space="preserve"> </w:t>
            </w:r>
            <w:r>
              <w:t>confidence</w:t>
            </w:r>
            <w:r>
              <w:rPr>
                <w:spacing w:val="-9"/>
              </w:rPr>
              <w:t xml:space="preserve"> </w:t>
            </w:r>
            <w:r>
              <w:t>interval</w:t>
            </w:r>
            <w:r>
              <w:rPr>
                <w:spacing w:val="-8"/>
              </w:rPr>
              <w:t xml:space="preserve"> </w:t>
            </w:r>
            <w:r>
              <w:t>does</w:t>
            </w:r>
            <w:r>
              <w:rPr>
                <w:spacing w:val="-7"/>
              </w:rPr>
              <w:t xml:space="preserve"> </w:t>
            </w:r>
            <w:r>
              <w:t>not</w:t>
            </w:r>
            <w:r>
              <w:rPr>
                <w:spacing w:val="-8"/>
              </w:rPr>
              <w:t xml:space="preserve"> </w:t>
            </w:r>
            <w:r>
              <w:t>cross</w:t>
            </w:r>
            <w:r>
              <w:rPr>
                <w:spacing w:val="-8"/>
              </w:rPr>
              <w:t xml:space="preserve"> </w:t>
            </w:r>
            <w:r>
              <w:t>the</w:t>
            </w:r>
            <w:r>
              <w:rPr>
                <w:spacing w:val="-8"/>
              </w:rPr>
              <w:t xml:space="preserve"> </w:t>
            </w:r>
            <w:r>
              <w:t>threshold</w:t>
            </w:r>
            <w:r>
              <w:rPr>
                <w:spacing w:val="-11"/>
              </w:rPr>
              <w:t xml:space="preserve"> </w:t>
            </w:r>
            <w:r>
              <w:t>of</w:t>
            </w:r>
            <w:r>
              <w:rPr>
                <w:spacing w:val="-8"/>
              </w:rPr>
              <w:t xml:space="preserve"> </w:t>
            </w:r>
            <w:r>
              <w:t>interest</w:t>
            </w:r>
            <w:r>
              <w:rPr>
                <w:spacing w:val="-8"/>
              </w:rPr>
              <w:t xml:space="preserve"> </w:t>
            </w:r>
            <w:r>
              <w:t>(null</w:t>
            </w:r>
            <w:r>
              <w:rPr>
                <w:spacing w:val="-9"/>
              </w:rPr>
              <w:t xml:space="preserve"> </w:t>
            </w:r>
            <w:r>
              <w:rPr>
                <w:spacing w:val="-2"/>
              </w:rPr>
              <w:t>value),</w:t>
            </w:r>
          </w:p>
          <w:p w14:paraId="277D9D0A" w14:textId="77777777" w:rsidR="00542EDE" w:rsidRDefault="00000000">
            <w:pPr>
              <w:pStyle w:val="TableParagraph"/>
              <w:spacing w:before="3"/>
            </w:pPr>
            <w:r>
              <w:t>the</w:t>
            </w:r>
            <w:r>
              <w:rPr>
                <w:spacing w:val="-4"/>
              </w:rPr>
              <w:t xml:space="preserve"> </w:t>
            </w:r>
            <w:r>
              <w:t>point</w:t>
            </w:r>
            <w:r>
              <w:rPr>
                <w:spacing w:val="-6"/>
              </w:rPr>
              <w:t xml:space="preserve"> </w:t>
            </w:r>
            <w:r>
              <w:t>estimate</w:t>
            </w:r>
            <w:r>
              <w:rPr>
                <w:spacing w:val="-6"/>
              </w:rPr>
              <w:t xml:space="preserve"> </w:t>
            </w:r>
            <w:r>
              <w:t>suggests</w:t>
            </w:r>
            <w:r>
              <w:rPr>
                <w:spacing w:val="-6"/>
              </w:rPr>
              <w:t xml:space="preserve"> </w:t>
            </w:r>
            <w:r>
              <w:t>a</w:t>
            </w:r>
            <w:r>
              <w:rPr>
                <w:spacing w:val="-4"/>
              </w:rPr>
              <w:t xml:space="preserve"> </w:t>
            </w:r>
            <w:r>
              <w:t>large</w:t>
            </w:r>
            <w:r>
              <w:rPr>
                <w:spacing w:val="-4"/>
              </w:rPr>
              <w:t xml:space="preserve"> </w:t>
            </w:r>
            <w:r>
              <w:t>benefit</w:t>
            </w:r>
            <w:r>
              <w:rPr>
                <w:spacing w:val="-6"/>
              </w:rPr>
              <w:t xml:space="preserve"> </w:t>
            </w:r>
            <w:r>
              <w:t>and</w:t>
            </w:r>
            <w:r>
              <w:rPr>
                <w:spacing w:val="-6"/>
              </w:rPr>
              <w:t xml:space="preserve"> </w:t>
            </w:r>
            <w:r>
              <w:t>the</w:t>
            </w:r>
            <w:r>
              <w:rPr>
                <w:spacing w:val="-4"/>
              </w:rPr>
              <w:t xml:space="preserve"> </w:t>
            </w:r>
            <w:r>
              <w:t>body</w:t>
            </w:r>
            <w:r>
              <w:rPr>
                <w:spacing w:val="-4"/>
              </w:rPr>
              <w:t xml:space="preserve"> </w:t>
            </w:r>
            <w:r>
              <w:t>of</w:t>
            </w:r>
            <w:r>
              <w:rPr>
                <w:spacing w:val="-7"/>
              </w:rPr>
              <w:t xml:space="preserve"> </w:t>
            </w:r>
            <w:r>
              <w:t>evidence</w:t>
            </w:r>
            <w:r>
              <w:rPr>
                <w:spacing w:val="-4"/>
              </w:rPr>
              <w:t xml:space="preserve"> </w:t>
            </w:r>
            <w:r>
              <w:t>does</w:t>
            </w:r>
            <w:r>
              <w:rPr>
                <w:spacing w:val="-3"/>
              </w:rPr>
              <w:t xml:space="preserve"> </w:t>
            </w:r>
            <w:r>
              <w:t>not</w:t>
            </w:r>
            <w:r>
              <w:rPr>
                <w:spacing w:val="-4"/>
              </w:rPr>
              <w:t xml:space="preserve"> </w:t>
            </w:r>
            <w:r>
              <w:t>meet</w:t>
            </w:r>
            <w:r>
              <w:rPr>
                <w:spacing w:val="-4"/>
              </w:rPr>
              <w:t xml:space="preserve"> </w:t>
            </w:r>
            <w:r>
              <w:t>the</w:t>
            </w:r>
            <w:r>
              <w:rPr>
                <w:spacing w:val="-6"/>
              </w:rPr>
              <w:t xml:space="preserve"> </w:t>
            </w:r>
            <w:r>
              <w:t>optimal</w:t>
            </w:r>
            <w:r>
              <w:rPr>
                <w:spacing w:val="-4"/>
              </w:rPr>
              <w:t xml:space="preserve"> </w:t>
            </w:r>
            <w:r>
              <w:t xml:space="preserve">information </w:t>
            </w:r>
            <w:r>
              <w:rPr>
                <w:spacing w:val="-2"/>
              </w:rPr>
              <w:t>size”</w:t>
            </w:r>
          </w:p>
        </w:tc>
      </w:tr>
    </w:tbl>
    <w:p w14:paraId="6D3225E2" w14:textId="77777777" w:rsidR="00542EDE" w:rsidRDefault="00000000">
      <w:pPr>
        <w:spacing w:before="268"/>
        <w:ind w:left="360"/>
        <w:rPr>
          <w:i/>
        </w:rPr>
      </w:pPr>
      <w:r>
        <w:t>For</w:t>
      </w:r>
      <w:r>
        <w:rPr>
          <w:spacing w:val="-8"/>
        </w:rPr>
        <w:t xml:space="preserve"> </w:t>
      </w:r>
      <w:r>
        <w:t>rating</w:t>
      </w:r>
      <w:r>
        <w:rPr>
          <w:spacing w:val="-7"/>
        </w:rPr>
        <w:t xml:space="preserve"> </w:t>
      </w:r>
      <w:r>
        <w:t>down</w:t>
      </w:r>
      <w:r>
        <w:rPr>
          <w:spacing w:val="-7"/>
        </w:rPr>
        <w:t xml:space="preserve"> </w:t>
      </w:r>
      <w:r>
        <w:t>for</w:t>
      </w:r>
      <w:r>
        <w:rPr>
          <w:spacing w:val="-7"/>
        </w:rPr>
        <w:t xml:space="preserve"> </w:t>
      </w:r>
      <w:r>
        <w:t>inconsistency:</w:t>
      </w:r>
      <w:r>
        <w:rPr>
          <w:spacing w:val="-7"/>
        </w:rPr>
        <w:t xml:space="preserve"> </w:t>
      </w:r>
      <w:r>
        <w:t>“</w:t>
      </w:r>
      <w:r>
        <w:rPr>
          <w:i/>
        </w:rPr>
        <w:t>I</w:t>
      </w:r>
      <w:r>
        <w:rPr>
          <w:i/>
          <w:vertAlign w:val="superscript"/>
        </w:rPr>
        <w:t>2</w:t>
      </w:r>
      <w:r>
        <w:rPr>
          <w:i/>
        </w:rPr>
        <w:t>&gt;30%,</w:t>
      </w:r>
      <w:r>
        <w:rPr>
          <w:i/>
          <w:spacing w:val="-6"/>
        </w:rPr>
        <w:t xml:space="preserve"> </w:t>
      </w:r>
      <w:r>
        <w:rPr>
          <w:i/>
        </w:rPr>
        <w:t>p</w:t>
      </w:r>
      <w:r>
        <w:rPr>
          <w:i/>
          <w:spacing w:val="-9"/>
        </w:rPr>
        <w:t xml:space="preserve"> </w:t>
      </w:r>
      <w:r>
        <w:rPr>
          <w:i/>
        </w:rPr>
        <w:t>value</w:t>
      </w:r>
      <w:r>
        <w:rPr>
          <w:i/>
          <w:spacing w:val="-7"/>
        </w:rPr>
        <w:t xml:space="preserve"> </w:t>
      </w:r>
      <w:r>
        <w:rPr>
          <w:i/>
          <w:spacing w:val="-4"/>
        </w:rPr>
        <w:t>&lt;0.1”</w:t>
      </w: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8"/>
      </w:tblGrid>
      <w:tr w:rsidR="00542EDE" w14:paraId="4F351E81" w14:textId="77777777">
        <w:trPr>
          <w:trHeight w:val="1651"/>
        </w:trPr>
        <w:tc>
          <w:tcPr>
            <w:tcW w:w="10308" w:type="dxa"/>
          </w:tcPr>
          <w:p w14:paraId="37E44471" w14:textId="77777777" w:rsidR="00542EDE" w:rsidRDefault="00000000">
            <w:pPr>
              <w:pStyle w:val="TableParagraph"/>
              <w:ind w:right="0"/>
            </w:pPr>
            <w:r>
              <w:t>Problems:</w:t>
            </w:r>
            <w:r>
              <w:rPr>
                <w:spacing w:val="-7"/>
              </w:rPr>
              <w:t xml:space="preserve"> </w:t>
            </w:r>
            <w:r>
              <w:t>This</w:t>
            </w:r>
            <w:r>
              <w:rPr>
                <w:spacing w:val="-5"/>
              </w:rPr>
              <w:t xml:space="preserve"> </w:t>
            </w:r>
            <w:r>
              <w:t>explanation</w:t>
            </w:r>
            <w:r>
              <w:rPr>
                <w:spacing w:val="-8"/>
              </w:rPr>
              <w:t xml:space="preserve"> </w:t>
            </w:r>
            <w:r>
              <w:t>is</w:t>
            </w:r>
            <w:r>
              <w:rPr>
                <w:spacing w:val="-5"/>
              </w:rPr>
              <w:t xml:space="preserve"> </w:t>
            </w:r>
            <w:r>
              <w:t>not</w:t>
            </w:r>
            <w:r>
              <w:rPr>
                <w:spacing w:val="-5"/>
              </w:rPr>
              <w:t xml:space="preserve"> </w:t>
            </w:r>
            <w:r>
              <w:t>informative</w:t>
            </w:r>
            <w:r>
              <w:rPr>
                <w:spacing w:val="-5"/>
              </w:rPr>
              <w:t xml:space="preserve"> </w:t>
            </w:r>
            <w:r>
              <w:t>(does</w:t>
            </w:r>
            <w:r>
              <w:rPr>
                <w:spacing w:val="-7"/>
              </w:rPr>
              <w:t xml:space="preserve"> </w:t>
            </w:r>
            <w:r>
              <w:t>not</w:t>
            </w:r>
            <w:r>
              <w:rPr>
                <w:spacing w:val="-5"/>
              </w:rPr>
              <w:t xml:space="preserve"> </w:t>
            </w:r>
            <w:r>
              <w:t>clearly</w:t>
            </w:r>
            <w:r>
              <w:rPr>
                <w:spacing w:val="-5"/>
              </w:rPr>
              <w:t xml:space="preserve"> </w:t>
            </w:r>
            <w:r>
              <w:t>and</w:t>
            </w:r>
            <w:r>
              <w:rPr>
                <w:spacing w:val="-7"/>
              </w:rPr>
              <w:t xml:space="preserve"> </w:t>
            </w:r>
            <w:r>
              <w:t>explicitly</w:t>
            </w:r>
            <w:r>
              <w:rPr>
                <w:spacing w:val="-5"/>
              </w:rPr>
              <w:t xml:space="preserve"> </w:t>
            </w:r>
            <w:r>
              <w:t>justify</w:t>
            </w:r>
            <w:r>
              <w:rPr>
                <w:spacing w:val="-4"/>
              </w:rPr>
              <w:t xml:space="preserve"> </w:t>
            </w:r>
            <w:r>
              <w:t>rating</w:t>
            </w:r>
            <w:r>
              <w:rPr>
                <w:spacing w:val="-6"/>
              </w:rPr>
              <w:t xml:space="preserve"> </w:t>
            </w:r>
            <w:r>
              <w:t>down,</w:t>
            </w:r>
            <w:r>
              <w:rPr>
                <w:spacing w:val="-5"/>
              </w:rPr>
              <w:t xml:space="preserve"> </w:t>
            </w:r>
            <w:r>
              <w:t>“&gt;30%”</w:t>
            </w:r>
            <w:r>
              <w:rPr>
                <w:spacing w:val="-5"/>
              </w:rPr>
              <w:t xml:space="preserve"> </w:t>
            </w:r>
            <w:r>
              <w:t>can</w:t>
            </w:r>
            <w:r>
              <w:rPr>
                <w:spacing w:val="-8"/>
              </w:rPr>
              <w:t xml:space="preserve"> </w:t>
            </w:r>
            <w:r>
              <w:t>take many different values), relevant (many users may not be able to infer what this means), or accurate (does not</w:t>
            </w:r>
          </w:p>
          <w:p w14:paraId="4B2267E9" w14:textId="77777777" w:rsidR="00542EDE" w:rsidRDefault="00000000">
            <w:pPr>
              <w:pStyle w:val="TableParagraph"/>
              <w:spacing w:before="1"/>
            </w:pPr>
            <w:r>
              <w:t>seem</w:t>
            </w:r>
            <w:r>
              <w:rPr>
                <w:spacing w:val="-7"/>
              </w:rPr>
              <w:t xml:space="preserve"> </w:t>
            </w:r>
            <w:r>
              <w:t>to</w:t>
            </w:r>
            <w:r>
              <w:rPr>
                <w:spacing w:val="-4"/>
              </w:rPr>
              <w:t xml:space="preserve"> </w:t>
            </w:r>
            <w:r>
              <w:t>follow</w:t>
            </w:r>
            <w:r>
              <w:rPr>
                <w:spacing w:val="-7"/>
              </w:rPr>
              <w:t xml:space="preserve"> </w:t>
            </w:r>
            <w:r>
              <w:t>GRADE</w:t>
            </w:r>
            <w:r>
              <w:rPr>
                <w:spacing w:val="-5"/>
              </w:rPr>
              <w:t xml:space="preserve"> </w:t>
            </w:r>
            <w:r>
              <w:t>guidance</w:t>
            </w:r>
            <w:r>
              <w:rPr>
                <w:spacing w:val="-2"/>
              </w:rPr>
              <w:t xml:space="preserve"> </w:t>
            </w:r>
            <w:r>
              <w:t>for</w:t>
            </w:r>
            <w:r>
              <w:rPr>
                <w:spacing w:val="-8"/>
              </w:rPr>
              <w:t xml:space="preserve"> </w:t>
            </w:r>
            <w:r>
              <w:t>addressing</w:t>
            </w:r>
            <w:r>
              <w:rPr>
                <w:spacing w:val="-7"/>
              </w:rPr>
              <w:t xml:space="preserve"> </w:t>
            </w:r>
            <w:r>
              <w:t>inconsistency</w:t>
            </w:r>
            <w:r>
              <w:rPr>
                <w:spacing w:val="-7"/>
              </w:rPr>
              <w:t xml:space="preserve"> </w:t>
            </w:r>
            <w:r>
              <w:t>appropriately-</w:t>
            </w:r>
            <w:r>
              <w:rPr>
                <w:spacing w:val="-5"/>
              </w:rPr>
              <w:t xml:space="preserve"> </w:t>
            </w:r>
            <w:r>
              <w:t>As</w:t>
            </w:r>
            <w:r>
              <w:rPr>
                <w:spacing w:val="-5"/>
              </w:rPr>
              <w:t xml:space="preserve"> </w:t>
            </w:r>
            <w:r>
              <w:t>described</w:t>
            </w:r>
            <w:r>
              <w:rPr>
                <w:spacing w:val="-5"/>
              </w:rPr>
              <w:t xml:space="preserve"> </w:t>
            </w:r>
            <w:r>
              <w:t>in</w:t>
            </w:r>
            <w:r>
              <w:rPr>
                <w:spacing w:val="-6"/>
              </w:rPr>
              <w:t xml:space="preserve"> </w:t>
            </w:r>
            <w:r>
              <w:t>detail</w:t>
            </w:r>
            <w:r>
              <w:rPr>
                <w:spacing w:val="-6"/>
              </w:rPr>
              <w:t xml:space="preserve"> </w:t>
            </w:r>
            <w:r>
              <w:t>in</w:t>
            </w:r>
            <w:r>
              <w:rPr>
                <w:spacing w:val="-5"/>
              </w:rPr>
              <w:t xml:space="preserve"> </w:t>
            </w:r>
            <w:r>
              <w:t>Article</w:t>
            </w:r>
            <w:r>
              <w:rPr>
                <w:spacing w:val="-7"/>
              </w:rPr>
              <w:t xml:space="preserve"> </w:t>
            </w:r>
            <w:r>
              <w:t>3 addressing inconsistency, GRADE users should never use the I</w:t>
            </w:r>
            <w:r>
              <w:rPr>
                <w:vertAlign w:val="superscript"/>
              </w:rPr>
              <w:t>2</w:t>
            </w:r>
            <w:r>
              <w:t xml:space="preserve"> alone as the basis for rating down for</w:t>
            </w:r>
          </w:p>
          <w:p w14:paraId="01F92CB7" w14:textId="77777777" w:rsidR="00542EDE" w:rsidRDefault="00000000">
            <w:pPr>
              <w:pStyle w:val="TableParagraph"/>
              <w:spacing w:before="0"/>
            </w:pPr>
            <w:r>
              <w:t>inconsistency.</w:t>
            </w:r>
            <w:r>
              <w:rPr>
                <w:spacing w:val="40"/>
              </w:rPr>
              <w:t xml:space="preserve"> </w:t>
            </w:r>
            <w:r>
              <w:t>Further,</w:t>
            </w:r>
            <w:r>
              <w:rPr>
                <w:spacing w:val="-5"/>
              </w:rPr>
              <w:t xml:space="preserve"> </w:t>
            </w:r>
            <w:r>
              <w:t>we</w:t>
            </w:r>
            <w:r>
              <w:rPr>
                <w:spacing w:val="-7"/>
              </w:rPr>
              <w:t xml:space="preserve"> </w:t>
            </w:r>
            <w:r>
              <w:t>do</w:t>
            </w:r>
            <w:r>
              <w:rPr>
                <w:spacing w:val="-4"/>
              </w:rPr>
              <w:t xml:space="preserve"> </w:t>
            </w:r>
            <w:r>
              <w:t>not</w:t>
            </w:r>
            <w:r>
              <w:rPr>
                <w:spacing w:val="-5"/>
              </w:rPr>
              <w:t xml:space="preserve"> </w:t>
            </w:r>
            <w:r>
              <w:t>recommend</w:t>
            </w:r>
            <w:r>
              <w:rPr>
                <w:spacing w:val="-7"/>
              </w:rPr>
              <w:t xml:space="preserve"> </w:t>
            </w:r>
            <w:r>
              <w:t>use</w:t>
            </w:r>
            <w:r>
              <w:rPr>
                <w:spacing w:val="-7"/>
              </w:rPr>
              <w:t xml:space="preserve"> </w:t>
            </w:r>
            <w:r>
              <w:t>of</w:t>
            </w:r>
            <w:r>
              <w:rPr>
                <w:spacing w:val="-8"/>
              </w:rPr>
              <w:t xml:space="preserve"> </w:t>
            </w:r>
            <w:r>
              <w:t>the</w:t>
            </w:r>
            <w:r>
              <w:rPr>
                <w:spacing w:val="-5"/>
              </w:rPr>
              <w:t xml:space="preserve"> </w:t>
            </w:r>
            <w:r>
              <w:t>p-value</w:t>
            </w:r>
            <w:r>
              <w:rPr>
                <w:spacing w:val="-5"/>
              </w:rPr>
              <w:t xml:space="preserve"> </w:t>
            </w:r>
            <w:r>
              <w:t>for</w:t>
            </w:r>
            <w:r>
              <w:rPr>
                <w:spacing w:val="-7"/>
              </w:rPr>
              <w:t xml:space="preserve"> </w:t>
            </w:r>
            <w:r>
              <w:t>the</w:t>
            </w:r>
            <w:r>
              <w:rPr>
                <w:spacing w:val="-7"/>
              </w:rPr>
              <w:t xml:space="preserve"> </w:t>
            </w:r>
            <w:r>
              <w:t>test</w:t>
            </w:r>
            <w:r>
              <w:rPr>
                <w:spacing w:val="-7"/>
              </w:rPr>
              <w:t xml:space="preserve"> </w:t>
            </w:r>
            <w:r>
              <w:t>of</w:t>
            </w:r>
            <w:r>
              <w:rPr>
                <w:spacing w:val="-8"/>
              </w:rPr>
              <w:t xml:space="preserve"> </w:t>
            </w:r>
            <w:r>
              <w:t>heterogeneity</w:t>
            </w:r>
            <w:r>
              <w:rPr>
                <w:spacing w:val="-5"/>
              </w:rPr>
              <w:t xml:space="preserve"> </w:t>
            </w:r>
            <w:r>
              <w:t>in</w:t>
            </w:r>
            <w:r>
              <w:rPr>
                <w:spacing w:val="-5"/>
              </w:rPr>
              <w:t xml:space="preserve"> </w:t>
            </w:r>
            <w:r>
              <w:t>Core</w:t>
            </w:r>
            <w:r>
              <w:rPr>
                <w:spacing w:val="-7"/>
              </w:rPr>
              <w:t xml:space="preserve"> </w:t>
            </w:r>
            <w:r>
              <w:t>GRADE</w:t>
            </w:r>
            <w:r>
              <w:rPr>
                <w:spacing w:val="-5"/>
              </w:rPr>
              <w:t xml:space="preserve"> </w:t>
            </w:r>
            <w:r>
              <w:t>(it adds little to the I</w:t>
            </w:r>
            <w:r>
              <w:rPr>
                <w:vertAlign w:val="superscript"/>
              </w:rPr>
              <w:t>2</w:t>
            </w:r>
            <w:r>
              <w:t xml:space="preserve"> and is more difficult to interpret).</w:t>
            </w:r>
          </w:p>
        </w:tc>
      </w:tr>
      <w:tr w:rsidR="00542EDE" w14:paraId="06508887" w14:textId="77777777">
        <w:trPr>
          <w:trHeight w:val="577"/>
        </w:trPr>
        <w:tc>
          <w:tcPr>
            <w:tcW w:w="10308" w:type="dxa"/>
          </w:tcPr>
          <w:p w14:paraId="43E01348" w14:textId="77777777" w:rsidR="00542EDE" w:rsidRDefault="00000000">
            <w:pPr>
              <w:pStyle w:val="TableParagraph"/>
            </w:pPr>
            <w:r>
              <w:t>A</w:t>
            </w:r>
            <w:r>
              <w:rPr>
                <w:spacing w:val="-8"/>
              </w:rPr>
              <w:t xml:space="preserve"> </w:t>
            </w:r>
            <w:r>
              <w:t>better</w:t>
            </w:r>
            <w:r>
              <w:rPr>
                <w:spacing w:val="-8"/>
              </w:rPr>
              <w:t xml:space="preserve"> </w:t>
            </w:r>
            <w:r>
              <w:t>explanation:</w:t>
            </w:r>
            <w:r>
              <w:rPr>
                <w:spacing w:val="-8"/>
              </w:rPr>
              <w:t xml:space="preserve"> </w:t>
            </w:r>
            <w:r>
              <w:t>“Point</w:t>
            </w:r>
            <w:r>
              <w:rPr>
                <w:spacing w:val="-8"/>
              </w:rPr>
              <w:t xml:space="preserve"> </w:t>
            </w:r>
            <w:r>
              <w:t>estimates</w:t>
            </w:r>
            <w:r>
              <w:rPr>
                <w:spacing w:val="-8"/>
              </w:rPr>
              <w:t xml:space="preserve"> </w:t>
            </w:r>
            <w:r>
              <w:t>suggest</w:t>
            </w:r>
            <w:r>
              <w:rPr>
                <w:spacing w:val="-10"/>
              </w:rPr>
              <w:t xml:space="preserve"> </w:t>
            </w:r>
            <w:r>
              <w:t>large</w:t>
            </w:r>
            <w:r>
              <w:rPr>
                <w:spacing w:val="-8"/>
              </w:rPr>
              <w:t xml:space="preserve"> </w:t>
            </w:r>
            <w:r>
              <w:t>and</w:t>
            </w:r>
            <w:r>
              <w:rPr>
                <w:spacing w:val="-9"/>
              </w:rPr>
              <w:t xml:space="preserve"> </w:t>
            </w:r>
            <w:r>
              <w:t>important</w:t>
            </w:r>
            <w:r>
              <w:rPr>
                <w:spacing w:val="-8"/>
              </w:rPr>
              <w:t xml:space="preserve"> </w:t>
            </w:r>
            <w:r>
              <w:t>differences</w:t>
            </w:r>
            <w:r>
              <w:rPr>
                <w:spacing w:val="-8"/>
              </w:rPr>
              <w:t xml:space="preserve"> </w:t>
            </w:r>
            <w:r>
              <w:t>in</w:t>
            </w:r>
            <w:r>
              <w:rPr>
                <w:spacing w:val="-11"/>
              </w:rPr>
              <w:t xml:space="preserve"> </w:t>
            </w:r>
            <w:r>
              <w:t>effect,</w:t>
            </w:r>
            <w:r>
              <w:rPr>
                <w:spacing w:val="-10"/>
              </w:rPr>
              <w:t xml:space="preserve"> </w:t>
            </w:r>
            <w:r>
              <w:t>not</w:t>
            </w:r>
            <w:r>
              <w:rPr>
                <w:spacing w:val="-10"/>
              </w:rPr>
              <w:t xml:space="preserve"> </w:t>
            </w:r>
            <w:r>
              <w:t>all</w:t>
            </w:r>
            <w:r>
              <w:rPr>
                <w:spacing w:val="-8"/>
              </w:rPr>
              <w:t xml:space="preserve"> </w:t>
            </w:r>
            <w:r>
              <w:t>confidence intervals overlap, and I</w:t>
            </w:r>
            <w:r>
              <w:rPr>
                <w:vertAlign w:val="superscript"/>
              </w:rPr>
              <w:t>2</w:t>
            </w:r>
            <w:r>
              <w:t xml:space="preserve"> is relatively high (59%). Subgroup analysis did not explain this inconsistency.”</w:t>
            </w:r>
          </w:p>
        </w:tc>
      </w:tr>
    </w:tbl>
    <w:p w14:paraId="5A924E93" w14:textId="77777777" w:rsidR="00542EDE" w:rsidRDefault="00542EDE">
      <w:pPr>
        <w:pStyle w:val="BodyText"/>
        <w:ind w:left="0" w:right="0"/>
        <w:rPr>
          <w:i/>
        </w:rPr>
      </w:pPr>
    </w:p>
    <w:p w14:paraId="39DD4BB3" w14:textId="77777777" w:rsidR="00542EDE" w:rsidRDefault="00000000">
      <w:pPr>
        <w:ind w:left="360" w:right="426"/>
        <w:rPr>
          <w:i/>
        </w:rPr>
      </w:pPr>
      <w:r>
        <w:t xml:space="preserve">As a justification for not rating down for risk of bias: </w:t>
      </w:r>
      <w:r>
        <w:rPr>
          <w:i/>
        </w:rPr>
        <w:t>“Three of the studies had high risk of bias due to inappropriate</w:t>
      </w:r>
      <w:r>
        <w:rPr>
          <w:i/>
          <w:spacing w:val="-5"/>
        </w:rPr>
        <w:t xml:space="preserve"> </w:t>
      </w:r>
      <w:r>
        <w:rPr>
          <w:i/>
        </w:rPr>
        <w:t>randomization,</w:t>
      </w:r>
      <w:r>
        <w:rPr>
          <w:i/>
          <w:spacing w:val="-3"/>
        </w:rPr>
        <w:t xml:space="preserve"> </w:t>
      </w:r>
      <w:r>
        <w:rPr>
          <w:i/>
        </w:rPr>
        <w:t>five</w:t>
      </w:r>
      <w:r>
        <w:rPr>
          <w:i/>
          <w:spacing w:val="-3"/>
        </w:rPr>
        <w:t xml:space="preserve"> </w:t>
      </w:r>
      <w:r>
        <w:rPr>
          <w:i/>
        </w:rPr>
        <w:t>had</w:t>
      </w:r>
      <w:r>
        <w:rPr>
          <w:i/>
          <w:spacing w:val="-4"/>
        </w:rPr>
        <w:t xml:space="preserve"> </w:t>
      </w:r>
      <w:r>
        <w:rPr>
          <w:i/>
        </w:rPr>
        <w:t>unclear</w:t>
      </w:r>
      <w:r>
        <w:rPr>
          <w:i/>
          <w:spacing w:val="-5"/>
        </w:rPr>
        <w:t xml:space="preserve"> </w:t>
      </w:r>
      <w:r>
        <w:rPr>
          <w:i/>
        </w:rPr>
        <w:t>risk</w:t>
      </w:r>
      <w:r>
        <w:rPr>
          <w:i/>
          <w:spacing w:val="-3"/>
        </w:rPr>
        <w:t xml:space="preserve"> </w:t>
      </w:r>
      <w:r>
        <w:rPr>
          <w:i/>
        </w:rPr>
        <w:t>of</w:t>
      </w:r>
      <w:r>
        <w:rPr>
          <w:i/>
          <w:spacing w:val="-3"/>
        </w:rPr>
        <w:t xml:space="preserve"> </w:t>
      </w:r>
      <w:r>
        <w:rPr>
          <w:i/>
        </w:rPr>
        <w:t>bias</w:t>
      </w:r>
      <w:r>
        <w:rPr>
          <w:i/>
          <w:spacing w:val="-2"/>
        </w:rPr>
        <w:t xml:space="preserve"> </w:t>
      </w:r>
      <w:r>
        <w:rPr>
          <w:i/>
        </w:rPr>
        <w:t>due</w:t>
      </w:r>
      <w:r>
        <w:rPr>
          <w:i/>
          <w:spacing w:val="-3"/>
        </w:rPr>
        <w:t xml:space="preserve"> </w:t>
      </w:r>
      <w:r>
        <w:rPr>
          <w:i/>
        </w:rPr>
        <w:t>to</w:t>
      </w:r>
      <w:r>
        <w:rPr>
          <w:i/>
          <w:spacing w:val="-6"/>
        </w:rPr>
        <w:t xml:space="preserve"> </w:t>
      </w:r>
      <w:r>
        <w:rPr>
          <w:i/>
        </w:rPr>
        <w:t>missing</w:t>
      </w:r>
      <w:r>
        <w:rPr>
          <w:i/>
          <w:spacing w:val="-5"/>
        </w:rPr>
        <w:t xml:space="preserve"> </w:t>
      </w:r>
      <w:r>
        <w:rPr>
          <w:i/>
        </w:rPr>
        <w:t>outcome</w:t>
      </w:r>
      <w:r>
        <w:rPr>
          <w:i/>
          <w:spacing w:val="-5"/>
        </w:rPr>
        <w:t xml:space="preserve"> </w:t>
      </w:r>
      <w:r>
        <w:rPr>
          <w:i/>
        </w:rPr>
        <w:t>data,</w:t>
      </w:r>
      <w:r>
        <w:rPr>
          <w:i/>
          <w:spacing w:val="-3"/>
        </w:rPr>
        <w:t xml:space="preserve"> </w:t>
      </w:r>
      <w:r>
        <w:rPr>
          <w:i/>
        </w:rPr>
        <w:t>three</w:t>
      </w:r>
      <w:r>
        <w:rPr>
          <w:i/>
          <w:spacing w:val="-3"/>
        </w:rPr>
        <w:t xml:space="preserve"> </w:t>
      </w:r>
      <w:r>
        <w:rPr>
          <w:i/>
        </w:rPr>
        <w:t>had</w:t>
      </w:r>
      <w:r>
        <w:rPr>
          <w:i/>
          <w:spacing w:val="-4"/>
        </w:rPr>
        <w:t xml:space="preserve"> </w:t>
      </w:r>
      <w:r>
        <w:rPr>
          <w:i/>
        </w:rPr>
        <w:t>high</w:t>
      </w:r>
      <w:r>
        <w:rPr>
          <w:i/>
          <w:spacing w:val="-4"/>
        </w:rPr>
        <w:t xml:space="preserve"> </w:t>
      </w:r>
      <w:r>
        <w:rPr>
          <w:i/>
        </w:rPr>
        <w:t>risk</w:t>
      </w:r>
      <w:r>
        <w:rPr>
          <w:i/>
          <w:spacing w:val="-3"/>
        </w:rPr>
        <w:t xml:space="preserve"> </w:t>
      </w:r>
      <w:r>
        <w:rPr>
          <w:i/>
        </w:rPr>
        <w:t>of bias in the outcome measurement, and one had high risk of bias due to selection of the reported result”</w:t>
      </w: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8"/>
      </w:tblGrid>
      <w:tr w:rsidR="00542EDE" w14:paraId="3F234751" w14:textId="77777777">
        <w:trPr>
          <w:trHeight w:val="846"/>
        </w:trPr>
        <w:tc>
          <w:tcPr>
            <w:tcW w:w="10308" w:type="dxa"/>
          </w:tcPr>
          <w:p w14:paraId="79ADD3E3" w14:textId="77777777" w:rsidR="00542EDE" w:rsidRDefault="00000000">
            <w:pPr>
              <w:pStyle w:val="TableParagraph"/>
              <w:ind w:right="0"/>
            </w:pPr>
            <w:r>
              <w:t>Problems:</w:t>
            </w:r>
            <w:r>
              <w:rPr>
                <w:spacing w:val="-8"/>
              </w:rPr>
              <w:t xml:space="preserve"> </w:t>
            </w:r>
            <w:r>
              <w:t>this</w:t>
            </w:r>
            <w:r>
              <w:rPr>
                <w:spacing w:val="-7"/>
              </w:rPr>
              <w:t xml:space="preserve"> </w:t>
            </w:r>
            <w:r>
              <w:t>could</w:t>
            </w:r>
            <w:r>
              <w:rPr>
                <w:spacing w:val="-8"/>
              </w:rPr>
              <w:t xml:space="preserve"> </w:t>
            </w:r>
            <w:r>
              <w:t>be</w:t>
            </w:r>
            <w:r>
              <w:rPr>
                <w:spacing w:val="-6"/>
              </w:rPr>
              <w:t xml:space="preserve"> </w:t>
            </w:r>
            <w:r>
              <w:t>summarized</w:t>
            </w:r>
            <w:r>
              <w:rPr>
                <w:spacing w:val="-6"/>
              </w:rPr>
              <w:t xml:space="preserve"> </w:t>
            </w:r>
            <w:r>
              <w:t>appropriately</w:t>
            </w:r>
            <w:r>
              <w:rPr>
                <w:spacing w:val="-8"/>
              </w:rPr>
              <w:t xml:space="preserve"> </w:t>
            </w:r>
            <w:r>
              <w:t>without</w:t>
            </w:r>
            <w:r>
              <w:rPr>
                <w:spacing w:val="-6"/>
              </w:rPr>
              <w:t xml:space="preserve"> </w:t>
            </w:r>
            <w:r>
              <w:t>losing</w:t>
            </w:r>
            <w:r>
              <w:rPr>
                <w:spacing w:val="-7"/>
              </w:rPr>
              <w:t xml:space="preserve"> </w:t>
            </w:r>
            <w:r>
              <w:t>information;</w:t>
            </w:r>
            <w:r>
              <w:rPr>
                <w:spacing w:val="-7"/>
              </w:rPr>
              <w:t xml:space="preserve"> </w:t>
            </w:r>
            <w:r>
              <w:t>it</w:t>
            </w:r>
            <w:r>
              <w:rPr>
                <w:spacing w:val="-8"/>
              </w:rPr>
              <w:t xml:space="preserve"> </w:t>
            </w:r>
            <w:r>
              <w:t>is</w:t>
            </w:r>
            <w:r>
              <w:rPr>
                <w:spacing w:val="-6"/>
              </w:rPr>
              <w:t xml:space="preserve"> </w:t>
            </w:r>
            <w:r>
              <w:t>unclear</w:t>
            </w:r>
            <w:r>
              <w:rPr>
                <w:spacing w:val="-8"/>
              </w:rPr>
              <w:t xml:space="preserve"> </w:t>
            </w:r>
            <w:r>
              <w:t>why</w:t>
            </w:r>
            <w:r>
              <w:rPr>
                <w:spacing w:val="-6"/>
              </w:rPr>
              <w:t xml:space="preserve"> </w:t>
            </w:r>
            <w:r>
              <w:t>this</w:t>
            </w:r>
            <w:r>
              <w:rPr>
                <w:spacing w:val="-7"/>
              </w:rPr>
              <w:t xml:space="preserve"> </w:t>
            </w:r>
            <w:r>
              <w:t>led</w:t>
            </w:r>
            <w:r>
              <w:rPr>
                <w:spacing w:val="-6"/>
              </w:rPr>
              <w:t xml:space="preserve"> </w:t>
            </w:r>
            <w:r>
              <w:t>to</w:t>
            </w:r>
            <w:r>
              <w:rPr>
                <w:spacing w:val="-5"/>
              </w:rPr>
              <w:t xml:space="preserve"> </w:t>
            </w:r>
            <w:r>
              <w:rPr>
                <w:spacing w:val="-2"/>
              </w:rPr>
              <w:t>rating</w:t>
            </w:r>
          </w:p>
          <w:p w14:paraId="1CA69EB5" w14:textId="77777777" w:rsidR="00542EDE" w:rsidRDefault="00000000">
            <w:pPr>
              <w:pStyle w:val="TableParagraph"/>
              <w:spacing w:before="3"/>
            </w:pPr>
            <w:r>
              <w:t>down,</w:t>
            </w:r>
            <w:r>
              <w:rPr>
                <w:spacing w:val="-3"/>
              </w:rPr>
              <w:t xml:space="preserve"> </w:t>
            </w:r>
            <w:r>
              <w:t>as</w:t>
            </w:r>
            <w:r>
              <w:rPr>
                <w:spacing w:val="-3"/>
              </w:rPr>
              <w:t xml:space="preserve"> </w:t>
            </w:r>
            <w:r>
              <w:t>the</w:t>
            </w:r>
            <w:r>
              <w:rPr>
                <w:spacing w:val="-3"/>
              </w:rPr>
              <w:t xml:space="preserve"> </w:t>
            </w:r>
            <w:r>
              <w:t>authors</w:t>
            </w:r>
            <w:r>
              <w:rPr>
                <w:spacing w:val="-6"/>
              </w:rPr>
              <w:t xml:space="preserve"> </w:t>
            </w:r>
            <w:r>
              <w:t>have</w:t>
            </w:r>
            <w:r>
              <w:rPr>
                <w:spacing w:val="-5"/>
              </w:rPr>
              <w:t xml:space="preserve"> </w:t>
            </w:r>
            <w:r>
              <w:t>not</w:t>
            </w:r>
            <w:r>
              <w:rPr>
                <w:spacing w:val="-3"/>
              </w:rPr>
              <w:t xml:space="preserve"> </w:t>
            </w:r>
            <w:r>
              <w:t>specified</w:t>
            </w:r>
            <w:r>
              <w:rPr>
                <w:spacing w:val="-7"/>
              </w:rPr>
              <w:t xml:space="preserve"> </w:t>
            </w:r>
            <w:r>
              <w:t>what</w:t>
            </w:r>
            <w:r>
              <w:rPr>
                <w:spacing w:val="-5"/>
              </w:rPr>
              <w:t xml:space="preserve"> </w:t>
            </w:r>
            <w:r>
              <w:t>weight</w:t>
            </w:r>
            <w:r>
              <w:rPr>
                <w:spacing w:val="-3"/>
              </w:rPr>
              <w:t xml:space="preserve"> </w:t>
            </w:r>
            <w:r>
              <w:t>in</w:t>
            </w:r>
            <w:r>
              <w:rPr>
                <w:spacing w:val="-4"/>
              </w:rPr>
              <w:t xml:space="preserve"> </w:t>
            </w:r>
            <w:r>
              <w:t>the</w:t>
            </w:r>
            <w:r>
              <w:rPr>
                <w:spacing w:val="-3"/>
              </w:rPr>
              <w:t xml:space="preserve"> </w:t>
            </w:r>
            <w:r>
              <w:t>pooled</w:t>
            </w:r>
            <w:r>
              <w:rPr>
                <w:spacing w:val="-7"/>
              </w:rPr>
              <w:t xml:space="preserve"> </w:t>
            </w:r>
            <w:r>
              <w:t>estimate</w:t>
            </w:r>
            <w:r>
              <w:rPr>
                <w:spacing w:val="-5"/>
              </w:rPr>
              <w:t xml:space="preserve"> </w:t>
            </w:r>
            <w:r>
              <w:t>the</w:t>
            </w:r>
            <w:r>
              <w:rPr>
                <w:spacing w:val="-5"/>
              </w:rPr>
              <w:t xml:space="preserve"> </w:t>
            </w:r>
            <w:r>
              <w:t>three</w:t>
            </w:r>
            <w:r>
              <w:rPr>
                <w:spacing w:val="-3"/>
              </w:rPr>
              <w:t xml:space="preserve"> </w:t>
            </w:r>
            <w:r>
              <w:t>studies</w:t>
            </w:r>
            <w:r>
              <w:rPr>
                <w:spacing w:val="-3"/>
              </w:rPr>
              <w:t xml:space="preserve"> </w:t>
            </w:r>
            <w:r>
              <w:t>had</w:t>
            </w:r>
            <w:r>
              <w:rPr>
                <w:spacing w:val="-4"/>
              </w:rPr>
              <w:t xml:space="preserve"> </w:t>
            </w:r>
            <w:r>
              <w:t>and</w:t>
            </w:r>
            <w:r>
              <w:rPr>
                <w:spacing w:val="-5"/>
              </w:rPr>
              <w:t xml:space="preserve"> </w:t>
            </w:r>
            <w:r>
              <w:t>does</w:t>
            </w:r>
            <w:r>
              <w:rPr>
                <w:spacing w:val="-5"/>
              </w:rPr>
              <w:t xml:space="preserve"> </w:t>
            </w:r>
            <w:r>
              <w:t>not follow GRADE guidance for assessing risk of bias.</w:t>
            </w:r>
          </w:p>
        </w:tc>
      </w:tr>
      <w:tr w:rsidR="00542EDE" w14:paraId="3F77CEA5" w14:textId="77777777">
        <w:trPr>
          <w:trHeight w:val="847"/>
        </w:trPr>
        <w:tc>
          <w:tcPr>
            <w:tcW w:w="10308" w:type="dxa"/>
          </w:tcPr>
          <w:p w14:paraId="4773C5CB" w14:textId="77777777" w:rsidR="00542EDE" w:rsidRDefault="00000000">
            <w:pPr>
              <w:pStyle w:val="TableParagraph"/>
              <w:ind w:right="58"/>
            </w:pPr>
            <w:r>
              <w:t>A</w:t>
            </w:r>
            <w:r>
              <w:rPr>
                <w:spacing w:val="-4"/>
              </w:rPr>
              <w:t xml:space="preserve"> </w:t>
            </w:r>
            <w:r>
              <w:t>better</w:t>
            </w:r>
            <w:r>
              <w:rPr>
                <w:spacing w:val="-4"/>
              </w:rPr>
              <w:t xml:space="preserve"> </w:t>
            </w:r>
            <w:r>
              <w:t>explanation:</w:t>
            </w:r>
            <w:r>
              <w:rPr>
                <w:spacing w:val="-4"/>
              </w:rPr>
              <w:t xml:space="preserve"> </w:t>
            </w:r>
            <w:r>
              <w:t>“Five</w:t>
            </w:r>
            <w:r>
              <w:rPr>
                <w:spacing w:val="-6"/>
              </w:rPr>
              <w:t xml:space="preserve"> </w:t>
            </w:r>
            <w:r>
              <w:t>of</w:t>
            </w:r>
            <w:r>
              <w:rPr>
                <w:spacing w:val="-4"/>
              </w:rPr>
              <w:t xml:space="preserve"> </w:t>
            </w:r>
            <w:r>
              <w:t>the</w:t>
            </w:r>
            <w:r>
              <w:rPr>
                <w:spacing w:val="-6"/>
              </w:rPr>
              <w:t xml:space="preserve"> </w:t>
            </w:r>
            <w:r>
              <w:t>studies,</w:t>
            </w:r>
            <w:r>
              <w:rPr>
                <w:spacing w:val="-4"/>
              </w:rPr>
              <w:t xml:space="preserve"> </w:t>
            </w:r>
            <w:r>
              <w:t>accounting</w:t>
            </w:r>
            <w:r>
              <w:rPr>
                <w:spacing w:val="-5"/>
              </w:rPr>
              <w:t xml:space="preserve"> </w:t>
            </w:r>
            <w:r>
              <w:t>for</w:t>
            </w:r>
            <w:r>
              <w:rPr>
                <w:spacing w:val="-6"/>
              </w:rPr>
              <w:t xml:space="preserve"> </w:t>
            </w:r>
            <w:r>
              <w:t>32%</w:t>
            </w:r>
            <w:r>
              <w:rPr>
                <w:spacing w:val="-3"/>
              </w:rPr>
              <w:t xml:space="preserve"> </w:t>
            </w:r>
            <w:r>
              <w:t>of</w:t>
            </w:r>
            <w:r>
              <w:rPr>
                <w:spacing w:val="-7"/>
              </w:rPr>
              <w:t xml:space="preserve"> </w:t>
            </w:r>
            <w:r>
              <w:t>the</w:t>
            </w:r>
            <w:r>
              <w:rPr>
                <w:spacing w:val="-6"/>
              </w:rPr>
              <w:t xml:space="preserve"> </w:t>
            </w:r>
            <w:r>
              <w:t>weight</w:t>
            </w:r>
            <w:r>
              <w:rPr>
                <w:spacing w:val="-6"/>
              </w:rPr>
              <w:t xml:space="preserve"> </w:t>
            </w:r>
            <w:r>
              <w:t>of</w:t>
            </w:r>
            <w:r>
              <w:rPr>
                <w:spacing w:val="-6"/>
              </w:rPr>
              <w:t xml:space="preserve"> </w:t>
            </w:r>
            <w:r>
              <w:t>the</w:t>
            </w:r>
            <w:r>
              <w:rPr>
                <w:spacing w:val="-6"/>
              </w:rPr>
              <w:t xml:space="preserve"> </w:t>
            </w:r>
            <w:r>
              <w:t>pooled</w:t>
            </w:r>
            <w:r>
              <w:rPr>
                <w:spacing w:val="-4"/>
              </w:rPr>
              <w:t xml:space="preserve"> </w:t>
            </w:r>
            <w:r>
              <w:t>estimate,</w:t>
            </w:r>
            <w:r>
              <w:rPr>
                <w:spacing w:val="-4"/>
              </w:rPr>
              <w:t xml:space="preserve"> </w:t>
            </w:r>
            <w:r>
              <w:t>had</w:t>
            </w:r>
            <w:r>
              <w:rPr>
                <w:spacing w:val="-5"/>
              </w:rPr>
              <w:t xml:space="preserve"> </w:t>
            </w:r>
            <w:r>
              <w:t>high</w:t>
            </w:r>
            <w:r>
              <w:rPr>
                <w:spacing w:val="-7"/>
              </w:rPr>
              <w:t xml:space="preserve"> </w:t>
            </w:r>
            <w:r>
              <w:t>risk of bias in at least one domain, but their results were not importantly different than the results of the studies at low risk of bias and therefore we did not rate down”.</w:t>
            </w:r>
          </w:p>
        </w:tc>
      </w:tr>
    </w:tbl>
    <w:p w14:paraId="723F57DF" w14:textId="77777777" w:rsidR="006B1DCE" w:rsidRDefault="006B1DCE"/>
    <w:sectPr w:rsidR="006B1DCE">
      <w:type w:val="continuous"/>
      <w:pgSz w:w="12240" w:h="15840"/>
      <w:pgMar w:top="1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DE"/>
    <w:rsid w:val="001B0C0F"/>
    <w:rsid w:val="00253322"/>
    <w:rsid w:val="00542EDE"/>
    <w:rsid w:val="00615184"/>
    <w:rsid w:val="00671422"/>
    <w:rsid w:val="006B1DCE"/>
    <w:rsid w:val="00846D7E"/>
    <w:rsid w:val="00BB0AFF"/>
    <w:rsid w:val="00CB65D2"/>
    <w:rsid w:val="00F4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692B0"/>
  <w15:docId w15:val="{42091791-4AB7-4DF2-B9FA-42FAED43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9"/>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right="106"/>
    </w:p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ind w:left="112" w:right="1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Guyatt, Gordon</cp:lastModifiedBy>
  <cp:revision>4</cp:revision>
  <dcterms:created xsi:type="dcterms:W3CDTF">2026-04-26T13:50:00Z</dcterms:created>
  <dcterms:modified xsi:type="dcterms:W3CDTF">2026-04-26T14:03:00Z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for Microsoft 365</vt:lpwstr>
  </property>
  <property fmtid="{D5CDD505-2E9C-101B-9397-08002B2CF9AE}" pid="4" name="LastSaved">
    <vt:filetime>2026-02-22T00:00:00Z</vt:filetime>
  </property>
  <property fmtid="{D5CDD505-2E9C-101B-9397-08002B2CF9AE}" pid="5" name="Producer">
    <vt:lpwstr>Microsoft® Word for Microsoft 365</vt:lpwstr>
  </property>
</Properties>
</file>