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0C8F3" w14:textId="293EDBF6" w:rsidR="00D3309C" w:rsidRDefault="005A7F5A">
      <w:pPr>
        <w:spacing w:before="41"/>
        <w:ind w:left="87"/>
        <w:rPr>
          <w:b/>
        </w:rPr>
      </w:pPr>
      <w:r>
        <w:rPr>
          <w:b/>
          <w:color w:val="1F1F1E"/>
        </w:rPr>
        <w:t>Beyond Core GRADE</w:t>
      </w:r>
      <w:r>
        <w:rPr>
          <w:b/>
          <w:color w:val="1F1F1E"/>
        </w:rPr>
        <w:t>: First step in assessing certainty:</w:t>
      </w:r>
      <w:r w:rsidR="00000000">
        <w:rPr>
          <w:b/>
          <w:color w:val="1F1F1E"/>
          <w:spacing w:val="-5"/>
        </w:rPr>
        <w:t xml:space="preserve"> </w:t>
      </w:r>
      <w:r w:rsidR="00000000">
        <w:rPr>
          <w:b/>
          <w:color w:val="1F1F1E"/>
        </w:rPr>
        <w:t>Imprecision</w:t>
      </w:r>
      <w:r w:rsidR="00000000">
        <w:rPr>
          <w:b/>
          <w:color w:val="1F1F1E"/>
          <w:spacing w:val="-4"/>
        </w:rPr>
        <w:t xml:space="preserve"> </w:t>
      </w:r>
      <w:r w:rsidR="00000000">
        <w:rPr>
          <w:b/>
          <w:color w:val="1F1F1E"/>
        </w:rPr>
        <w:t>rating</w:t>
      </w:r>
      <w:r w:rsidR="00000000">
        <w:rPr>
          <w:b/>
          <w:color w:val="1F1F1E"/>
          <w:spacing w:val="-6"/>
        </w:rPr>
        <w:t xml:space="preserve"> </w:t>
      </w:r>
      <w:r w:rsidR="00D053AC">
        <w:rPr>
          <w:b/>
          <w:color w:val="1F1F1E"/>
          <w:spacing w:val="-6"/>
        </w:rPr>
        <w:t xml:space="preserve">for ranges of effect </w:t>
      </w:r>
    </w:p>
    <w:p w14:paraId="1EA9D1BE" w14:textId="77777777" w:rsidR="00D3309C" w:rsidRDefault="00D3309C">
      <w:pPr>
        <w:pStyle w:val="BodyText"/>
        <w:spacing w:before="0"/>
        <w:ind w:left="0"/>
        <w:rPr>
          <w:b/>
        </w:rPr>
      </w:pPr>
    </w:p>
    <w:p w14:paraId="73E03A17" w14:textId="77777777" w:rsidR="00D3309C" w:rsidRDefault="00000000">
      <w:pPr>
        <w:pStyle w:val="BodyText"/>
      </w:pPr>
      <w:r>
        <w:rPr>
          <w:color w:val="1F1F1E"/>
        </w:rPr>
        <w:t>The</w:t>
      </w:r>
      <w:r>
        <w:rPr>
          <w:color w:val="1F1F1E"/>
          <w:spacing w:val="-2"/>
        </w:rPr>
        <w:t xml:space="preserve"> </w:t>
      </w:r>
      <w:r>
        <w:rPr>
          <w:color w:val="1F1F1E"/>
        </w:rPr>
        <w:t>principles</w:t>
      </w:r>
      <w:r>
        <w:rPr>
          <w:color w:val="1F1F1E"/>
          <w:spacing w:val="-2"/>
        </w:rPr>
        <w:t xml:space="preserve"> </w:t>
      </w:r>
      <w:r>
        <w:rPr>
          <w:color w:val="1F1F1E"/>
        </w:rPr>
        <w:t>in</w:t>
      </w:r>
      <w:r>
        <w:rPr>
          <w:color w:val="1F1F1E"/>
          <w:spacing w:val="-5"/>
        </w:rPr>
        <w:t xml:space="preserve"> </w:t>
      </w:r>
      <w:r>
        <w:rPr>
          <w:color w:val="1F1F1E"/>
        </w:rPr>
        <w:t>this</w:t>
      </w:r>
      <w:r>
        <w:rPr>
          <w:color w:val="1F1F1E"/>
          <w:spacing w:val="-2"/>
        </w:rPr>
        <w:t xml:space="preserve"> </w:t>
      </w:r>
      <w:r>
        <w:rPr>
          <w:color w:val="1F1F1E"/>
        </w:rPr>
        <w:t>appendix</w:t>
      </w:r>
      <w:r>
        <w:rPr>
          <w:color w:val="1F1F1E"/>
          <w:spacing w:val="-2"/>
        </w:rPr>
        <w:t xml:space="preserve"> </w:t>
      </w:r>
      <w:r>
        <w:rPr>
          <w:color w:val="1F1F1E"/>
        </w:rPr>
        <w:t>for</w:t>
      </w:r>
      <w:r>
        <w:rPr>
          <w:color w:val="1F1F1E"/>
          <w:spacing w:val="-2"/>
        </w:rPr>
        <w:t xml:space="preserve"> </w:t>
      </w:r>
      <w:r>
        <w:rPr>
          <w:color w:val="1F1F1E"/>
        </w:rPr>
        <w:t>imprecision</w:t>
      </w:r>
      <w:r>
        <w:rPr>
          <w:color w:val="1F1F1E"/>
          <w:spacing w:val="-3"/>
        </w:rPr>
        <w:t xml:space="preserve"> </w:t>
      </w:r>
      <w:r>
        <w:rPr>
          <w:color w:val="1F1F1E"/>
        </w:rPr>
        <w:t>judgment</w:t>
      </w:r>
      <w:r>
        <w:rPr>
          <w:color w:val="1F1F1E"/>
          <w:spacing w:val="-2"/>
        </w:rPr>
        <w:t xml:space="preserve"> </w:t>
      </w:r>
      <w:r>
        <w:rPr>
          <w:color w:val="1F1F1E"/>
        </w:rPr>
        <w:t>when</w:t>
      </w:r>
      <w:r>
        <w:rPr>
          <w:color w:val="1F1F1E"/>
          <w:spacing w:val="-2"/>
        </w:rPr>
        <w:t xml:space="preserve"> </w:t>
      </w:r>
      <w:r>
        <w:rPr>
          <w:color w:val="1F1F1E"/>
        </w:rPr>
        <w:t>the</w:t>
      </w:r>
      <w:r>
        <w:rPr>
          <w:color w:val="1F1F1E"/>
          <w:spacing w:val="-2"/>
        </w:rPr>
        <w:t xml:space="preserve"> </w:t>
      </w:r>
      <w:r>
        <w:rPr>
          <w:color w:val="1F1F1E"/>
        </w:rPr>
        <w:t>target</w:t>
      </w:r>
      <w:r>
        <w:rPr>
          <w:color w:val="1F1F1E"/>
          <w:spacing w:val="-4"/>
        </w:rPr>
        <w:t xml:space="preserve"> </w:t>
      </w:r>
      <w:r>
        <w:rPr>
          <w:color w:val="1F1F1E"/>
        </w:rPr>
        <w:t>of</w:t>
      </w:r>
      <w:r>
        <w:rPr>
          <w:color w:val="1F1F1E"/>
          <w:spacing w:val="-2"/>
        </w:rPr>
        <w:t xml:space="preserve"> </w:t>
      </w:r>
      <w:r>
        <w:rPr>
          <w:color w:val="1F1F1E"/>
        </w:rPr>
        <w:t>certainty</w:t>
      </w:r>
      <w:r>
        <w:rPr>
          <w:color w:val="1F1F1E"/>
          <w:spacing w:val="-1"/>
        </w:rPr>
        <w:t xml:space="preserve"> </w:t>
      </w:r>
      <w:r>
        <w:rPr>
          <w:color w:val="1F1F1E"/>
        </w:rPr>
        <w:t>rating</w:t>
      </w:r>
      <w:r>
        <w:rPr>
          <w:color w:val="1F1F1E"/>
          <w:spacing w:val="-4"/>
        </w:rPr>
        <w:t xml:space="preserve"> </w:t>
      </w:r>
      <w:r>
        <w:rPr>
          <w:color w:val="1F1F1E"/>
        </w:rPr>
        <w:t>is</w:t>
      </w:r>
      <w:r>
        <w:rPr>
          <w:color w:val="1F1F1E"/>
          <w:spacing w:val="-5"/>
        </w:rPr>
        <w:t xml:space="preserve"> </w:t>
      </w:r>
      <w:r>
        <w:rPr>
          <w:color w:val="1F1F1E"/>
        </w:rPr>
        <w:t>a</w:t>
      </w:r>
      <w:r>
        <w:rPr>
          <w:color w:val="1F1F1E"/>
          <w:spacing w:val="-2"/>
        </w:rPr>
        <w:t xml:space="preserve"> </w:t>
      </w:r>
      <w:r>
        <w:rPr>
          <w:color w:val="1F1F1E"/>
        </w:rPr>
        <w:t>small, moderate or large effect are modified from the GRADE guideline 35.</w:t>
      </w:r>
      <w:r>
        <w:rPr>
          <w:color w:val="1F1F1E"/>
          <w:vertAlign w:val="superscript"/>
        </w:rPr>
        <w:t>1</w:t>
      </w:r>
    </w:p>
    <w:p w14:paraId="7C217CE9" w14:textId="77777777" w:rsidR="00D3309C" w:rsidRDefault="00000000">
      <w:pPr>
        <w:pStyle w:val="BodyText"/>
        <w:spacing w:before="158"/>
        <w:ind w:right="104"/>
      </w:pPr>
      <w:r>
        <w:rPr>
          <w:color w:val="1F1F1E"/>
        </w:rPr>
        <w:t>When</w:t>
      </w:r>
      <w:r>
        <w:rPr>
          <w:color w:val="1F1F1E"/>
          <w:spacing w:val="-1"/>
        </w:rPr>
        <w:t xml:space="preserve"> </w:t>
      </w:r>
      <w:r>
        <w:rPr>
          <w:color w:val="1F1F1E"/>
        </w:rPr>
        <w:t>Core</w:t>
      </w:r>
      <w:r>
        <w:rPr>
          <w:color w:val="1F1F1E"/>
          <w:spacing w:val="-1"/>
        </w:rPr>
        <w:t xml:space="preserve"> </w:t>
      </w:r>
      <w:r>
        <w:rPr>
          <w:color w:val="1F1F1E"/>
        </w:rPr>
        <w:t>GRADE</w:t>
      </w:r>
      <w:r>
        <w:rPr>
          <w:color w:val="1F1F1E"/>
          <w:spacing w:val="-3"/>
        </w:rPr>
        <w:t xml:space="preserve"> </w:t>
      </w:r>
      <w:r>
        <w:rPr>
          <w:color w:val="1F1F1E"/>
        </w:rPr>
        <w:t>users</w:t>
      </w:r>
      <w:r>
        <w:rPr>
          <w:color w:val="1F1F1E"/>
          <w:spacing w:val="-4"/>
        </w:rPr>
        <w:t xml:space="preserve"> </w:t>
      </w:r>
      <w:r>
        <w:rPr>
          <w:color w:val="1F1F1E"/>
        </w:rPr>
        <w:t>are</w:t>
      </w:r>
      <w:r>
        <w:rPr>
          <w:color w:val="1F1F1E"/>
          <w:spacing w:val="-1"/>
        </w:rPr>
        <w:t xml:space="preserve"> </w:t>
      </w:r>
      <w:r>
        <w:rPr>
          <w:color w:val="1F1F1E"/>
        </w:rPr>
        <w:t>interested</w:t>
      </w:r>
      <w:r>
        <w:rPr>
          <w:color w:val="1F1F1E"/>
          <w:spacing w:val="-4"/>
        </w:rPr>
        <w:t xml:space="preserve"> </w:t>
      </w:r>
      <w:r>
        <w:rPr>
          <w:color w:val="1F1F1E"/>
        </w:rPr>
        <w:t>in</w:t>
      </w:r>
      <w:r>
        <w:rPr>
          <w:color w:val="1F1F1E"/>
          <w:spacing w:val="-1"/>
        </w:rPr>
        <w:t xml:space="preserve"> </w:t>
      </w:r>
      <w:r>
        <w:rPr>
          <w:color w:val="1F1F1E"/>
        </w:rPr>
        <w:t>whether</w:t>
      </w:r>
      <w:r>
        <w:rPr>
          <w:color w:val="1F1F1E"/>
          <w:spacing w:val="-1"/>
        </w:rPr>
        <w:t xml:space="preserve"> </w:t>
      </w:r>
      <w:r>
        <w:rPr>
          <w:color w:val="1F1F1E"/>
        </w:rPr>
        <w:t>an</w:t>
      </w:r>
      <w:r>
        <w:rPr>
          <w:color w:val="1F1F1E"/>
          <w:spacing w:val="-4"/>
        </w:rPr>
        <w:t xml:space="preserve"> </w:t>
      </w:r>
      <w:r>
        <w:rPr>
          <w:color w:val="1F1F1E"/>
        </w:rPr>
        <w:t>effect</w:t>
      </w:r>
      <w:r>
        <w:rPr>
          <w:color w:val="1F1F1E"/>
          <w:spacing w:val="-3"/>
        </w:rPr>
        <w:t xml:space="preserve"> </w:t>
      </w:r>
      <w:r>
        <w:rPr>
          <w:color w:val="1F1F1E"/>
        </w:rPr>
        <w:t>is</w:t>
      </w:r>
      <w:r>
        <w:rPr>
          <w:color w:val="1F1F1E"/>
          <w:spacing w:val="-1"/>
        </w:rPr>
        <w:t xml:space="preserve"> </w:t>
      </w:r>
      <w:r>
        <w:rPr>
          <w:color w:val="1F1F1E"/>
        </w:rPr>
        <w:t>small,</w:t>
      </w:r>
      <w:r>
        <w:rPr>
          <w:color w:val="1F1F1E"/>
          <w:spacing w:val="-3"/>
        </w:rPr>
        <w:t xml:space="preserve"> </w:t>
      </w:r>
      <w:r>
        <w:rPr>
          <w:color w:val="1F1F1E"/>
        </w:rPr>
        <w:t>moderate,</w:t>
      </w:r>
      <w:r>
        <w:rPr>
          <w:color w:val="1F1F1E"/>
          <w:spacing w:val="-3"/>
        </w:rPr>
        <w:t xml:space="preserve"> </w:t>
      </w:r>
      <w:r>
        <w:rPr>
          <w:color w:val="1F1F1E"/>
        </w:rPr>
        <w:t>or</w:t>
      </w:r>
      <w:r>
        <w:rPr>
          <w:color w:val="1F1F1E"/>
          <w:spacing w:val="-1"/>
        </w:rPr>
        <w:t xml:space="preserve"> </w:t>
      </w:r>
      <w:r>
        <w:rPr>
          <w:color w:val="1F1F1E"/>
        </w:rPr>
        <w:t>large,</w:t>
      </w:r>
      <w:r>
        <w:rPr>
          <w:color w:val="1F1F1E"/>
          <w:spacing w:val="-1"/>
        </w:rPr>
        <w:t xml:space="preserve"> </w:t>
      </w:r>
      <w:r>
        <w:rPr>
          <w:color w:val="1F1F1E"/>
        </w:rPr>
        <w:t>they</w:t>
      </w:r>
      <w:r>
        <w:rPr>
          <w:color w:val="1F1F1E"/>
          <w:spacing w:val="-2"/>
        </w:rPr>
        <w:t xml:space="preserve"> </w:t>
      </w:r>
      <w:r>
        <w:rPr>
          <w:color w:val="1F1F1E"/>
        </w:rPr>
        <w:t>would</w:t>
      </w:r>
      <w:r>
        <w:rPr>
          <w:color w:val="1F1F1E"/>
          <w:spacing w:val="-3"/>
        </w:rPr>
        <w:t xml:space="preserve"> </w:t>
      </w:r>
      <w:r>
        <w:rPr>
          <w:color w:val="1F1F1E"/>
        </w:rPr>
        <w:t>rate their certainty in relation to a range of small effect (a range between the MID and the moderate effect threshold), moderate effect (a range between the moderate and large effect threshold), or large effect (greater than the large effect threshold) (Figure 1 in the main text).</w:t>
      </w:r>
    </w:p>
    <w:p w14:paraId="2BC200E4" w14:textId="77777777" w:rsidR="00D3309C" w:rsidRDefault="00000000">
      <w:pPr>
        <w:pStyle w:val="BodyText"/>
        <w:spacing w:before="160"/>
        <w:ind w:right="98"/>
      </w:pPr>
      <w:r>
        <w:rPr>
          <w:color w:val="1F1F1E"/>
        </w:rPr>
        <w:t>In such situations, for imprecision ratings, the primary criterion is still judging whether the confidence interval crosses the threshold at either end of the range of interest. If yes, Core GRADE users rate down for imprecision.</w:t>
      </w:r>
      <w:r>
        <w:rPr>
          <w:color w:val="1F1F1E"/>
          <w:spacing w:val="-2"/>
        </w:rPr>
        <w:t xml:space="preserve"> </w:t>
      </w:r>
      <w:r>
        <w:rPr>
          <w:color w:val="1F1F1E"/>
        </w:rPr>
        <w:t>If</w:t>
      </w:r>
      <w:r>
        <w:rPr>
          <w:color w:val="1F1F1E"/>
          <w:spacing w:val="-2"/>
        </w:rPr>
        <w:t xml:space="preserve"> </w:t>
      </w:r>
      <w:r>
        <w:rPr>
          <w:color w:val="1F1F1E"/>
        </w:rPr>
        <w:t>the</w:t>
      </w:r>
      <w:r>
        <w:rPr>
          <w:color w:val="1F1F1E"/>
          <w:spacing w:val="-2"/>
        </w:rPr>
        <w:t xml:space="preserve"> </w:t>
      </w:r>
      <w:r>
        <w:rPr>
          <w:color w:val="1F1F1E"/>
        </w:rPr>
        <w:t>confidence</w:t>
      </w:r>
      <w:r>
        <w:rPr>
          <w:color w:val="1F1F1E"/>
          <w:spacing w:val="-1"/>
        </w:rPr>
        <w:t xml:space="preserve"> </w:t>
      </w:r>
      <w:r>
        <w:rPr>
          <w:color w:val="1F1F1E"/>
        </w:rPr>
        <w:t>interval</w:t>
      </w:r>
      <w:r>
        <w:rPr>
          <w:color w:val="1F1F1E"/>
          <w:spacing w:val="-2"/>
        </w:rPr>
        <w:t xml:space="preserve"> </w:t>
      </w:r>
      <w:r>
        <w:rPr>
          <w:color w:val="1F1F1E"/>
        </w:rPr>
        <w:t>appreciably</w:t>
      </w:r>
      <w:r>
        <w:rPr>
          <w:color w:val="1F1F1E"/>
          <w:spacing w:val="-4"/>
        </w:rPr>
        <w:t xml:space="preserve"> </w:t>
      </w:r>
      <w:r>
        <w:rPr>
          <w:color w:val="1F1F1E"/>
        </w:rPr>
        <w:t>crosses</w:t>
      </w:r>
      <w:r>
        <w:rPr>
          <w:color w:val="1F1F1E"/>
          <w:spacing w:val="-1"/>
        </w:rPr>
        <w:t xml:space="preserve"> </w:t>
      </w:r>
      <w:r>
        <w:rPr>
          <w:color w:val="1F1F1E"/>
        </w:rPr>
        <w:t>the</w:t>
      </w:r>
      <w:r>
        <w:rPr>
          <w:color w:val="1F1F1E"/>
          <w:spacing w:val="-4"/>
        </w:rPr>
        <w:t xml:space="preserve"> </w:t>
      </w:r>
      <w:r>
        <w:rPr>
          <w:color w:val="1F1F1E"/>
        </w:rPr>
        <w:t>range</w:t>
      </w:r>
      <w:r>
        <w:rPr>
          <w:color w:val="1F1F1E"/>
          <w:spacing w:val="-2"/>
        </w:rPr>
        <w:t xml:space="preserve"> </w:t>
      </w:r>
      <w:r>
        <w:rPr>
          <w:color w:val="1F1F1E"/>
        </w:rPr>
        <w:t>(e.g.,</w:t>
      </w:r>
      <w:r>
        <w:rPr>
          <w:color w:val="1F1F1E"/>
          <w:spacing w:val="-2"/>
        </w:rPr>
        <w:t xml:space="preserve"> </w:t>
      </w:r>
      <w:r>
        <w:rPr>
          <w:color w:val="1F1F1E"/>
        </w:rPr>
        <w:t>crosses</w:t>
      </w:r>
      <w:r>
        <w:rPr>
          <w:color w:val="1F1F1E"/>
          <w:spacing w:val="-4"/>
        </w:rPr>
        <w:t xml:space="preserve"> </w:t>
      </w:r>
      <w:r>
        <w:rPr>
          <w:color w:val="1F1F1E"/>
        </w:rPr>
        <w:t>both</w:t>
      </w:r>
      <w:r>
        <w:rPr>
          <w:color w:val="1F1F1E"/>
          <w:spacing w:val="-2"/>
        </w:rPr>
        <w:t xml:space="preserve"> </w:t>
      </w:r>
      <w:r>
        <w:rPr>
          <w:color w:val="1F1F1E"/>
        </w:rPr>
        <w:t>thresholds</w:t>
      </w:r>
      <w:r>
        <w:rPr>
          <w:color w:val="1F1F1E"/>
          <w:spacing w:val="-5"/>
        </w:rPr>
        <w:t xml:space="preserve"> </w:t>
      </w:r>
      <w:r>
        <w:rPr>
          <w:color w:val="1F1F1E"/>
        </w:rPr>
        <w:t>that</w:t>
      </w:r>
      <w:r>
        <w:rPr>
          <w:color w:val="1F1F1E"/>
          <w:spacing w:val="-2"/>
        </w:rPr>
        <w:t xml:space="preserve"> </w:t>
      </w:r>
      <w:r>
        <w:rPr>
          <w:color w:val="1F1F1E"/>
        </w:rPr>
        <w:t>form the range), they consider rating down two levels for imprecision.</w:t>
      </w:r>
    </w:p>
    <w:p w14:paraId="4CA8E340" w14:textId="77777777" w:rsidR="00D3309C" w:rsidRDefault="00000000">
      <w:pPr>
        <w:pStyle w:val="BodyText"/>
        <w:spacing w:before="162"/>
        <w:ind w:right="104"/>
      </w:pPr>
      <w:r>
        <w:rPr>
          <w:color w:val="1F1F1E"/>
        </w:rPr>
        <w:t>Consider a systematic review of tranexamic acid (TXA) versus no TXA (placebo or usual care) for patients receiving a percutaneous nephrolithotomy.</w:t>
      </w:r>
      <w:r>
        <w:rPr>
          <w:color w:val="1F1F1E"/>
          <w:vertAlign w:val="superscript"/>
        </w:rPr>
        <w:t>2</w:t>
      </w:r>
      <w:r>
        <w:rPr>
          <w:color w:val="1F1F1E"/>
        </w:rPr>
        <w:t xml:space="preserve"> A meta-analysis of randomized controlled trials revealed that TXA</w:t>
      </w:r>
      <w:r>
        <w:rPr>
          <w:color w:val="1F1F1E"/>
          <w:spacing w:val="-1"/>
        </w:rPr>
        <w:t xml:space="preserve"> </w:t>
      </w:r>
      <w:r>
        <w:rPr>
          <w:color w:val="1F1F1E"/>
        </w:rPr>
        <w:t>yielded</w:t>
      </w:r>
      <w:r>
        <w:rPr>
          <w:color w:val="1F1F1E"/>
          <w:spacing w:val="-1"/>
        </w:rPr>
        <w:t xml:space="preserve"> </w:t>
      </w:r>
      <w:r>
        <w:rPr>
          <w:color w:val="1F1F1E"/>
        </w:rPr>
        <w:t>a</w:t>
      </w:r>
      <w:r>
        <w:rPr>
          <w:color w:val="1F1F1E"/>
          <w:spacing w:val="-3"/>
        </w:rPr>
        <w:t xml:space="preserve"> </w:t>
      </w:r>
      <w:r>
        <w:rPr>
          <w:color w:val="1F1F1E"/>
        </w:rPr>
        <w:t>reduction</w:t>
      </w:r>
      <w:r>
        <w:rPr>
          <w:color w:val="1F1F1E"/>
          <w:spacing w:val="-2"/>
        </w:rPr>
        <w:t xml:space="preserve"> </w:t>
      </w:r>
      <w:r>
        <w:rPr>
          <w:color w:val="1F1F1E"/>
        </w:rPr>
        <w:t>in</w:t>
      </w:r>
      <w:r>
        <w:rPr>
          <w:color w:val="1F1F1E"/>
          <w:spacing w:val="-4"/>
        </w:rPr>
        <w:t xml:space="preserve"> </w:t>
      </w:r>
      <w:r>
        <w:rPr>
          <w:color w:val="1F1F1E"/>
        </w:rPr>
        <w:t>blood</w:t>
      </w:r>
      <w:r>
        <w:rPr>
          <w:color w:val="1F1F1E"/>
          <w:spacing w:val="-4"/>
        </w:rPr>
        <w:t xml:space="preserve"> </w:t>
      </w:r>
      <w:r>
        <w:rPr>
          <w:color w:val="1F1F1E"/>
        </w:rPr>
        <w:t>transfusion</w:t>
      </w:r>
      <w:r>
        <w:rPr>
          <w:color w:val="1F1F1E"/>
          <w:spacing w:val="-2"/>
        </w:rPr>
        <w:t xml:space="preserve"> </w:t>
      </w:r>
      <w:r>
        <w:rPr>
          <w:color w:val="1F1F1E"/>
        </w:rPr>
        <w:t>by</w:t>
      </w:r>
      <w:r>
        <w:rPr>
          <w:color w:val="1F1F1E"/>
          <w:spacing w:val="-3"/>
        </w:rPr>
        <w:t xml:space="preserve"> </w:t>
      </w:r>
      <w:r>
        <w:rPr>
          <w:color w:val="1F1F1E"/>
        </w:rPr>
        <w:t>31</w:t>
      </w:r>
      <w:r>
        <w:rPr>
          <w:color w:val="1F1F1E"/>
          <w:spacing w:val="-1"/>
        </w:rPr>
        <w:t xml:space="preserve"> </w:t>
      </w:r>
      <w:r>
        <w:rPr>
          <w:color w:val="1F1F1E"/>
        </w:rPr>
        <w:t>fewer</w:t>
      </w:r>
      <w:r>
        <w:rPr>
          <w:color w:val="1F1F1E"/>
          <w:spacing w:val="-1"/>
        </w:rPr>
        <w:t xml:space="preserve"> </w:t>
      </w:r>
      <w:r>
        <w:rPr>
          <w:color w:val="1F1F1E"/>
        </w:rPr>
        <w:t>per</w:t>
      </w:r>
      <w:r>
        <w:rPr>
          <w:color w:val="1F1F1E"/>
          <w:spacing w:val="-4"/>
        </w:rPr>
        <w:t xml:space="preserve"> </w:t>
      </w:r>
      <w:r>
        <w:rPr>
          <w:color w:val="1F1F1E"/>
        </w:rPr>
        <w:t>1000</w:t>
      </w:r>
      <w:r>
        <w:rPr>
          <w:color w:val="1F1F1E"/>
          <w:spacing w:val="-3"/>
        </w:rPr>
        <w:t xml:space="preserve"> </w:t>
      </w:r>
      <w:r>
        <w:rPr>
          <w:color w:val="1F1F1E"/>
        </w:rPr>
        <w:t>with</w:t>
      </w:r>
      <w:r>
        <w:rPr>
          <w:color w:val="1F1F1E"/>
          <w:spacing w:val="-1"/>
        </w:rPr>
        <w:t xml:space="preserve"> </w:t>
      </w:r>
      <w:r>
        <w:rPr>
          <w:color w:val="1F1F1E"/>
        </w:rPr>
        <w:t>a</w:t>
      </w:r>
      <w:r>
        <w:rPr>
          <w:color w:val="1F1F1E"/>
          <w:spacing w:val="-3"/>
        </w:rPr>
        <w:t xml:space="preserve"> </w:t>
      </w:r>
      <w:r>
        <w:rPr>
          <w:color w:val="1F1F1E"/>
        </w:rPr>
        <w:t>confidence</w:t>
      </w:r>
      <w:r>
        <w:rPr>
          <w:color w:val="1F1F1E"/>
          <w:spacing w:val="-1"/>
        </w:rPr>
        <w:t xml:space="preserve"> </w:t>
      </w:r>
      <w:r>
        <w:rPr>
          <w:color w:val="1F1F1E"/>
        </w:rPr>
        <w:t>interval</w:t>
      </w:r>
      <w:r>
        <w:rPr>
          <w:color w:val="1F1F1E"/>
          <w:spacing w:val="-4"/>
        </w:rPr>
        <w:t xml:space="preserve"> </w:t>
      </w:r>
      <w:r>
        <w:rPr>
          <w:color w:val="1F1F1E"/>
        </w:rPr>
        <w:t>from</w:t>
      </w:r>
      <w:r>
        <w:rPr>
          <w:color w:val="1F1F1E"/>
          <w:spacing w:val="-2"/>
        </w:rPr>
        <w:t xml:space="preserve"> </w:t>
      </w:r>
      <w:r>
        <w:rPr>
          <w:color w:val="1F1F1E"/>
        </w:rPr>
        <w:t>42</w:t>
      </w:r>
      <w:r>
        <w:rPr>
          <w:color w:val="1F1F1E"/>
          <w:spacing w:val="-3"/>
        </w:rPr>
        <w:t xml:space="preserve"> </w:t>
      </w:r>
      <w:r>
        <w:rPr>
          <w:color w:val="1F1F1E"/>
        </w:rPr>
        <w:t>fewer to 14 fewer (Figure 1).</w:t>
      </w:r>
    </w:p>
    <w:p w14:paraId="0622DF7A" w14:textId="77777777" w:rsidR="00D3309C" w:rsidRDefault="00000000">
      <w:pPr>
        <w:pStyle w:val="BodyText"/>
        <w:spacing w:before="160"/>
        <w:ind w:right="104"/>
      </w:pPr>
      <w:r>
        <w:rPr>
          <w:color w:val="1F1F1E"/>
        </w:rPr>
        <w:t>If Core GRADE users were interested in the</w:t>
      </w:r>
      <w:r>
        <w:rPr>
          <w:color w:val="1F1F1E"/>
          <w:spacing w:val="-1"/>
        </w:rPr>
        <w:t xml:space="preserve"> </w:t>
      </w:r>
      <w:r>
        <w:rPr>
          <w:color w:val="1F1F1E"/>
        </w:rPr>
        <w:t>magnitude of effect, they would have set thresholds, say an MID threshold at 20 fewer per 1000 and the moderate effect threshold at 50 fewer per 1000 (Moderate effect threshold 1 in Appendix 1 Figure 1) (i.e., a range of small effect between 20 to 50 per 1000). As the point estimate</w:t>
      </w:r>
      <w:r>
        <w:rPr>
          <w:color w:val="1F1F1E"/>
          <w:spacing w:val="-3"/>
        </w:rPr>
        <w:t xml:space="preserve"> </w:t>
      </w:r>
      <w:r>
        <w:rPr>
          <w:color w:val="1F1F1E"/>
        </w:rPr>
        <w:t>falls</w:t>
      </w:r>
      <w:r>
        <w:rPr>
          <w:color w:val="1F1F1E"/>
          <w:spacing w:val="-4"/>
        </w:rPr>
        <w:t xml:space="preserve"> </w:t>
      </w:r>
      <w:r>
        <w:rPr>
          <w:color w:val="1F1F1E"/>
        </w:rPr>
        <w:t>within</w:t>
      </w:r>
      <w:r>
        <w:rPr>
          <w:color w:val="1F1F1E"/>
          <w:spacing w:val="-3"/>
        </w:rPr>
        <w:t xml:space="preserve"> </w:t>
      </w:r>
      <w:r>
        <w:rPr>
          <w:color w:val="1F1F1E"/>
        </w:rPr>
        <w:t>the</w:t>
      </w:r>
      <w:r>
        <w:rPr>
          <w:color w:val="1F1F1E"/>
          <w:spacing w:val="-3"/>
        </w:rPr>
        <w:t xml:space="preserve"> </w:t>
      </w:r>
      <w:r>
        <w:rPr>
          <w:color w:val="1F1F1E"/>
        </w:rPr>
        <w:t>range</w:t>
      </w:r>
      <w:r>
        <w:rPr>
          <w:color w:val="1F1F1E"/>
          <w:spacing w:val="-1"/>
        </w:rPr>
        <w:t xml:space="preserve"> </w:t>
      </w:r>
      <w:r>
        <w:rPr>
          <w:color w:val="1F1F1E"/>
        </w:rPr>
        <w:t>of</w:t>
      </w:r>
      <w:r>
        <w:rPr>
          <w:color w:val="1F1F1E"/>
          <w:spacing w:val="-1"/>
        </w:rPr>
        <w:t xml:space="preserve"> </w:t>
      </w:r>
      <w:r>
        <w:rPr>
          <w:color w:val="1F1F1E"/>
        </w:rPr>
        <w:t>small</w:t>
      </w:r>
      <w:r>
        <w:rPr>
          <w:color w:val="1F1F1E"/>
          <w:spacing w:val="-5"/>
        </w:rPr>
        <w:t xml:space="preserve"> </w:t>
      </w:r>
      <w:r>
        <w:rPr>
          <w:color w:val="1F1F1E"/>
        </w:rPr>
        <w:t>effect,</w:t>
      </w:r>
      <w:r>
        <w:rPr>
          <w:color w:val="1F1F1E"/>
          <w:spacing w:val="-3"/>
        </w:rPr>
        <w:t xml:space="preserve"> </w:t>
      </w:r>
      <w:r>
        <w:rPr>
          <w:color w:val="1F1F1E"/>
        </w:rPr>
        <w:t>they</w:t>
      </w:r>
      <w:r>
        <w:rPr>
          <w:color w:val="1F1F1E"/>
          <w:spacing w:val="-3"/>
        </w:rPr>
        <w:t xml:space="preserve"> </w:t>
      </w:r>
      <w:r>
        <w:rPr>
          <w:color w:val="1F1F1E"/>
        </w:rPr>
        <w:t>would</w:t>
      </w:r>
      <w:r>
        <w:rPr>
          <w:color w:val="1F1F1E"/>
          <w:spacing w:val="-3"/>
        </w:rPr>
        <w:t xml:space="preserve"> </w:t>
      </w:r>
      <w:r>
        <w:rPr>
          <w:color w:val="1F1F1E"/>
        </w:rPr>
        <w:t>rate</w:t>
      </w:r>
      <w:r>
        <w:rPr>
          <w:color w:val="1F1F1E"/>
          <w:spacing w:val="-3"/>
        </w:rPr>
        <w:t xml:space="preserve"> </w:t>
      </w:r>
      <w:r>
        <w:rPr>
          <w:color w:val="1F1F1E"/>
        </w:rPr>
        <w:t>certainty</w:t>
      </w:r>
      <w:r>
        <w:rPr>
          <w:color w:val="1F1F1E"/>
          <w:spacing w:val="-2"/>
        </w:rPr>
        <w:t xml:space="preserve"> </w:t>
      </w:r>
      <w:r>
        <w:rPr>
          <w:color w:val="1F1F1E"/>
        </w:rPr>
        <w:t>that</w:t>
      </w:r>
      <w:r>
        <w:rPr>
          <w:color w:val="1F1F1E"/>
          <w:spacing w:val="-3"/>
        </w:rPr>
        <w:t xml:space="preserve"> </w:t>
      </w:r>
      <w:r>
        <w:rPr>
          <w:color w:val="1F1F1E"/>
        </w:rPr>
        <w:t>compared</w:t>
      </w:r>
      <w:r>
        <w:rPr>
          <w:color w:val="1F1F1E"/>
          <w:spacing w:val="-4"/>
        </w:rPr>
        <w:t xml:space="preserve"> </w:t>
      </w:r>
      <w:r>
        <w:rPr>
          <w:color w:val="1F1F1E"/>
        </w:rPr>
        <w:t>with</w:t>
      </w:r>
      <w:r>
        <w:rPr>
          <w:color w:val="1F1F1E"/>
          <w:spacing w:val="-1"/>
        </w:rPr>
        <w:t xml:space="preserve"> </w:t>
      </w:r>
      <w:r>
        <w:rPr>
          <w:color w:val="1F1F1E"/>
        </w:rPr>
        <w:t>no TXA,</w:t>
      </w:r>
      <w:r>
        <w:rPr>
          <w:color w:val="1F1F1E"/>
          <w:spacing w:val="-1"/>
        </w:rPr>
        <w:t xml:space="preserve"> </w:t>
      </w:r>
      <w:r>
        <w:rPr>
          <w:color w:val="1F1F1E"/>
        </w:rPr>
        <w:t>TXA</w:t>
      </w:r>
      <w:r>
        <w:rPr>
          <w:color w:val="1F1F1E"/>
          <w:spacing w:val="-1"/>
        </w:rPr>
        <w:t xml:space="preserve"> </w:t>
      </w:r>
      <w:r>
        <w:rPr>
          <w:color w:val="1F1F1E"/>
        </w:rPr>
        <w:t xml:space="preserve">has a small but important reduction in blood transfusion. Because the confidence interval also includes a trivial effect (i.e., the confidence interval crosses the MID threshold), they would rate down one level for </w:t>
      </w:r>
      <w:r>
        <w:rPr>
          <w:color w:val="1F1F1E"/>
          <w:spacing w:val="-2"/>
        </w:rPr>
        <w:t>imprecision.</w:t>
      </w:r>
    </w:p>
    <w:p w14:paraId="02E3FAE7" w14:textId="77777777" w:rsidR="00D3309C" w:rsidRDefault="00000000">
      <w:pPr>
        <w:pStyle w:val="BodyText"/>
        <w:spacing w:before="160"/>
        <w:ind w:right="147"/>
      </w:pPr>
      <w:r>
        <w:rPr>
          <w:color w:val="1F1F1E"/>
        </w:rPr>
        <w:t>If</w:t>
      </w:r>
      <w:r>
        <w:rPr>
          <w:color w:val="1F1F1E"/>
          <w:spacing w:val="-1"/>
        </w:rPr>
        <w:t xml:space="preserve"> </w:t>
      </w:r>
      <w:r>
        <w:rPr>
          <w:color w:val="1F1F1E"/>
        </w:rPr>
        <w:t>they</w:t>
      </w:r>
      <w:r>
        <w:rPr>
          <w:color w:val="1F1F1E"/>
          <w:spacing w:val="-3"/>
        </w:rPr>
        <w:t xml:space="preserve"> </w:t>
      </w:r>
      <w:r>
        <w:rPr>
          <w:color w:val="1F1F1E"/>
        </w:rPr>
        <w:t>consider</w:t>
      </w:r>
      <w:r>
        <w:rPr>
          <w:color w:val="1F1F1E"/>
          <w:spacing w:val="-1"/>
        </w:rPr>
        <w:t xml:space="preserve"> </w:t>
      </w:r>
      <w:r>
        <w:rPr>
          <w:color w:val="1F1F1E"/>
        </w:rPr>
        <w:t>that</w:t>
      </w:r>
      <w:r>
        <w:rPr>
          <w:color w:val="1F1F1E"/>
          <w:spacing w:val="-4"/>
        </w:rPr>
        <w:t xml:space="preserve"> </w:t>
      </w:r>
      <w:r>
        <w:rPr>
          <w:color w:val="1F1F1E"/>
        </w:rPr>
        <w:t>blood</w:t>
      </w:r>
      <w:r>
        <w:rPr>
          <w:color w:val="1F1F1E"/>
          <w:spacing w:val="-4"/>
        </w:rPr>
        <w:t xml:space="preserve"> </w:t>
      </w:r>
      <w:r>
        <w:rPr>
          <w:color w:val="1F1F1E"/>
        </w:rPr>
        <w:t>transfusion</w:t>
      </w:r>
      <w:r>
        <w:rPr>
          <w:color w:val="1F1F1E"/>
          <w:spacing w:val="-2"/>
        </w:rPr>
        <w:t xml:space="preserve"> </w:t>
      </w:r>
      <w:r>
        <w:rPr>
          <w:color w:val="1F1F1E"/>
        </w:rPr>
        <w:t>is</w:t>
      </w:r>
      <w:r>
        <w:rPr>
          <w:color w:val="1F1F1E"/>
          <w:spacing w:val="-4"/>
        </w:rPr>
        <w:t xml:space="preserve"> </w:t>
      </w:r>
      <w:r>
        <w:rPr>
          <w:color w:val="1F1F1E"/>
        </w:rPr>
        <w:t>more</w:t>
      </w:r>
      <w:r>
        <w:rPr>
          <w:color w:val="1F1F1E"/>
          <w:spacing w:val="-3"/>
        </w:rPr>
        <w:t xml:space="preserve"> </w:t>
      </w:r>
      <w:r>
        <w:rPr>
          <w:color w:val="1F1F1E"/>
        </w:rPr>
        <w:t>important</w:t>
      </w:r>
      <w:r>
        <w:rPr>
          <w:color w:val="1F1F1E"/>
          <w:spacing w:val="-1"/>
        </w:rPr>
        <w:t xml:space="preserve"> </w:t>
      </w:r>
      <w:r>
        <w:rPr>
          <w:color w:val="1F1F1E"/>
        </w:rPr>
        <w:t>to</w:t>
      </w:r>
      <w:r>
        <w:rPr>
          <w:color w:val="1F1F1E"/>
          <w:spacing w:val="-2"/>
        </w:rPr>
        <w:t xml:space="preserve"> </w:t>
      </w:r>
      <w:r>
        <w:rPr>
          <w:color w:val="1F1F1E"/>
        </w:rPr>
        <w:t>patients</w:t>
      </w:r>
      <w:r>
        <w:rPr>
          <w:color w:val="1F1F1E"/>
          <w:spacing w:val="-1"/>
        </w:rPr>
        <w:t xml:space="preserve"> </w:t>
      </w:r>
      <w:r>
        <w:rPr>
          <w:color w:val="1F1F1E"/>
        </w:rPr>
        <w:t>and</w:t>
      </w:r>
      <w:r>
        <w:rPr>
          <w:color w:val="1F1F1E"/>
          <w:spacing w:val="-3"/>
        </w:rPr>
        <w:t xml:space="preserve"> </w:t>
      </w:r>
      <w:r>
        <w:rPr>
          <w:color w:val="1F1F1E"/>
        </w:rPr>
        <w:t>set</w:t>
      </w:r>
      <w:r>
        <w:rPr>
          <w:color w:val="1F1F1E"/>
          <w:spacing w:val="-1"/>
        </w:rPr>
        <w:t xml:space="preserve"> </w:t>
      </w:r>
      <w:r>
        <w:rPr>
          <w:color w:val="1F1F1E"/>
        </w:rPr>
        <w:t>the</w:t>
      </w:r>
      <w:r>
        <w:rPr>
          <w:color w:val="1F1F1E"/>
          <w:spacing w:val="-5"/>
        </w:rPr>
        <w:t xml:space="preserve"> </w:t>
      </w:r>
      <w:r>
        <w:rPr>
          <w:color w:val="1F1F1E"/>
        </w:rPr>
        <w:t>moderate</w:t>
      </w:r>
      <w:r>
        <w:rPr>
          <w:color w:val="1F1F1E"/>
          <w:spacing w:val="-3"/>
        </w:rPr>
        <w:t xml:space="preserve"> </w:t>
      </w:r>
      <w:r>
        <w:rPr>
          <w:color w:val="1F1F1E"/>
        </w:rPr>
        <w:t>effect</w:t>
      </w:r>
      <w:r>
        <w:rPr>
          <w:color w:val="1F1F1E"/>
          <w:spacing w:val="-2"/>
        </w:rPr>
        <w:t xml:space="preserve"> </w:t>
      </w:r>
      <w:r>
        <w:rPr>
          <w:color w:val="1F1F1E"/>
        </w:rPr>
        <w:t>threshold at 40 per 1000 (Moderate</w:t>
      </w:r>
      <w:r>
        <w:rPr>
          <w:color w:val="1F1F1E"/>
          <w:spacing w:val="-1"/>
        </w:rPr>
        <w:t xml:space="preserve"> </w:t>
      </w:r>
      <w:r>
        <w:rPr>
          <w:color w:val="1F1F1E"/>
        </w:rPr>
        <w:t>effect 2 in</w:t>
      </w:r>
      <w:r>
        <w:rPr>
          <w:color w:val="1F1F1E"/>
          <w:spacing w:val="-1"/>
        </w:rPr>
        <w:t xml:space="preserve"> </w:t>
      </w:r>
      <w:r>
        <w:rPr>
          <w:color w:val="1F1F1E"/>
        </w:rPr>
        <w:t>Appendix 1 Figure 1), they can</w:t>
      </w:r>
      <w:r>
        <w:rPr>
          <w:color w:val="1F1F1E"/>
          <w:spacing w:val="-1"/>
        </w:rPr>
        <w:t xml:space="preserve"> </w:t>
      </w:r>
      <w:r>
        <w:rPr>
          <w:color w:val="1F1F1E"/>
        </w:rPr>
        <w:t>still rate certainty that a small effect is present. As</w:t>
      </w:r>
      <w:r>
        <w:rPr>
          <w:color w:val="1F1F1E"/>
          <w:spacing w:val="-2"/>
        </w:rPr>
        <w:t xml:space="preserve"> </w:t>
      </w:r>
      <w:r>
        <w:rPr>
          <w:color w:val="1F1F1E"/>
        </w:rPr>
        <w:t>the confidence</w:t>
      </w:r>
      <w:r>
        <w:rPr>
          <w:color w:val="1F1F1E"/>
          <w:spacing w:val="-2"/>
        </w:rPr>
        <w:t xml:space="preserve"> </w:t>
      </w:r>
      <w:r>
        <w:rPr>
          <w:color w:val="1F1F1E"/>
        </w:rPr>
        <w:t>interval now</w:t>
      </w:r>
      <w:r>
        <w:rPr>
          <w:color w:val="1F1F1E"/>
          <w:spacing w:val="-2"/>
        </w:rPr>
        <w:t xml:space="preserve"> </w:t>
      </w:r>
      <w:r>
        <w:rPr>
          <w:color w:val="1F1F1E"/>
        </w:rPr>
        <w:t>includes a</w:t>
      </w:r>
      <w:r>
        <w:rPr>
          <w:color w:val="1F1F1E"/>
          <w:spacing w:val="-3"/>
        </w:rPr>
        <w:t xml:space="preserve"> </w:t>
      </w:r>
      <w:r>
        <w:rPr>
          <w:color w:val="1F1F1E"/>
        </w:rPr>
        <w:t>moderate</w:t>
      </w:r>
      <w:r>
        <w:rPr>
          <w:color w:val="1F1F1E"/>
          <w:spacing w:val="-2"/>
        </w:rPr>
        <w:t xml:space="preserve"> </w:t>
      </w:r>
      <w:r>
        <w:rPr>
          <w:color w:val="1F1F1E"/>
        </w:rPr>
        <w:t>effect and</w:t>
      </w:r>
      <w:r>
        <w:rPr>
          <w:color w:val="1F1F1E"/>
          <w:spacing w:val="-1"/>
        </w:rPr>
        <w:t xml:space="preserve"> </w:t>
      </w:r>
      <w:r>
        <w:rPr>
          <w:color w:val="1F1F1E"/>
        </w:rPr>
        <w:t>a</w:t>
      </w:r>
      <w:r>
        <w:rPr>
          <w:color w:val="1F1F1E"/>
          <w:spacing w:val="-2"/>
        </w:rPr>
        <w:t xml:space="preserve"> </w:t>
      </w:r>
      <w:r>
        <w:rPr>
          <w:color w:val="1F1F1E"/>
        </w:rPr>
        <w:t>trivial</w:t>
      </w:r>
      <w:r>
        <w:rPr>
          <w:color w:val="1F1F1E"/>
          <w:spacing w:val="-3"/>
        </w:rPr>
        <w:t xml:space="preserve"> </w:t>
      </w:r>
      <w:r>
        <w:rPr>
          <w:color w:val="1F1F1E"/>
        </w:rPr>
        <w:t>effect,</w:t>
      </w:r>
      <w:r>
        <w:rPr>
          <w:color w:val="1F1F1E"/>
          <w:spacing w:val="-2"/>
        </w:rPr>
        <w:t xml:space="preserve"> </w:t>
      </w:r>
      <w:r>
        <w:rPr>
          <w:color w:val="1F1F1E"/>
        </w:rPr>
        <w:t>they</w:t>
      </w:r>
      <w:r>
        <w:rPr>
          <w:color w:val="1F1F1E"/>
          <w:spacing w:val="-2"/>
        </w:rPr>
        <w:t xml:space="preserve"> </w:t>
      </w:r>
      <w:r>
        <w:rPr>
          <w:color w:val="1F1F1E"/>
        </w:rPr>
        <w:t>might</w:t>
      </w:r>
      <w:r>
        <w:rPr>
          <w:color w:val="1F1F1E"/>
          <w:spacing w:val="-2"/>
        </w:rPr>
        <w:t xml:space="preserve"> </w:t>
      </w:r>
      <w:r>
        <w:rPr>
          <w:color w:val="1F1F1E"/>
        </w:rPr>
        <w:t>consider rating down two levels for imprecision.</w:t>
      </w:r>
    </w:p>
    <w:p w14:paraId="7F1D3081" w14:textId="77777777" w:rsidR="00D3309C" w:rsidRDefault="00000000">
      <w:pPr>
        <w:pStyle w:val="BodyText"/>
        <w:spacing w:before="159"/>
        <w:ind w:right="104"/>
      </w:pPr>
      <w:r>
        <w:rPr>
          <w:color w:val="1F1F1E"/>
        </w:rPr>
        <w:t>GRADE plain language can also help judge imprecision ratings when the target of</w:t>
      </w:r>
      <w:r>
        <w:rPr>
          <w:color w:val="1F1F1E"/>
          <w:spacing w:val="-1"/>
        </w:rPr>
        <w:t xml:space="preserve"> </w:t>
      </w:r>
      <w:r>
        <w:rPr>
          <w:color w:val="1F1F1E"/>
        </w:rPr>
        <w:t>certainty rating is a small, moderate, or large effect. Assume there are no concerns on the other four GRADE domains. In this case, when</w:t>
      </w:r>
      <w:r>
        <w:rPr>
          <w:color w:val="1F1F1E"/>
          <w:spacing w:val="-4"/>
        </w:rPr>
        <w:t xml:space="preserve"> </w:t>
      </w:r>
      <w:r>
        <w:rPr>
          <w:color w:val="1F1F1E"/>
        </w:rPr>
        <w:t>the</w:t>
      </w:r>
      <w:r>
        <w:rPr>
          <w:color w:val="1F1F1E"/>
          <w:spacing w:val="-6"/>
        </w:rPr>
        <w:t xml:space="preserve"> </w:t>
      </w:r>
      <w:r>
        <w:rPr>
          <w:color w:val="1F1F1E"/>
        </w:rPr>
        <w:t>confidence</w:t>
      </w:r>
      <w:r>
        <w:rPr>
          <w:color w:val="1F1F1E"/>
          <w:spacing w:val="-4"/>
        </w:rPr>
        <w:t xml:space="preserve"> </w:t>
      </w:r>
      <w:r>
        <w:rPr>
          <w:color w:val="1F1F1E"/>
        </w:rPr>
        <w:t>interval</w:t>
      </w:r>
      <w:r>
        <w:rPr>
          <w:color w:val="1F1F1E"/>
          <w:spacing w:val="-2"/>
        </w:rPr>
        <w:t xml:space="preserve"> </w:t>
      </w:r>
      <w:r>
        <w:t>includes</w:t>
      </w:r>
      <w:r>
        <w:rPr>
          <w:spacing w:val="-3"/>
        </w:rPr>
        <w:t xml:space="preserve"> </w:t>
      </w:r>
      <w:r>
        <w:t>both</w:t>
      </w:r>
      <w:r>
        <w:rPr>
          <w:spacing w:val="-4"/>
        </w:rPr>
        <w:t xml:space="preserve"> </w:t>
      </w:r>
      <w:r>
        <w:t>a</w:t>
      </w:r>
      <w:r>
        <w:rPr>
          <w:spacing w:val="-7"/>
        </w:rPr>
        <w:t xml:space="preserve"> </w:t>
      </w:r>
      <w:r>
        <w:t>moderate</w:t>
      </w:r>
      <w:r>
        <w:rPr>
          <w:spacing w:val="-4"/>
        </w:rPr>
        <w:t xml:space="preserve"> </w:t>
      </w:r>
      <w:r>
        <w:t>effect</w:t>
      </w:r>
      <w:r>
        <w:rPr>
          <w:spacing w:val="-6"/>
        </w:rPr>
        <w:t xml:space="preserve"> </w:t>
      </w:r>
      <w:r>
        <w:t>and</w:t>
      </w:r>
      <w:r>
        <w:rPr>
          <w:spacing w:val="-6"/>
        </w:rPr>
        <w:t xml:space="preserve"> </w:t>
      </w:r>
      <w:r>
        <w:t>a</w:t>
      </w:r>
      <w:r>
        <w:rPr>
          <w:spacing w:val="-4"/>
        </w:rPr>
        <w:t xml:space="preserve"> </w:t>
      </w:r>
      <w:r>
        <w:t>trivial</w:t>
      </w:r>
      <w:r>
        <w:rPr>
          <w:spacing w:val="-5"/>
        </w:rPr>
        <w:t xml:space="preserve"> </w:t>
      </w:r>
      <w:r>
        <w:t>effect,</w:t>
      </w:r>
      <w:r>
        <w:rPr>
          <w:spacing w:val="-4"/>
        </w:rPr>
        <w:t xml:space="preserve"> </w:t>
      </w:r>
      <w:r>
        <w:t>Core</w:t>
      </w:r>
      <w:r>
        <w:rPr>
          <w:spacing w:val="-3"/>
        </w:rPr>
        <w:t xml:space="preserve"> </w:t>
      </w:r>
      <w:r>
        <w:t>GRADE</w:t>
      </w:r>
      <w:r>
        <w:rPr>
          <w:spacing w:val="-4"/>
        </w:rPr>
        <w:t xml:space="preserve"> </w:t>
      </w:r>
      <w:r>
        <w:t>users</w:t>
      </w:r>
      <w:r>
        <w:rPr>
          <w:spacing w:val="-4"/>
        </w:rPr>
        <w:t xml:space="preserve"> </w:t>
      </w:r>
      <w:r>
        <w:t>need</w:t>
      </w:r>
      <w:r>
        <w:rPr>
          <w:spacing w:val="-8"/>
        </w:rPr>
        <w:t xml:space="preserve"> </w:t>
      </w:r>
      <w:r>
        <w:t xml:space="preserve">to consider whether it is more appropriate to convey the message that a) </w:t>
      </w:r>
      <w:r>
        <w:rPr>
          <w:color w:val="1F1F1E"/>
        </w:rPr>
        <w:t>TXA likely has a small but important reduction</w:t>
      </w:r>
      <w:r>
        <w:rPr>
          <w:color w:val="1F1F1E"/>
          <w:spacing w:val="-2"/>
        </w:rPr>
        <w:t xml:space="preserve"> </w:t>
      </w:r>
      <w:r>
        <w:rPr>
          <w:color w:val="1F1F1E"/>
        </w:rPr>
        <w:t>on blood</w:t>
      </w:r>
      <w:r>
        <w:rPr>
          <w:color w:val="1F1F1E"/>
          <w:spacing w:val="-2"/>
        </w:rPr>
        <w:t xml:space="preserve"> </w:t>
      </w:r>
      <w:r>
        <w:rPr>
          <w:color w:val="1F1F1E"/>
        </w:rPr>
        <w:t>transfusion” (i.e., a</w:t>
      </w:r>
      <w:r>
        <w:rPr>
          <w:color w:val="1F1F1E"/>
          <w:spacing w:val="-2"/>
        </w:rPr>
        <w:t xml:space="preserve"> </w:t>
      </w:r>
      <w:r>
        <w:rPr>
          <w:color w:val="1F1F1E"/>
        </w:rPr>
        <w:t>statement</w:t>
      </w:r>
      <w:r>
        <w:rPr>
          <w:color w:val="1F1F1E"/>
          <w:spacing w:val="-1"/>
        </w:rPr>
        <w:t xml:space="preserve"> </w:t>
      </w:r>
      <w:r>
        <w:rPr>
          <w:color w:val="1F1F1E"/>
        </w:rPr>
        <w:t>that</w:t>
      </w:r>
      <w:r>
        <w:rPr>
          <w:color w:val="1F1F1E"/>
          <w:spacing w:val="-2"/>
        </w:rPr>
        <w:t xml:space="preserve"> </w:t>
      </w:r>
      <w:r>
        <w:rPr>
          <w:color w:val="1F1F1E"/>
        </w:rPr>
        <w:t>would</w:t>
      </w:r>
      <w:r>
        <w:rPr>
          <w:color w:val="1F1F1E"/>
          <w:spacing w:val="-1"/>
        </w:rPr>
        <w:t xml:space="preserve"> </w:t>
      </w:r>
      <w:r>
        <w:rPr>
          <w:color w:val="1F1F1E"/>
        </w:rPr>
        <w:t>accompany rating</w:t>
      </w:r>
      <w:r>
        <w:rPr>
          <w:color w:val="1F1F1E"/>
          <w:spacing w:val="-1"/>
        </w:rPr>
        <w:t xml:space="preserve"> </w:t>
      </w:r>
      <w:r>
        <w:rPr>
          <w:color w:val="1F1F1E"/>
        </w:rPr>
        <w:t>down</w:t>
      </w:r>
      <w:r>
        <w:rPr>
          <w:color w:val="1F1F1E"/>
          <w:spacing w:val="-1"/>
        </w:rPr>
        <w:t xml:space="preserve"> </w:t>
      </w:r>
      <w:r>
        <w:rPr>
          <w:color w:val="1F1F1E"/>
        </w:rPr>
        <w:t>once) or b) that</w:t>
      </w:r>
      <w:r>
        <w:rPr>
          <w:color w:val="1F1F1E"/>
          <w:spacing w:val="-1"/>
        </w:rPr>
        <w:t xml:space="preserve"> </w:t>
      </w:r>
      <w:r>
        <w:rPr>
          <w:color w:val="1F1F1E"/>
        </w:rPr>
        <w:t>“TXA may have a small but important effect” (i.e., a statement that would accompany rating down twice). If the authors found the latter statement more appropriate, they would rate down twice for imprecision.</w:t>
      </w:r>
    </w:p>
    <w:p w14:paraId="1DDAB4BC" w14:textId="77777777" w:rsidR="00D3309C" w:rsidRDefault="00D3309C">
      <w:pPr>
        <w:pStyle w:val="BodyText"/>
        <w:sectPr w:rsidR="00D3309C">
          <w:type w:val="continuous"/>
          <w:pgSz w:w="11910" w:h="16840"/>
          <w:pgMar w:top="1380" w:right="992" w:bottom="280" w:left="992" w:header="720" w:footer="720" w:gutter="0"/>
          <w:cols w:space="720"/>
        </w:sectPr>
      </w:pPr>
    </w:p>
    <w:p w14:paraId="6A54620B" w14:textId="77777777" w:rsidR="00D3309C" w:rsidRDefault="00000000">
      <w:pPr>
        <w:pStyle w:val="BodyText"/>
        <w:spacing w:before="41"/>
      </w:pPr>
      <w:r>
        <w:rPr>
          <w:b/>
          <w:color w:val="1F1F1E"/>
          <w:u w:val="single" w:color="1F1F1E"/>
        </w:rPr>
        <w:lastRenderedPageBreak/>
        <w:t>Figure</w:t>
      </w:r>
      <w:r>
        <w:rPr>
          <w:b/>
          <w:color w:val="1F1F1E"/>
          <w:spacing w:val="-5"/>
          <w:u w:val="single" w:color="1F1F1E"/>
        </w:rPr>
        <w:t xml:space="preserve"> </w:t>
      </w:r>
      <w:r>
        <w:rPr>
          <w:b/>
          <w:color w:val="1F1F1E"/>
          <w:u w:val="single" w:color="1F1F1E"/>
        </w:rPr>
        <w:t>1</w:t>
      </w:r>
      <w:r>
        <w:rPr>
          <w:color w:val="1F1F1E"/>
        </w:rPr>
        <w:t>.</w:t>
      </w:r>
      <w:r>
        <w:rPr>
          <w:color w:val="1F1F1E"/>
          <w:spacing w:val="-2"/>
        </w:rPr>
        <w:t xml:space="preserve"> </w:t>
      </w:r>
      <w:r>
        <w:rPr>
          <w:color w:val="1F1F1E"/>
        </w:rPr>
        <w:t>Effect</w:t>
      </w:r>
      <w:r>
        <w:rPr>
          <w:color w:val="1F1F1E"/>
          <w:spacing w:val="-3"/>
        </w:rPr>
        <w:t xml:space="preserve"> </w:t>
      </w:r>
      <w:r>
        <w:rPr>
          <w:color w:val="1F1F1E"/>
        </w:rPr>
        <w:t>of</w:t>
      </w:r>
      <w:r>
        <w:rPr>
          <w:color w:val="1F1F1E"/>
          <w:spacing w:val="-4"/>
        </w:rPr>
        <w:t xml:space="preserve"> </w:t>
      </w:r>
      <w:r>
        <w:rPr>
          <w:color w:val="1F1F1E"/>
        </w:rPr>
        <w:t>tranexamic</w:t>
      </w:r>
      <w:r>
        <w:rPr>
          <w:color w:val="1F1F1E"/>
          <w:spacing w:val="-2"/>
        </w:rPr>
        <w:t xml:space="preserve"> </w:t>
      </w:r>
      <w:r>
        <w:rPr>
          <w:color w:val="1F1F1E"/>
        </w:rPr>
        <w:t>acid</w:t>
      </w:r>
      <w:r>
        <w:rPr>
          <w:color w:val="1F1F1E"/>
          <w:spacing w:val="-3"/>
        </w:rPr>
        <w:t xml:space="preserve"> </w:t>
      </w:r>
      <w:r>
        <w:rPr>
          <w:color w:val="1F1F1E"/>
        </w:rPr>
        <w:t>versus</w:t>
      </w:r>
      <w:r>
        <w:rPr>
          <w:color w:val="1F1F1E"/>
          <w:spacing w:val="-2"/>
        </w:rPr>
        <w:t xml:space="preserve"> </w:t>
      </w:r>
      <w:r>
        <w:rPr>
          <w:color w:val="1F1F1E"/>
        </w:rPr>
        <w:t>no</w:t>
      </w:r>
      <w:r>
        <w:rPr>
          <w:color w:val="1F1F1E"/>
          <w:spacing w:val="-1"/>
        </w:rPr>
        <w:t xml:space="preserve"> </w:t>
      </w:r>
      <w:r>
        <w:rPr>
          <w:color w:val="1F1F1E"/>
        </w:rPr>
        <w:t>tranexamic</w:t>
      </w:r>
      <w:r>
        <w:rPr>
          <w:color w:val="1F1F1E"/>
          <w:spacing w:val="-2"/>
        </w:rPr>
        <w:t xml:space="preserve"> </w:t>
      </w:r>
      <w:r>
        <w:rPr>
          <w:color w:val="1F1F1E"/>
        </w:rPr>
        <w:t>acid</w:t>
      </w:r>
      <w:r>
        <w:rPr>
          <w:color w:val="1F1F1E"/>
          <w:spacing w:val="-3"/>
        </w:rPr>
        <w:t xml:space="preserve"> </w:t>
      </w:r>
      <w:r>
        <w:rPr>
          <w:color w:val="1F1F1E"/>
        </w:rPr>
        <w:t>on</w:t>
      </w:r>
      <w:r>
        <w:rPr>
          <w:color w:val="1F1F1E"/>
          <w:spacing w:val="-3"/>
        </w:rPr>
        <w:t xml:space="preserve"> </w:t>
      </w:r>
      <w:r>
        <w:rPr>
          <w:color w:val="1F1F1E"/>
        </w:rPr>
        <w:t>blood</w:t>
      </w:r>
      <w:r>
        <w:rPr>
          <w:color w:val="1F1F1E"/>
          <w:spacing w:val="-3"/>
        </w:rPr>
        <w:t xml:space="preserve"> </w:t>
      </w:r>
      <w:r>
        <w:rPr>
          <w:color w:val="1F1F1E"/>
        </w:rPr>
        <w:t>transfusion</w:t>
      </w:r>
      <w:r>
        <w:rPr>
          <w:color w:val="1F1F1E"/>
          <w:spacing w:val="-3"/>
        </w:rPr>
        <w:t xml:space="preserve"> </w:t>
      </w:r>
      <w:r>
        <w:rPr>
          <w:color w:val="1F1F1E"/>
        </w:rPr>
        <w:t>in</w:t>
      </w:r>
      <w:r>
        <w:rPr>
          <w:color w:val="1F1F1E"/>
          <w:spacing w:val="-2"/>
        </w:rPr>
        <w:t xml:space="preserve"> </w:t>
      </w:r>
      <w:r>
        <w:rPr>
          <w:color w:val="1F1F1E"/>
        </w:rPr>
        <w:t>patients</w:t>
      </w:r>
      <w:r>
        <w:rPr>
          <w:color w:val="1F1F1E"/>
          <w:spacing w:val="-1"/>
        </w:rPr>
        <w:t xml:space="preserve"> </w:t>
      </w:r>
      <w:r>
        <w:rPr>
          <w:color w:val="1F1F1E"/>
        </w:rPr>
        <w:t>who</w:t>
      </w:r>
      <w:r>
        <w:rPr>
          <w:color w:val="1F1F1E"/>
          <w:spacing w:val="-1"/>
        </w:rPr>
        <w:t xml:space="preserve"> </w:t>
      </w:r>
      <w:r>
        <w:rPr>
          <w:color w:val="1F1F1E"/>
        </w:rPr>
        <w:t>received percutaneous nephrolithotomy</w:t>
      </w:r>
    </w:p>
    <w:p w14:paraId="4242205B" w14:textId="77777777" w:rsidR="00D3309C" w:rsidRDefault="00000000">
      <w:pPr>
        <w:pStyle w:val="BodyText"/>
        <w:ind w:left="0"/>
        <w:rPr>
          <w:sz w:val="17"/>
        </w:rPr>
      </w:pPr>
      <w:r>
        <w:rPr>
          <w:noProof/>
          <w:sz w:val="17"/>
        </w:rPr>
        <w:drawing>
          <wp:anchor distT="0" distB="0" distL="0" distR="0" simplePos="0" relativeHeight="487587840" behindDoc="1" locked="0" layoutInCell="1" allowOverlap="1" wp14:anchorId="236E73E3" wp14:editId="5F607E0A">
            <wp:simplePos x="0" y="0"/>
            <wp:positionH relativeFrom="page">
              <wp:posOffset>808684</wp:posOffset>
            </wp:positionH>
            <wp:positionV relativeFrom="paragraph">
              <wp:posOffset>148141</wp:posOffset>
            </wp:positionV>
            <wp:extent cx="3596181" cy="2387346"/>
            <wp:effectExtent l="0" t="0" r="0" b="0"/>
            <wp:wrapTopAndBottom/>
            <wp:docPr id="1" name="Image 1" descr="C:\Users\SiceX\Documents\WeChat Files\wxid_msy3tozit0zg21\FileStorage\Temp\172043443207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SiceX\Documents\WeChat Files\wxid_msy3tozit0zg21\FileStorage\Temp\1720434432071.png"/>
                    <pic:cNvPicPr/>
                  </pic:nvPicPr>
                  <pic:blipFill>
                    <a:blip r:embed="rId5" cstate="print"/>
                    <a:stretch>
                      <a:fillRect/>
                    </a:stretch>
                  </pic:blipFill>
                  <pic:spPr>
                    <a:xfrm>
                      <a:off x="0" y="0"/>
                      <a:ext cx="3596181" cy="2387346"/>
                    </a:xfrm>
                    <a:prstGeom prst="rect">
                      <a:avLst/>
                    </a:prstGeom>
                  </pic:spPr>
                </pic:pic>
              </a:graphicData>
            </a:graphic>
          </wp:anchor>
        </w:drawing>
      </w:r>
    </w:p>
    <w:p w14:paraId="7DE00D29" w14:textId="77777777" w:rsidR="00D3309C" w:rsidRDefault="00D3309C">
      <w:pPr>
        <w:pStyle w:val="BodyText"/>
        <w:spacing w:before="47"/>
        <w:ind w:left="0"/>
      </w:pPr>
    </w:p>
    <w:p w14:paraId="1765D063" w14:textId="77777777" w:rsidR="00D3309C" w:rsidRDefault="00000000">
      <w:pPr>
        <w:pStyle w:val="BodyText"/>
        <w:ind w:right="136"/>
      </w:pPr>
      <w:r>
        <w:rPr>
          <w:color w:val="1F1F1E"/>
        </w:rPr>
        <w:t xml:space="preserve">Consider another systematic review of cooling for newborns with hypoxic </w:t>
      </w:r>
      <w:proofErr w:type="spellStart"/>
      <w:r>
        <w:rPr>
          <w:color w:val="1F1F1E"/>
        </w:rPr>
        <w:t>ischaemic</w:t>
      </w:r>
      <w:proofErr w:type="spellEnd"/>
      <w:r>
        <w:rPr>
          <w:color w:val="1F1F1E"/>
        </w:rPr>
        <w:t xml:space="preserve"> encephalopathy.</w:t>
      </w:r>
      <w:r>
        <w:rPr>
          <w:color w:val="1F1F1E"/>
          <w:vertAlign w:val="superscript"/>
        </w:rPr>
        <w:t>3</w:t>
      </w:r>
      <w:r>
        <w:rPr>
          <w:color w:val="1F1F1E"/>
        </w:rPr>
        <w:t xml:space="preserve"> A meta-analysis of randomized controlled trials showed that </w:t>
      </w:r>
      <w:r>
        <w:t xml:space="preserve">therapeutic hypothermia </w:t>
      </w:r>
      <w:r>
        <w:rPr>
          <w:color w:val="1F1F1E"/>
        </w:rPr>
        <w:t>yielded 151 fewer deaths or major</w:t>
      </w:r>
      <w:r>
        <w:rPr>
          <w:color w:val="1F1F1E"/>
          <w:spacing w:val="-1"/>
        </w:rPr>
        <w:t xml:space="preserve"> </w:t>
      </w:r>
      <w:r>
        <w:rPr>
          <w:color w:val="1F1F1E"/>
        </w:rPr>
        <w:t>neurodevelopmental disability per 1000 patients with a</w:t>
      </w:r>
      <w:r>
        <w:rPr>
          <w:color w:val="1F1F1E"/>
          <w:spacing w:val="-1"/>
        </w:rPr>
        <w:t xml:space="preserve"> </w:t>
      </w:r>
      <w:r>
        <w:rPr>
          <w:color w:val="1F1F1E"/>
        </w:rPr>
        <w:t>confidence interval from 203 fewer to 99 fewer per 1000. Had the review authors been interested in whether a large effect exists, they would rate certainty in relation to a large effect threshold. Considering the importance of the combined outcome (death or major neurodevelopmental disability), had the authors set the large effect threshold at a difference</w:t>
      </w:r>
      <w:r>
        <w:rPr>
          <w:color w:val="1F1F1E"/>
          <w:spacing w:val="-5"/>
        </w:rPr>
        <w:t xml:space="preserve"> </w:t>
      </w:r>
      <w:r>
        <w:rPr>
          <w:color w:val="1F1F1E"/>
        </w:rPr>
        <w:t>of</w:t>
      </w:r>
      <w:r>
        <w:rPr>
          <w:color w:val="1F1F1E"/>
          <w:spacing w:val="-5"/>
        </w:rPr>
        <w:t xml:space="preserve"> </w:t>
      </w:r>
      <w:r>
        <w:rPr>
          <w:color w:val="1F1F1E"/>
        </w:rPr>
        <w:t>80</w:t>
      </w:r>
      <w:r>
        <w:rPr>
          <w:color w:val="1F1F1E"/>
          <w:spacing w:val="-5"/>
        </w:rPr>
        <w:t xml:space="preserve"> </w:t>
      </w:r>
      <w:r>
        <w:rPr>
          <w:color w:val="1F1F1E"/>
        </w:rPr>
        <w:t>per</w:t>
      </w:r>
      <w:r>
        <w:rPr>
          <w:color w:val="1F1F1E"/>
          <w:spacing w:val="-5"/>
        </w:rPr>
        <w:t xml:space="preserve"> </w:t>
      </w:r>
      <w:r>
        <w:rPr>
          <w:color w:val="1F1F1E"/>
        </w:rPr>
        <w:t>1000,</w:t>
      </w:r>
      <w:r>
        <w:rPr>
          <w:color w:val="1F1F1E"/>
          <w:spacing w:val="-3"/>
        </w:rPr>
        <w:t xml:space="preserve"> </w:t>
      </w:r>
      <w:r>
        <w:rPr>
          <w:color w:val="1F1F1E"/>
        </w:rPr>
        <w:t>they</w:t>
      </w:r>
      <w:r>
        <w:rPr>
          <w:color w:val="1F1F1E"/>
          <w:spacing w:val="-2"/>
        </w:rPr>
        <w:t xml:space="preserve"> </w:t>
      </w:r>
      <w:r>
        <w:rPr>
          <w:color w:val="1F1F1E"/>
        </w:rPr>
        <w:t>would</w:t>
      </w:r>
      <w:r>
        <w:rPr>
          <w:color w:val="1F1F1E"/>
          <w:spacing w:val="-5"/>
        </w:rPr>
        <w:t xml:space="preserve"> </w:t>
      </w:r>
      <w:r>
        <w:rPr>
          <w:color w:val="1F1F1E"/>
        </w:rPr>
        <w:t>rate</w:t>
      </w:r>
      <w:r>
        <w:rPr>
          <w:color w:val="1F1F1E"/>
          <w:spacing w:val="-3"/>
        </w:rPr>
        <w:t xml:space="preserve"> </w:t>
      </w:r>
      <w:r>
        <w:rPr>
          <w:color w:val="1F1F1E"/>
        </w:rPr>
        <w:t>their</w:t>
      </w:r>
      <w:r>
        <w:rPr>
          <w:color w:val="1F1F1E"/>
          <w:spacing w:val="-3"/>
        </w:rPr>
        <w:t xml:space="preserve"> </w:t>
      </w:r>
      <w:r>
        <w:rPr>
          <w:color w:val="1F1F1E"/>
        </w:rPr>
        <w:t>certainty</w:t>
      </w:r>
      <w:r>
        <w:rPr>
          <w:color w:val="1F1F1E"/>
          <w:spacing w:val="-2"/>
        </w:rPr>
        <w:t xml:space="preserve"> </w:t>
      </w:r>
      <w:r>
        <w:rPr>
          <w:color w:val="1F1F1E"/>
        </w:rPr>
        <w:t>that</w:t>
      </w:r>
      <w:r>
        <w:rPr>
          <w:color w:val="1F1F1E"/>
          <w:spacing w:val="-2"/>
        </w:rPr>
        <w:t xml:space="preserve"> </w:t>
      </w:r>
      <w:r>
        <w:t>therapeutic</w:t>
      </w:r>
      <w:r>
        <w:rPr>
          <w:spacing w:val="-5"/>
        </w:rPr>
        <w:t xml:space="preserve"> </w:t>
      </w:r>
      <w:r>
        <w:t>hypothermia</w:t>
      </w:r>
      <w:r>
        <w:rPr>
          <w:spacing w:val="-3"/>
        </w:rPr>
        <w:t xml:space="preserve"> </w:t>
      </w:r>
      <w:r>
        <w:t>has</w:t>
      </w:r>
      <w:r>
        <w:rPr>
          <w:spacing w:val="-3"/>
        </w:rPr>
        <w:t xml:space="preserve"> </w:t>
      </w:r>
      <w:r>
        <w:t>a</w:t>
      </w:r>
      <w:r>
        <w:rPr>
          <w:spacing w:val="-3"/>
        </w:rPr>
        <w:t xml:space="preserve"> </w:t>
      </w:r>
      <w:r>
        <w:t>large</w:t>
      </w:r>
      <w:r>
        <w:rPr>
          <w:spacing w:val="-5"/>
        </w:rPr>
        <w:t xml:space="preserve"> </w:t>
      </w:r>
      <w:r>
        <w:t>effect.</w:t>
      </w:r>
      <w:r>
        <w:rPr>
          <w:spacing w:val="-3"/>
        </w:rPr>
        <w:t xml:space="preserve"> </w:t>
      </w:r>
      <w:r>
        <w:t>As the entire CI represents a large effect, they would not rate down for imprecision.</w:t>
      </w:r>
    </w:p>
    <w:p w14:paraId="37F82E6C" w14:textId="77777777" w:rsidR="00D3309C" w:rsidRDefault="00000000">
      <w:pPr>
        <w:pStyle w:val="BodyText"/>
        <w:spacing w:before="160"/>
      </w:pPr>
      <w:r>
        <w:rPr>
          <w:b/>
          <w:color w:val="1F1F1E"/>
          <w:u w:val="single" w:color="1F1F1E"/>
        </w:rPr>
        <w:t>Figure</w:t>
      </w:r>
      <w:r>
        <w:rPr>
          <w:b/>
          <w:color w:val="1F1F1E"/>
          <w:spacing w:val="-4"/>
          <w:u w:val="single" w:color="1F1F1E"/>
        </w:rPr>
        <w:t xml:space="preserve"> </w:t>
      </w:r>
      <w:r>
        <w:rPr>
          <w:b/>
          <w:color w:val="1F1F1E"/>
          <w:u w:val="single" w:color="1F1F1E"/>
        </w:rPr>
        <w:t>2</w:t>
      </w:r>
      <w:r>
        <w:rPr>
          <w:color w:val="1F1F1E"/>
        </w:rPr>
        <w:t>.</w:t>
      </w:r>
      <w:r>
        <w:rPr>
          <w:color w:val="1F1F1E"/>
          <w:spacing w:val="-1"/>
        </w:rPr>
        <w:t xml:space="preserve"> </w:t>
      </w:r>
      <w:r>
        <w:rPr>
          <w:color w:val="1F1F1E"/>
        </w:rPr>
        <w:t>Effect</w:t>
      </w:r>
      <w:r>
        <w:rPr>
          <w:color w:val="1F1F1E"/>
          <w:spacing w:val="-2"/>
        </w:rPr>
        <w:t xml:space="preserve"> </w:t>
      </w:r>
      <w:r>
        <w:rPr>
          <w:color w:val="1F1F1E"/>
        </w:rPr>
        <w:t>of</w:t>
      </w:r>
      <w:r>
        <w:rPr>
          <w:color w:val="1F1F1E"/>
          <w:spacing w:val="-3"/>
        </w:rPr>
        <w:t xml:space="preserve"> </w:t>
      </w:r>
      <w:r>
        <w:rPr>
          <w:color w:val="1F1F1E"/>
        </w:rPr>
        <w:t>therapeutic</w:t>
      </w:r>
      <w:r>
        <w:rPr>
          <w:color w:val="1F1F1E"/>
          <w:spacing w:val="-1"/>
        </w:rPr>
        <w:t xml:space="preserve"> </w:t>
      </w:r>
      <w:r>
        <w:rPr>
          <w:color w:val="1F1F1E"/>
        </w:rPr>
        <w:t>hypothermia</w:t>
      </w:r>
      <w:r>
        <w:rPr>
          <w:color w:val="1F1F1E"/>
          <w:spacing w:val="-4"/>
        </w:rPr>
        <w:t xml:space="preserve"> </w:t>
      </w:r>
      <w:r>
        <w:rPr>
          <w:color w:val="1F1F1E"/>
        </w:rPr>
        <w:t>versus</w:t>
      </w:r>
      <w:r>
        <w:rPr>
          <w:color w:val="1F1F1E"/>
          <w:spacing w:val="-4"/>
        </w:rPr>
        <w:t xml:space="preserve"> </w:t>
      </w:r>
      <w:r>
        <w:rPr>
          <w:color w:val="1F1F1E"/>
        </w:rPr>
        <w:t>no</w:t>
      </w:r>
      <w:r>
        <w:rPr>
          <w:color w:val="1F1F1E"/>
          <w:spacing w:val="-3"/>
        </w:rPr>
        <w:t xml:space="preserve"> </w:t>
      </w:r>
      <w:r>
        <w:rPr>
          <w:color w:val="1F1F1E"/>
        </w:rPr>
        <w:t>therapeutic</w:t>
      </w:r>
      <w:r>
        <w:rPr>
          <w:color w:val="1F1F1E"/>
          <w:spacing w:val="-1"/>
        </w:rPr>
        <w:t xml:space="preserve"> </w:t>
      </w:r>
      <w:r>
        <w:rPr>
          <w:color w:val="1F1F1E"/>
        </w:rPr>
        <w:t>hypothermia</w:t>
      </w:r>
      <w:r>
        <w:rPr>
          <w:color w:val="1F1F1E"/>
          <w:spacing w:val="-4"/>
        </w:rPr>
        <w:t xml:space="preserve"> </w:t>
      </w:r>
      <w:r>
        <w:rPr>
          <w:color w:val="1F1F1E"/>
        </w:rPr>
        <w:t>on</w:t>
      </w:r>
      <w:r>
        <w:rPr>
          <w:color w:val="1F1F1E"/>
          <w:spacing w:val="-5"/>
        </w:rPr>
        <w:t xml:space="preserve"> </w:t>
      </w:r>
      <w:r>
        <w:rPr>
          <w:color w:val="1F1F1E"/>
        </w:rPr>
        <w:t>death</w:t>
      </w:r>
      <w:r>
        <w:rPr>
          <w:color w:val="1F1F1E"/>
          <w:spacing w:val="-4"/>
        </w:rPr>
        <w:t xml:space="preserve"> </w:t>
      </w:r>
      <w:r>
        <w:rPr>
          <w:color w:val="1F1F1E"/>
        </w:rPr>
        <w:t>or</w:t>
      </w:r>
      <w:r>
        <w:rPr>
          <w:color w:val="1F1F1E"/>
          <w:spacing w:val="-3"/>
        </w:rPr>
        <w:t xml:space="preserve"> </w:t>
      </w:r>
      <w:r>
        <w:rPr>
          <w:color w:val="1F1F1E"/>
        </w:rPr>
        <w:t xml:space="preserve">major neurodevelopmental disability in newborns with hypoxic </w:t>
      </w:r>
      <w:proofErr w:type="spellStart"/>
      <w:r>
        <w:rPr>
          <w:color w:val="1F1F1E"/>
        </w:rPr>
        <w:t>ischaemic</w:t>
      </w:r>
      <w:proofErr w:type="spellEnd"/>
      <w:r>
        <w:rPr>
          <w:color w:val="1F1F1E"/>
        </w:rPr>
        <w:t xml:space="preserve"> encephalopathy.</w:t>
      </w:r>
    </w:p>
    <w:p w14:paraId="4719B183" w14:textId="77777777" w:rsidR="00D3309C" w:rsidRDefault="00000000">
      <w:pPr>
        <w:pStyle w:val="BodyText"/>
        <w:spacing w:before="12"/>
        <w:ind w:left="0"/>
        <w:rPr>
          <w:sz w:val="17"/>
        </w:rPr>
      </w:pPr>
      <w:r>
        <w:rPr>
          <w:noProof/>
          <w:sz w:val="17"/>
        </w:rPr>
        <w:drawing>
          <wp:anchor distT="0" distB="0" distL="0" distR="0" simplePos="0" relativeHeight="487588352" behindDoc="1" locked="0" layoutInCell="1" allowOverlap="1" wp14:anchorId="13D036C7" wp14:editId="35D22E69">
            <wp:simplePos x="0" y="0"/>
            <wp:positionH relativeFrom="page">
              <wp:posOffset>721843</wp:posOffset>
            </wp:positionH>
            <wp:positionV relativeFrom="paragraph">
              <wp:posOffset>154751</wp:posOffset>
            </wp:positionV>
            <wp:extent cx="4110548" cy="2695194"/>
            <wp:effectExtent l="0" t="0" r="0" b="0"/>
            <wp:wrapTopAndBottom/>
            <wp:docPr id="2" name="Image 2" descr="C:\Users\SiceX\Documents\WeChat Files\wxid_msy3tozit0zg21\FileStorage\Temp\172094218838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SiceX\Documents\WeChat Files\wxid_msy3tozit0zg21\FileStorage\Temp\1720942188384.png"/>
                    <pic:cNvPicPr/>
                  </pic:nvPicPr>
                  <pic:blipFill>
                    <a:blip r:embed="rId6" cstate="print"/>
                    <a:stretch>
                      <a:fillRect/>
                    </a:stretch>
                  </pic:blipFill>
                  <pic:spPr>
                    <a:xfrm>
                      <a:off x="0" y="0"/>
                      <a:ext cx="4110548" cy="2695194"/>
                    </a:xfrm>
                    <a:prstGeom prst="rect">
                      <a:avLst/>
                    </a:prstGeom>
                  </pic:spPr>
                </pic:pic>
              </a:graphicData>
            </a:graphic>
          </wp:anchor>
        </w:drawing>
      </w:r>
    </w:p>
    <w:p w14:paraId="3FBBC4FC" w14:textId="77777777" w:rsidR="00D3309C" w:rsidRDefault="00D3309C">
      <w:pPr>
        <w:pStyle w:val="BodyText"/>
        <w:rPr>
          <w:sz w:val="17"/>
        </w:rPr>
        <w:sectPr w:rsidR="00D3309C">
          <w:pgSz w:w="11910" w:h="16840"/>
          <w:pgMar w:top="1380" w:right="992" w:bottom="280" w:left="992" w:header="720" w:footer="720" w:gutter="0"/>
          <w:cols w:space="720"/>
        </w:sectPr>
      </w:pPr>
    </w:p>
    <w:p w14:paraId="2180BB95" w14:textId="77777777" w:rsidR="00D3309C" w:rsidRDefault="00000000">
      <w:pPr>
        <w:spacing w:before="41"/>
        <w:ind w:left="87"/>
        <w:rPr>
          <w:b/>
        </w:rPr>
      </w:pPr>
      <w:r>
        <w:rPr>
          <w:b/>
          <w:spacing w:val="-2"/>
        </w:rPr>
        <w:lastRenderedPageBreak/>
        <w:t>References</w:t>
      </w:r>
    </w:p>
    <w:p w14:paraId="62A91A45" w14:textId="77777777" w:rsidR="00D3309C" w:rsidRDefault="00000000">
      <w:pPr>
        <w:pStyle w:val="ListParagraph"/>
        <w:numPr>
          <w:ilvl w:val="0"/>
          <w:numId w:val="1"/>
        </w:numPr>
        <w:tabs>
          <w:tab w:val="left" w:pos="330"/>
          <w:tab w:val="left" w:pos="808"/>
        </w:tabs>
        <w:spacing w:before="159"/>
        <w:ind w:hanging="721"/>
        <w:jc w:val="both"/>
      </w:pPr>
      <w:proofErr w:type="spellStart"/>
      <w:r>
        <w:t>Schünemann</w:t>
      </w:r>
      <w:proofErr w:type="spellEnd"/>
      <w:r>
        <w:t xml:space="preserve"> HJ, Neumann I, Hultcrantz M, et al. GRADE guidance 35: update on rating imprecision for assessing contextualized certainty of evidence and making decisions. </w:t>
      </w:r>
      <w:r>
        <w:rPr>
          <w:i/>
        </w:rPr>
        <w:t xml:space="preserve">J Clin Epidemiol </w:t>
      </w:r>
      <w:r>
        <w:t>2022;150:225-</w:t>
      </w:r>
    </w:p>
    <w:p w14:paraId="0C61AC6D" w14:textId="77777777" w:rsidR="00D3309C" w:rsidRDefault="00000000">
      <w:pPr>
        <w:pStyle w:val="BodyText"/>
        <w:spacing w:before="0"/>
        <w:ind w:left="808"/>
        <w:jc w:val="both"/>
      </w:pPr>
      <w:r>
        <w:t>42.</w:t>
      </w:r>
      <w:r>
        <w:rPr>
          <w:spacing w:val="-10"/>
        </w:rPr>
        <w:t xml:space="preserve"> </w:t>
      </w:r>
      <w:proofErr w:type="spellStart"/>
      <w:r>
        <w:t>doi</w:t>
      </w:r>
      <w:proofErr w:type="spellEnd"/>
      <w:r>
        <w:t>:</w:t>
      </w:r>
      <w:r>
        <w:rPr>
          <w:spacing w:val="-10"/>
        </w:rPr>
        <w:t xml:space="preserve"> </w:t>
      </w:r>
      <w:r>
        <w:t>10.1016/j.jclinepi.2022.07.015</w:t>
      </w:r>
      <w:r>
        <w:rPr>
          <w:spacing w:val="-8"/>
        </w:rPr>
        <w:t xml:space="preserve"> </w:t>
      </w:r>
      <w:r>
        <w:t>[published</w:t>
      </w:r>
      <w:r>
        <w:rPr>
          <w:spacing w:val="-8"/>
        </w:rPr>
        <w:t xml:space="preserve"> </w:t>
      </w:r>
      <w:r>
        <w:t>Online</w:t>
      </w:r>
      <w:r>
        <w:rPr>
          <w:spacing w:val="-8"/>
        </w:rPr>
        <w:t xml:space="preserve"> </w:t>
      </w:r>
      <w:r>
        <w:t>First:</w:t>
      </w:r>
      <w:r>
        <w:rPr>
          <w:spacing w:val="-9"/>
        </w:rPr>
        <w:t xml:space="preserve"> </w:t>
      </w:r>
      <w:r>
        <w:rPr>
          <w:spacing w:val="-2"/>
        </w:rPr>
        <w:t>20220805]</w:t>
      </w:r>
    </w:p>
    <w:p w14:paraId="1A207F88" w14:textId="77777777" w:rsidR="00D3309C" w:rsidRDefault="00000000">
      <w:pPr>
        <w:pStyle w:val="ListParagraph"/>
        <w:numPr>
          <w:ilvl w:val="0"/>
          <w:numId w:val="1"/>
        </w:numPr>
        <w:tabs>
          <w:tab w:val="left" w:pos="352"/>
          <w:tab w:val="left" w:pos="808"/>
        </w:tabs>
        <w:ind w:right="81" w:hanging="721"/>
        <w:jc w:val="both"/>
      </w:pPr>
      <w:r>
        <w:t xml:space="preserve">Cleveland B, Norling B, Wang H, et al. Tranexamic acid for percutaneous nephrolithotomy. </w:t>
      </w:r>
      <w:r>
        <w:rPr>
          <w:i/>
        </w:rPr>
        <w:t>Cochrane Database</w:t>
      </w:r>
      <w:r>
        <w:rPr>
          <w:i/>
          <w:spacing w:val="-6"/>
        </w:rPr>
        <w:t xml:space="preserve"> </w:t>
      </w:r>
      <w:r>
        <w:rPr>
          <w:i/>
        </w:rPr>
        <w:t>Syst</w:t>
      </w:r>
      <w:r>
        <w:rPr>
          <w:i/>
          <w:spacing w:val="-7"/>
        </w:rPr>
        <w:t xml:space="preserve"> </w:t>
      </w:r>
      <w:r>
        <w:rPr>
          <w:i/>
        </w:rPr>
        <w:t>Rev</w:t>
      </w:r>
      <w:r>
        <w:rPr>
          <w:i/>
          <w:spacing w:val="-8"/>
        </w:rPr>
        <w:t xml:space="preserve"> </w:t>
      </w:r>
      <w:r>
        <w:t>2023;10(10):Cd015122.</w:t>
      </w:r>
      <w:r>
        <w:rPr>
          <w:spacing w:val="-7"/>
        </w:rPr>
        <w:t xml:space="preserve"> </w:t>
      </w:r>
      <w:proofErr w:type="spellStart"/>
      <w:r>
        <w:t>doi</w:t>
      </w:r>
      <w:proofErr w:type="spellEnd"/>
      <w:r>
        <w:t>:</w:t>
      </w:r>
      <w:r>
        <w:rPr>
          <w:spacing w:val="-9"/>
        </w:rPr>
        <w:t xml:space="preserve"> </w:t>
      </w:r>
      <w:r>
        <w:t>10.1002/14651858.CD015122.pub2</w:t>
      </w:r>
      <w:r>
        <w:rPr>
          <w:spacing w:val="-7"/>
        </w:rPr>
        <w:t xml:space="preserve"> </w:t>
      </w:r>
      <w:r>
        <w:t>[published</w:t>
      </w:r>
      <w:r>
        <w:rPr>
          <w:spacing w:val="-8"/>
        </w:rPr>
        <w:t xml:space="preserve"> </w:t>
      </w:r>
      <w:r>
        <w:t>Online First: 20231026]</w:t>
      </w:r>
    </w:p>
    <w:p w14:paraId="6BC94524" w14:textId="77777777" w:rsidR="00D3309C" w:rsidRDefault="00000000">
      <w:pPr>
        <w:pStyle w:val="ListParagraph"/>
        <w:numPr>
          <w:ilvl w:val="0"/>
          <w:numId w:val="1"/>
        </w:numPr>
        <w:tabs>
          <w:tab w:val="left" w:pos="316"/>
          <w:tab w:val="left" w:pos="808"/>
        </w:tabs>
        <w:spacing w:before="1"/>
        <w:ind w:right="83" w:hanging="721"/>
        <w:jc w:val="both"/>
      </w:pPr>
      <w:r>
        <w:t xml:space="preserve">Jacobs SE, Berg M, Hunt R, et al. Cooling for newborns with hypoxic </w:t>
      </w:r>
      <w:proofErr w:type="spellStart"/>
      <w:r>
        <w:t>ischaemic</w:t>
      </w:r>
      <w:proofErr w:type="spellEnd"/>
      <w:r>
        <w:t xml:space="preserve"> encephalopathy. </w:t>
      </w:r>
      <w:r>
        <w:rPr>
          <w:i/>
        </w:rPr>
        <w:t xml:space="preserve">Cochrane Database Syst Rev </w:t>
      </w:r>
      <w:r>
        <w:t xml:space="preserve">2013;2013(1):Cd003311. </w:t>
      </w:r>
      <w:proofErr w:type="spellStart"/>
      <w:r>
        <w:t>doi</w:t>
      </w:r>
      <w:proofErr w:type="spellEnd"/>
      <w:r>
        <w:t>: 10.1002/14651858.CD003311.pub3 [published Online First: 20130131]</w:t>
      </w:r>
    </w:p>
    <w:sectPr w:rsidR="00D3309C">
      <w:pgSz w:w="11910" w:h="16840"/>
      <w:pgMar w:top="13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D43FD"/>
    <w:multiLevelType w:val="hybridMultilevel"/>
    <w:tmpl w:val="265AB97C"/>
    <w:lvl w:ilvl="0" w:tplc="6B12152A">
      <w:start w:val="1"/>
      <w:numFmt w:val="decimal"/>
      <w:lvlText w:val="%1."/>
      <w:lvlJc w:val="left"/>
      <w:pPr>
        <w:ind w:left="808" w:hanging="245"/>
        <w:jc w:val="left"/>
      </w:pPr>
      <w:rPr>
        <w:rFonts w:ascii="Calibri" w:eastAsia="Calibri" w:hAnsi="Calibri" w:cs="Calibri" w:hint="default"/>
        <w:b w:val="0"/>
        <w:bCs w:val="0"/>
        <w:i w:val="0"/>
        <w:iCs w:val="0"/>
        <w:spacing w:val="0"/>
        <w:w w:val="100"/>
        <w:sz w:val="22"/>
        <w:szCs w:val="22"/>
        <w:lang w:val="en-US" w:eastAsia="en-US" w:bidi="ar-SA"/>
      </w:rPr>
    </w:lvl>
    <w:lvl w:ilvl="1" w:tplc="53FEAC42">
      <w:numFmt w:val="bullet"/>
      <w:lvlText w:val="•"/>
      <w:lvlJc w:val="left"/>
      <w:pPr>
        <w:ind w:left="1712" w:hanging="245"/>
      </w:pPr>
      <w:rPr>
        <w:rFonts w:hint="default"/>
        <w:lang w:val="en-US" w:eastAsia="en-US" w:bidi="ar-SA"/>
      </w:rPr>
    </w:lvl>
    <w:lvl w:ilvl="2" w:tplc="055039CE">
      <w:numFmt w:val="bullet"/>
      <w:lvlText w:val="•"/>
      <w:lvlJc w:val="left"/>
      <w:pPr>
        <w:ind w:left="2624" w:hanging="245"/>
      </w:pPr>
      <w:rPr>
        <w:rFonts w:hint="default"/>
        <w:lang w:val="en-US" w:eastAsia="en-US" w:bidi="ar-SA"/>
      </w:rPr>
    </w:lvl>
    <w:lvl w:ilvl="3" w:tplc="11A89EC2">
      <w:numFmt w:val="bullet"/>
      <w:lvlText w:val="•"/>
      <w:lvlJc w:val="left"/>
      <w:pPr>
        <w:ind w:left="3536" w:hanging="245"/>
      </w:pPr>
      <w:rPr>
        <w:rFonts w:hint="default"/>
        <w:lang w:val="en-US" w:eastAsia="en-US" w:bidi="ar-SA"/>
      </w:rPr>
    </w:lvl>
    <w:lvl w:ilvl="4" w:tplc="E716E256">
      <w:numFmt w:val="bullet"/>
      <w:lvlText w:val="•"/>
      <w:lvlJc w:val="left"/>
      <w:pPr>
        <w:ind w:left="4448" w:hanging="245"/>
      </w:pPr>
      <w:rPr>
        <w:rFonts w:hint="default"/>
        <w:lang w:val="en-US" w:eastAsia="en-US" w:bidi="ar-SA"/>
      </w:rPr>
    </w:lvl>
    <w:lvl w:ilvl="5" w:tplc="B7C48CC6">
      <w:numFmt w:val="bullet"/>
      <w:lvlText w:val="•"/>
      <w:lvlJc w:val="left"/>
      <w:pPr>
        <w:ind w:left="5361" w:hanging="245"/>
      </w:pPr>
      <w:rPr>
        <w:rFonts w:hint="default"/>
        <w:lang w:val="en-US" w:eastAsia="en-US" w:bidi="ar-SA"/>
      </w:rPr>
    </w:lvl>
    <w:lvl w:ilvl="6" w:tplc="F326BDA2">
      <w:numFmt w:val="bullet"/>
      <w:lvlText w:val="•"/>
      <w:lvlJc w:val="left"/>
      <w:pPr>
        <w:ind w:left="6273" w:hanging="245"/>
      </w:pPr>
      <w:rPr>
        <w:rFonts w:hint="default"/>
        <w:lang w:val="en-US" w:eastAsia="en-US" w:bidi="ar-SA"/>
      </w:rPr>
    </w:lvl>
    <w:lvl w:ilvl="7" w:tplc="71842DF4">
      <w:numFmt w:val="bullet"/>
      <w:lvlText w:val="•"/>
      <w:lvlJc w:val="left"/>
      <w:pPr>
        <w:ind w:left="7185" w:hanging="245"/>
      </w:pPr>
      <w:rPr>
        <w:rFonts w:hint="default"/>
        <w:lang w:val="en-US" w:eastAsia="en-US" w:bidi="ar-SA"/>
      </w:rPr>
    </w:lvl>
    <w:lvl w:ilvl="8" w:tplc="33000C64">
      <w:numFmt w:val="bullet"/>
      <w:lvlText w:val="•"/>
      <w:lvlJc w:val="left"/>
      <w:pPr>
        <w:ind w:left="8097" w:hanging="245"/>
      </w:pPr>
      <w:rPr>
        <w:rFonts w:hint="default"/>
        <w:lang w:val="en-US" w:eastAsia="en-US" w:bidi="ar-SA"/>
      </w:rPr>
    </w:lvl>
  </w:abstractNum>
  <w:num w:numId="1" w16cid:durableId="1480809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09C"/>
    <w:rsid w:val="002B4F82"/>
    <w:rsid w:val="005A7F5A"/>
    <w:rsid w:val="007776C3"/>
    <w:rsid w:val="00C322BF"/>
    <w:rsid w:val="00C934B8"/>
    <w:rsid w:val="00CF2AD2"/>
    <w:rsid w:val="00D053AC"/>
    <w:rsid w:val="00D22565"/>
    <w:rsid w:val="00D3309C"/>
    <w:rsid w:val="00F93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F3C14"/>
  <w15:docId w15:val="{9DB18DA1-1667-46D5-8F5C-E9CE6EAFB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87"/>
    </w:pPr>
  </w:style>
  <w:style w:type="paragraph" w:styleId="ListParagraph">
    <w:name w:val="List Paragraph"/>
    <w:basedOn w:val="Normal"/>
    <w:uiPriority w:val="1"/>
    <w:qFormat/>
    <w:pPr>
      <w:ind w:left="808" w:right="80" w:hanging="72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744</Words>
  <Characters>4243</Characters>
  <Application>Microsoft Office Word</Application>
  <DocSecurity>0</DocSecurity>
  <Lines>35</Lines>
  <Paragraphs>9</Paragraphs>
  <ScaleCrop>false</ScaleCrop>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Linan Zeng</dc:creator>
  <cp:lastModifiedBy>Guyatt, Gordon</cp:lastModifiedBy>
  <cp:revision>2</cp:revision>
  <dcterms:created xsi:type="dcterms:W3CDTF">2026-05-02T13:12:00Z</dcterms:created>
  <dcterms:modified xsi:type="dcterms:W3CDTF">2026-05-02T13:12:00Z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Creator">
    <vt:lpwstr>Microsoft® Word for Microsoft 365</vt:lpwstr>
  </property>
  <property fmtid="{D5CDD505-2E9C-101B-9397-08002B2CF9AE}" pid="4" name="LastSaved">
    <vt:filetime>2026-02-22T00:00:00Z</vt:filetime>
  </property>
  <property fmtid="{D5CDD505-2E9C-101B-9397-08002B2CF9AE}" pid="5" name="Producer">
    <vt:lpwstr>Microsoft® Word for Microsoft 365</vt:lpwstr>
  </property>
</Properties>
</file>