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5CDE7" w14:textId="4318A5E4" w:rsidR="00B62B6A" w:rsidRDefault="00236107">
      <w:pPr>
        <w:pStyle w:val="Heading1"/>
      </w:pPr>
      <w:r>
        <w:t xml:space="preserve">First step in certainty assessment: </w:t>
      </w:r>
      <w:r w:rsidR="00000000">
        <w:t>Choosing</w:t>
      </w:r>
      <w:r w:rsidR="00000000">
        <w:rPr>
          <w:spacing w:val="-11"/>
        </w:rPr>
        <w:t xml:space="preserve"> </w:t>
      </w:r>
      <w:r w:rsidR="00000000">
        <w:t>between</w:t>
      </w:r>
      <w:r w:rsidR="00000000">
        <w:rPr>
          <w:spacing w:val="-9"/>
        </w:rPr>
        <w:t xml:space="preserve"> </w:t>
      </w:r>
      <w:r w:rsidR="00000000">
        <w:t>random</w:t>
      </w:r>
      <w:r w:rsidR="00000000">
        <w:rPr>
          <w:spacing w:val="-8"/>
        </w:rPr>
        <w:t xml:space="preserve"> </w:t>
      </w:r>
      <w:r w:rsidR="00000000">
        <w:t>effects</w:t>
      </w:r>
      <w:r w:rsidR="00000000">
        <w:rPr>
          <w:spacing w:val="-8"/>
        </w:rPr>
        <w:t xml:space="preserve"> </w:t>
      </w:r>
      <w:r w:rsidR="00000000">
        <w:t>and</w:t>
      </w:r>
      <w:r w:rsidR="00000000">
        <w:rPr>
          <w:spacing w:val="-11"/>
        </w:rPr>
        <w:t xml:space="preserve"> </w:t>
      </w:r>
      <w:r w:rsidR="00000000">
        <w:t>fixed</w:t>
      </w:r>
      <w:r w:rsidR="00000000">
        <w:rPr>
          <w:spacing w:val="-9"/>
        </w:rPr>
        <w:t xml:space="preserve"> </w:t>
      </w:r>
      <w:r w:rsidR="00000000">
        <w:t>effect</w:t>
      </w:r>
      <w:r w:rsidR="00000000">
        <w:rPr>
          <w:spacing w:val="-10"/>
        </w:rPr>
        <w:t xml:space="preserve"> </w:t>
      </w:r>
      <w:r w:rsidR="00000000">
        <w:rPr>
          <w:spacing w:val="-2"/>
        </w:rPr>
        <w:t>models</w:t>
      </w:r>
    </w:p>
    <w:p w14:paraId="23A8FD92" w14:textId="77777777" w:rsidR="00B62B6A" w:rsidRDefault="00000000">
      <w:pPr>
        <w:pStyle w:val="BodyText"/>
        <w:spacing w:before="159"/>
        <w:ind w:right="105"/>
      </w:pPr>
      <w:r>
        <w:t>An</w:t>
      </w:r>
      <w:r>
        <w:rPr>
          <w:spacing w:val="-8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conducting</w:t>
      </w:r>
      <w:r>
        <w:rPr>
          <w:spacing w:val="-7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reviews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whether,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analysis,</w:t>
      </w:r>
      <w:r>
        <w:rPr>
          <w:spacing w:val="-8"/>
        </w:rPr>
        <w:t xml:space="preserve"> </w:t>
      </w:r>
      <w:r>
        <w:t>to use fixed</w:t>
      </w:r>
      <w:r>
        <w:rPr>
          <w:spacing w:val="-1"/>
        </w:rPr>
        <w:t xml:space="preserve"> </w:t>
      </w:r>
      <w:r>
        <w:t>effect or random</w:t>
      </w:r>
      <w:r>
        <w:rPr>
          <w:spacing w:val="-2"/>
        </w:rPr>
        <w:t xml:space="preserve"> </w:t>
      </w:r>
      <w:r>
        <w:t>effects statistical models. Fixed effect ignores variability in results across studies.</w:t>
      </w:r>
    </w:p>
    <w:p w14:paraId="25149E09" w14:textId="77777777" w:rsidR="00B62B6A" w:rsidRDefault="00000000">
      <w:pPr>
        <w:pStyle w:val="BodyText"/>
        <w:spacing w:before="1" w:line="384" w:lineRule="auto"/>
      </w:pPr>
      <w:r>
        <w:t>Random</w:t>
      </w:r>
      <w:r>
        <w:rPr>
          <w:spacing w:val="-10"/>
        </w:rPr>
        <w:t xml:space="preserve"> </w:t>
      </w:r>
      <w:r>
        <w:t>effects</w:t>
      </w:r>
      <w:r>
        <w:rPr>
          <w:spacing w:val="-8"/>
        </w:rPr>
        <w:t xml:space="preserve"> </w:t>
      </w:r>
      <w:r>
        <w:t>considers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variability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generates</w:t>
      </w:r>
      <w:r>
        <w:rPr>
          <w:spacing w:val="-8"/>
        </w:rPr>
        <w:t xml:space="preserve"> </w:t>
      </w:r>
      <w:r>
        <w:t>wider</w:t>
      </w:r>
      <w:r>
        <w:rPr>
          <w:spacing w:val="-8"/>
        </w:rPr>
        <w:t xml:space="preserve"> </w:t>
      </w:r>
      <w:r>
        <w:t>confidence</w:t>
      </w:r>
      <w:r>
        <w:rPr>
          <w:spacing w:val="-8"/>
        </w:rPr>
        <w:t xml:space="preserve"> </w:t>
      </w:r>
      <w:r>
        <w:t>intervals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variability. Thus, the key points to know about the choice of model is the following:</w:t>
      </w:r>
    </w:p>
    <w:p w14:paraId="22FF8A80" w14:textId="77777777" w:rsidR="00B62B6A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408"/>
      </w:pPr>
      <w:r>
        <w:t>When</w:t>
      </w:r>
      <w:r>
        <w:rPr>
          <w:spacing w:val="-6"/>
        </w:rPr>
        <w:t xml:space="preserve"> </w:t>
      </w:r>
      <w:r>
        <w:t>little</w:t>
      </w:r>
      <w:r>
        <w:rPr>
          <w:spacing w:val="-6"/>
        </w:rPr>
        <w:t xml:space="preserve"> </w:t>
      </w:r>
      <w:r>
        <w:t>heterogeneity</w:t>
      </w:r>
      <w:r>
        <w:rPr>
          <w:spacing w:val="-6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t>(I</w:t>
      </w:r>
      <w:r>
        <w:rPr>
          <w:vertAlign w:val="superscript"/>
        </w:rPr>
        <w:t>2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0)</w:t>
      </w:r>
      <w:r>
        <w:rPr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models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yield very similar results.</w:t>
      </w:r>
    </w:p>
    <w:p w14:paraId="40711210" w14:textId="77777777" w:rsidR="00B62B6A" w:rsidRDefault="00000000">
      <w:pPr>
        <w:pStyle w:val="ListParagraph"/>
        <w:numPr>
          <w:ilvl w:val="0"/>
          <w:numId w:val="3"/>
        </w:numPr>
        <w:tabs>
          <w:tab w:val="left" w:pos="1080"/>
        </w:tabs>
      </w:pPr>
      <w:r>
        <w:t>With</w:t>
      </w:r>
      <w:r>
        <w:rPr>
          <w:spacing w:val="-9"/>
        </w:rPr>
        <w:t xml:space="preserve"> </w:t>
      </w:r>
      <w:r>
        <w:t>substantial</w:t>
      </w:r>
      <w:r>
        <w:rPr>
          <w:spacing w:val="-8"/>
        </w:rPr>
        <w:t xml:space="preserve"> </w:t>
      </w:r>
      <w:r>
        <w:t>heterogeneity</w:t>
      </w:r>
      <w:r>
        <w:rPr>
          <w:spacing w:val="-9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differences</w:t>
      </w:r>
      <w:r>
        <w:rPr>
          <w:spacing w:val="-8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models:</w:t>
      </w:r>
    </w:p>
    <w:p w14:paraId="4CCEC72E" w14:textId="77777777" w:rsidR="00B62B6A" w:rsidRDefault="00000000">
      <w:pPr>
        <w:pStyle w:val="ListParagraph"/>
        <w:numPr>
          <w:ilvl w:val="1"/>
          <w:numId w:val="3"/>
        </w:numPr>
        <w:tabs>
          <w:tab w:val="left" w:pos="1438"/>
        </w:tabs>
        <w:ind w:left="1438" w:hanging="358"/>
      </w:pP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wider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rPr>
          <w:spacing w:val="-2"/>
        </w:rPr>
        <w:t>models</w:t>
      </w:r>
    </w:p>
    <w:p w14:paraId="33BC019C" w14:textId="77777777" w:rsidR="00B62B6A" w:rsidRDefault="00000000">
      <w:pPr>
        <w:pStyle w:val="ListParagraph"/>
        <w:numPr>
          <w:ilvl w:val="1"/>
          <w:numId w:val="3"/>
        </w:numPr>
        <w:tabs>
          <w:tab w:val="left" w:pos="1438"/>
          <w:tab w:val="left" w:pos="1440"/>
        </w:tabs>
        <w:ind w:right="2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yield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estimate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the results in the larger studies to a greater extent than random models.</w:t>
      </w:r>
    </w:p>
    <w:p w14:paraId="4E96859A" w14:textId="77777777" w:rsidR="00B62B6A" w:rsidRDefault="00000000">
      <w:pPr>
        <w:pStyle w:val="BodyText"/>
        <w:spacing w:before="157"/>
        <w:ind w:right="105"/>
      </w:pPr>
      <w:r>
        <w:t>Statisticians</w:t>
      </w:r>
      <w:r>
        <w:rPr>
          <w:spacing w:val="-5"/>
        </w:rPr>
        <w:t xml:space="preserve"> </w:t>
      </w:r>
      <w:r>
        <w:t>disagree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merits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regarding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 xml:space="preserve">to use. An article suitable for Core GRADE users provides details about the approach </w:t>
      </w:r>
      <w:r>
        <w:rPr>
          <w:vertAlign w:val="superscript"/>
        </w:rPr>
        <w:t>1</w:t>
      </w:r>
      <w:r>
        <w:t xml:space="preserve"> and we present the key issues below.</w:t>
      </w:r>
    </w:p>
    <w:p w14:paraId="7F904D2B" w14:textId="77777777" w:rsidR="00B62B6A" w:rsidRDefault="00000000">
      <w:pPr>
        <w:pStyle w:val="BodyText"/>
        <w:spacing w:before="162"/>
      </w:pPr>
      <w:r>
        <w:t>When</w:t>
      </w:r>
      <w:r>
        <w:rPr>
          <w:spacing w:val="-11"/>
        </w:rPr>
        <w:t xml:space="preserve"> </w:t>
      </w:r>
      <w:r>
        <w:t>heterogeneity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substantial,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yield</w:t>
      </w:r>
      <w:r>
        <w:rPr>
          <w:spacing w:val="-12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results.</w:t>
      </w:r>
      <w:r>
        <w:rPr>
          <w:spacing w:val="-10"/>
        </w:rPr>
        <w:t xml:space="preserve"> </w:t>
      </w:r>
      <w:proofErr w:type="gramStart"/>
      <w:r>
        <w:t>In</w:t>
      </w:r>
      <w:r>
        <w:rPr>
          <w:spacing w:val="-12"/>
        </w:rPr>
        <w:t xml:space="preserve"> </w:t>
      </w:r>
      <w:r>
        <w:t>particular,</w:t>
      </w:r>
      <w:r>
        <w:rPr>
          <w:spacing w:val="-10"/>
        </w:rPr>
        <w:t xml:space="preserve"> </w:t>
      </w:r>
      <w:r>
        <w:t>confidence</w:t>
      </w:r>
      <w:proofErr w:type="gramEnd"/>
      <w:r>
        <w:rPr>
          <w:spacing w:val="-10"/>
        </w:rPr>
        <w:t xml:space="preserve"> </w:t>
      </w:r>
      <w:r>
        <w:t>intervals</w:t>
      </w:r>
      <w:r>
        <w:rPr>
          <w:spacing w:val="-11"/>
        </w:rPr>
        <w:t xml:space="preserve"> </w:t>
      </w:r>
      <w:r>
        <w:rPr>
          <w:spacing w:val="-4"/>
        </w:rPr>
        <w:t>will</w:t>
      </w:r>
    </w:p>
    <w:p w14:paraId="5DED5DDC" w14:textId="77777777" w:rsidR="00B62B6A" w:rsidRDefault="00000000">
      <w:pPr>
        <w:pStyle w:val="BodyText"/>
      </w:pPr>
      <w:r>
        <w:t>typically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wider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effects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gradient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studies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in fixed</w:t>
      </w:r>
      <w:r>
        <w:rPr>
          <w:spacing w:val="-1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models.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estimates in</w:t>
      </w:r>
      <w:r>
        <w:rPr>
          <w:spacing w:val="-5"/>
        </w:rPr>
        <w:t xml:space="preserve"> </w:t>
      </w:r>
      <w:r>
        <w:t>fixed</w:t>
      </w:r>
      <w:r>
        <w:rPr>
          <w:spacing w:val="-1"/>
        </w:rPr>
        <w:t xml:space="preserve"> </w:t>
      </w:r>
      <w:r>
        <w:t>effect models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closer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study results than point estimates in random effects model.</w:t>
      </w:r>
    </w:p>
    <w:p w14:paraId="7636A8D8" w14:textId="77777777" w:rsidR="00B62B6A" w:rsidRDefault="00000000">
      <w:pPr>
        <w:pStyle w:val="BodyText"/>
        <w:spacing w:before="159"/>
      </w:pPr>
      <w:r>
        <w:t>The figure below presents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hypothetical meta-analyses.</w:t>
      </w:r>
      <w:r>
        <w:rPr>
          <w:vertAlign w:val="superscript"/>
        </w:rPr>
        <w:t>1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there is</w:t>
      </w:r>
      <w:r>
        <w:rPr>
          <w:spacing w:val="-3"/>
        </w:rPr>
        <w:t xml:space="preserve"> </w:t>
      </w:r>
      <w:r>
        <w:t>very little variability and</w:t>
      </w:r>
      <w:r>
        <w:rPr>
          <w:spacing w:val="-4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and random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yield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pooled</w:t>
      </w:r>
      <w:r>
        <w:rPr>
          <w:spacing w:val="-6"/>
        </w:rPr>
        <w:t xml:space="preserve"> </w:t>
      </w:r>
      <w:r>
        <w:t>estimates.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considerable</w:t>
      </w:r>
      <w:r>
        <w:rPr>
          <w:spacing w:val="-3"/>
        </w:rPr>
        <w:t xml:space="preserve"> </w:t>
      </w:r>
      <w:r>
        <w:t>variability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model produces a considerably wider confidence interval. However, because all studies are a similar size and weight (depicted by the same width confidence interval) the point estimates from the two models are identical. In C</w:t>
      </w:r>
    </w:p>
    <w:p w14:paraId="29F86433" w14:textId="77777777" w:rsidR="00B62B6A" w:rsidRDefault="00000000">
      <w:pPr>
        <w:pStyle w:val="BodyText"/>
        <w:spacing w:before="2"/>
        <w:ind w:right="9"/>
        <w:jc w:val="both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again</w:t>
      </w:r>
      <w:r>
        <w:rPr>
          <w:spacing w:val="-6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heterogeneity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wider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Here</w:t>
      </w:r>
      <w:r>
        <w:rPr>
          <w:spacing w:val="-6"/>
        </w:rPr>
        <w:t xml:space="preserve"> </w:t>
      </w:r>
      <w:r>
        <w:t>though,</w:t>
      </w:r>
      <w:r>
        <w:rPr>
          <w:spacing w:val="-4"/>
        </w:rPr>
        <w:t xml:space="preserve"> </w:t>
      </w:r>
      <w:r>
        <w:t>the small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studies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closer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studies</w:t>
      </w:r>
      <w:r>
        <w:rPr>
          <w:spacing w:val="-7"/>
        </w:rPr>
        <w:t xml:space="preserve"> </w:t>
      </w:r>
      <w:r>
        <w:t>than the fixed.</w:t>
      </w:r>
    </w:p>
    <w:p w14:paraId="3928CA93" w14:textId="77777777" w:rsidR="00B62B6A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9473315" wp14:editId="0B7F60EF">
            <wp:simplePos x="0" y="0"/>
            <wp:positionH relativeFrom="page">
              <wp:posOffset>717550</wp:posOffset>
            </wp:positionH>
            <wp:positionV relativeFrom="paragraph">
              <wp:posOffset>132503</wp:posOffset>
            </wp:positionV>
            <wp:extent cx="4965001" cy="1678400"/>
            <wp:effectExtent l="0" t="0" r="0" b="0"/>
            <wp:wrapTopAndBottom/>
            <wp:docPr id="1" name="Image 1" descr="A diagram of a mode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model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001" cy="1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03F45" w14:textId="77777777" w:rsidR="00B62B6A" w:rsidRDefault="00B62B6A">
      <w:pPr>
        <w:pStyle w:val="BodyText"/>
        <w:spacing w:before="58"/>
      </w:pPr>
    </w:p>
    <w:p w14:paraId="57B81A0C" w14:textId="77777777" w:rsidR="00B62B6A" w:rsidRDefault="00000000">
      <w:pPr>
        <w:pStyle w:val="BodyText"/>
        <w:ind w:right="1"/>
      </w:pPr>
      <w:r>
        <w:t>The figure below presents actual meta-analysis illustrating the three situations: A with very little variability and so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pooled</w:t>
      </w:r>
      <w:r>
        <w:rPr>
          <w:spacing w:val="-6"/>
        </w:rPr>
        <w:t xml:space="preserve"> </w:t>
      </w:r>
      <w:r>
        <w:t>estimates;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variability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wider</w:t>
      </w:r>
      <w:r>
        <w:rPr>
          <w:spacing w:val="-1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but because of similar magnitude of effect in large and small studies very similar point estimates; and C with both</w:t>
      </w:r>
    </w:p>
    <w:p w14:paraId="4CCC326C" w14:textId="77777777" w:rsidR="00B62B6A" w:rsidRDefault="00000000">
      <w:pPr>
        <w:pStyle w:val="BodyText"/>
        <w:spacing w:before="1"/>
        <w:ind w:right="105"/>
      </w:pPr>
      <w:r>
        <w:t>large</w:t>
      </w:r>
      <w:r>
        <w:rPr>
          <w:spacing w:val="-7"/>
        </w:rPr>
        <w:t xml:space="preserve"> </w:t>
      </w:r>
      <w:r>
        <w:t>variability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magnitude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studies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 both pooled point estimates and width of their confidence intervals.</w:t>
      </w:r>
    </w:p>
    <w:p w14:paraId="50B740EF" w14:textId="77777777" w:rsidR="00B62B6A" w:rsidRDefault="00B62B6A">
      <w:pPr>
        <w:pStyle w:val="BodyText"/>
        <w:sectPr w:rsidR="00B62B6A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14:paraId="2142F9A7" w14:textId="77777777" w:rsidR="00B62B6A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B65C0F" wp14:editId="5EF67DDE">
            <wp:extent cx="5003292" cy="4084320"/>
            <wp:effectExtent l="0" t="0" r="0" b="0"/>
            <wp:docPr id="2" name="Image 2" descr="A screenshot of a medical repor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medical repor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292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3391" w14:textId="77777777" w:rsidR="00B62B6A" w:rsidRDefault="00000000">
      <w:pPr>
        <w:pStyle w:val="Heading1"/>
        <w:spacing w:before="227"/>
        <w:jc w:val="both"/>
      </w:pPr>
      <w:r>
        <w:t>Possible</w:t>
      </w:r>
      <w:r>
        <w:rPr>
          <w:spacing w:val="-11"/>
        </w:rPr>
        <w:t xml:space="preserve"> </w:t>
      </w:r>
      <w:r>
        <w:t>advantages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random</w:t>
      </w:r>
      <w:r>
        <w:rPr>
          <w:spacing w:val="-9"/>
        </w:rPr>
        <w:t xml:space="preserve"> </w:t>
      </w:r>
      <w:r>
        <w:t>effects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fixed</w:t>
      </w:r>
      <w:r>
        <w:rPr>
          <w:spacing w:val="-11"/>
        </w:rPr>
        <w:t xml:space="preserve"> </w:t>
      </w:r>
      <w:r>
        <w:rPr>
          <w:spacing w:val="-2"/>
        </w:rPr>
        <w:t>effect</w:t>
      </w:r>
    </w:p>
    <w:p w14:paraId="6877087B" w14:textId="77777777" w:rsidR="00B62B6A" w:rsidRDefault="00000000">
      <w:pPr>
        <w:pStyle w:val="ListParagraph"/>
        <w:numPr>
          <w:ilvl w:val="0"/>
          <w:numId w:val="2"/>
        </w:numPr>
        <w:tabs>
          <w:tab w:val="left" w:pos="166"/>
        </w:tabs>
        <w:spacing w:before="1"/>
        <w:ind w:right="317" w:firstLine="0"/>
        <w:jc w:val="both"/>
      </w:pPr>
      <w:r>
        <w:t>In</w:t>
      </w:r>
      <w:r>
        <w:rPr>
          <w:spacing w:val="-6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effects</w:t>
      </w:r>
      <w:r>
        <w:rPr>
          <w:spacing w:val="-10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differ</w:t>
      </w:r>
      <w:r>
        <w:rPr>
          <w:spacing w:val="-7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studies</w:t>
      </w:r>
      <w:r>
        <w:rPr>
          <w:spacing w:val="-8"/>
        </w:rPr>
        <w:t xml:space="preserve"> </w:t>
      </w:r>
      <w:r>
        <w:t>(fixed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tries</w:t>
      </w:r>
      <w:r>
        <w:rPr>
          <w:spacing w:val="-5"/>
        </w:rPr>
        <w:t xml:space="preserve"> </w:t>
      </w:r>
      <w:r>
        <w:t>to estimate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(fixed</w:t>
      </w:r>
      <w:r>
        <w:rPr>
          <w:spacing w:val="-5"/>
        </w:rPr>
        <w:t xml:space="preserve"> </w:t>
      </w:r>
      <w:r>
        <w:t>effects</w:t>
      </w:r>
      <w:r>
        <w:rPr>
          <w:spacing w:val="-5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tries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studies). Many find these theoretical considerations more appealing for random effects.</w:t>
      </w:r>
    </w:p>
    <w:p w14:paraId="398D4979" w14:textId="77777777" w:rsidR="00B62B6A" w:rsidRDefault="00000000">
      <w:pPr>
        <w:pStyle w:val="ListParagraph"/>
        <w:numPr>
          <w:ilvl w:val="0"/>
          <w:numId w:val="2"/>
        </w:numPr>
        <w:tabs>
          <w:tab w:val="left" w:pos="217"/>
        </w:tabs>
        <w:spacing w:before="159"/>
        <w:ind w:right="695" w:firstLine="0"/>
      </w:pPr>
      <w:r>
        <w:t>Intuitively,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variability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studies,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certain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pooled estimates of effects. Random effects reflect these uncertainties while fixed effect does not.</w:t>
      </w:r>
    </w:p>
    <w:p w14:paraId="7C488B48" w14:textId="77777777" w:rsidR="00B62B6A" w:rsidRDefault="00000000">
      <w:pPr>
        <w:pStyle w:val="Heading1"/>
        <w:spacing w:before="161"/>
      </w:pPr>
      <w:r>
        <w:t>Possible</w:t>
      </w:r>
      <w:r>
        <w:rPr>
          <w:spacing w:val="-11"/>
        </w:rPr>
        <w:t xml:space="preserve"> </w:t>
      </w:r>
      <w:r>
        <w:t>advantages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effect</w:t>
      </w:r>
      <w:r>
        <w:rPr>
          <w:spacing w:val="-11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rPr>
          <w:spacing w:val="-2"/>
        </w:rPr>
        <w:t>effects</w:t>
      </w:r>
    </w:p>
    <w:p w14:paraId="061451AE" w14:textId="77777777" w:rsidR="00B62B6A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right="47" w:firstLine="0"/>
      </w:pPr>
      <w:r>
        <w:t>The</w:t>
      </w:r>
      <w:r>
        <w:rPr>
          <w:spacing w:val="-4"/>
        </w:rPr>
        <w:t xml:space="preserve"> </w:t>
      </w:r>
      <w:r>
        <w:t>gradient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models.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tend</w:t>
      </w:r>
      <w:r>
        <w:rPr>
          <w:spacing w:val="-6"/>
        </w:rPr>
        <w:t xml:space="preserve"> </w:t>
      </w:r>
      <w:r>
        <w:t>to trust larger</w:t>
      </w:r>
      <w:r>
        <w:rPr>
          <w:spacing w:val="-1"/>
        </w:rPr>
        <w:t xml:space="preserve"> </w:t>
      </w:r>
      <w:r>
        <w:t>studies more than smaller studies, the</w:t>
      </w:r>
      <w:r>
        <w:rPr>
          <w:spacing w:val="-1"/>
        </w:rPr>
        <w:t xml:space="preserve"> </w:t>
      </w:r>
      <w:r>
        <w:t>greater weight that random</w:t>
      </w:r>
      <w:r>
        <w:rPr>
          <w:spacing w:val="-1"/>
        </w:rPr>
        <w:t xml:space="preserve"> </w:t>
      </w:r>
      <w:r>
        <w:t>gives to smaller</w:t>
      </w:r>
      <w:r>
        <w:rPr>
          <w:spacing w:val="-1"/>
        </w:rPr>
        <w:t xml:space="preserve"> </w:t>
      </w:r>
      <w:r>
        <w:t>studies might</w:t>
      </w:r>
      <w:r>
        <w:rPr>
          <w:spacing w:val="-1"/>
        </w:rPr>
        <w:t xml:space="preserve"> </w:t>
      </w:r>
      <w:r>
        <w:t>be perceived as a limitation.</w:t>
      </w:r>
    </w:p>
    <w:p w14:paraId="548E31E3" w14:textId="77777777" w:rsidR="00B62B6A" w:rsidRDefault="00000000">
      <w:pPr>
        <w:pStyle w:val="ListParagraph"/>
        <w:numPr>
          <w:ilvl w:val="0"/>
          <w:numId w:val="1"/>
        </w:numPr>
        <w:tabs>
          <w:tab w:val="left" w:pos="217"/>
        </w:tabs>
        <w:spacing w:before="159"/>
        <w:ind w:right="606" w:firstLine="0"/>
      </w:pPr>
      <w:proofErr w:type="gramStart"/>
      <w:r>
        <w:t>In</w:t>
      </w:r>
      <w:r>
        <w:rPr>
          <w:spacing w:val="-8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situations</w:t>
      </w:r>
      <w:proofErr w:type="gramEnd"/>
      <w:r>
        <w:rPr>
          <w:spacing w:val="-9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differences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studies</w:t>
      </w:r>
      <w:r>
        <w:rPr>
          <w:spacing w:val="-6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effects sometimes yields results that are not credible.</w:t>
      </w:r>
    </w:p>
    <w:p w14:paraId="6E1CBBB6" w14:textId="77777777" w:rsidR="00B62B6A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162"/>
        <w:ind w:right="231" w:firstLine="0"/>
      </w:pPr>
      <w:r>
        <w:t>Since,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appreciable</w:t>
      </w:r>
      <w:r>
        <w:rPr>
          <w:spacing w:val="-3"/>
        </w:rPr>
        <w:t xml:space="preserve"> </w:t>
      </w:r>
      <w:r>
        <w:t>heterogeneity,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effects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wider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 greater</w:t>
      </w:r>
      <w:r>
        <w:rPr>
          <w:spacing w:val="-6"/>
        </w:rPr>
        <w:t xml:space="preserve"> </w:t>
      </w:r>
      <w:r>
        <w:t>possibility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imprecision.</w:t>
      </w:r>
      <w:r>
        <w:rPr>
          <w:spacing w:val="-6"/>
        </w:rPr>
        <w:t xml:space="preserve"> </w:t>
      </w:r>
      <w:r>
        <w:t>Thus,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GRADE,</w:t>
      </w:r>
      <w:r>
        <w:rPr>
          <w:spacing w:val="-8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heterogeneity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large,</w:t>
      </w:r>
      <w:r>
        <w:rPr>
          <w:spacing w:val="-6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effects risks double-counting inconsistency in study results: one rates down for inconsistency and then again for precision given the wide confidence intervals driven by the heterogeneity of results.</w:t>
      </w:r>
    </w:p>
    <w:p w14:paraId="5F5A24AF" w14:textId="77777777" w:rsidR="00B62B6A" w:rsidRDefault="00B62B6A">
      <w:pPr>
        <w:pStyle w:val="ListParagraph"/>
        <w:sectPr w:rsidR="00B62B6A">
          <w:pgSz w:w="12240" w:h="15840"/>
          <w:pgMar w:top="1520" w:right="1080" w:bottom="280" w:left="1080" w:header="720" w:footer="720" w:gutter="0"/>
          <w:cols w:space="720"/>
        </w:sectPr>
      </w:pPr>
    </w:p>
    <w:p w14:paraId="203E3940" w14:textId="77777777" w:rsidR="00B62B6A" w:rsidRDefault="00000000">
      <w:pPr>
        <w:pStyle w:val="Heading1"/>
      </w:pPr>
      <w:r>
        <w:rPr>
          <w:spacing w:val="-2"/>
        </w:rPr>
        <w:lastRenderedPageBreak/>
        <w:t>Reference</w:t>
      </w:r>
    </w:p>
    <w:p w14:paraId="0E270067" w14:textId="77777777" w:rsidR="00B62B6A" w:rsidRDefault="00000000">
      <w:pPr>
        <w:pStyle w:val="BodyText"/>
        <w:spacing w:before="1"/>
        <w:ind w:left="720" w:hanging="721"/>
      </w:pPr>
      <w:r>
        <w:t>1.</w:t>
      </w:r>
      <w:r>
        <w:rPr>
          <w:spacing w:val="-6"/>
        </w:rPr>
        <w:t xml:space="preserve"> </w:t>
      </w:r>
      <w:r>
        <w:t>Zhai</w:t>
      </w:r>
      <w:r>
        <w:rPr>
          <w:spacing w:val="-6"/>
        </w:rPr>
        <w:t xml:space="preserve"> </w:t>
      </w:r>
      <w:r>
        <w:t>C,</w:t>
      </w:r>
      <w:r>
        <w:rPr>
          <w:spacing w:val="-6"/>
        </w:rPr>
        <w:t xml:space="preserve"> </w:t>
      </w:r>
      <w:r>
        <w:t>Guyatt</w:t>
      </w:r>
      <w:r>
        <w:rPr>
          <w:spacing w:val="-7"/>
        </w:rPr>
        <w:t xml:space="preserve"> </w:t>
      </w:r>
      <w:r>
        <w:t>G.</w:t>
      </w:r>
      <w:r>
        <w:rPr>
          <w:spacing w:val="-6"/>
        </w:rPr>
        <w:t xml:space="preserve"> </w:t>
      </w:r>
      <w:r>
        <w:t>Fixed-effect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random-effects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meta-analysis.</w:t>
      </w:r>
      <w:r>
        <w:rPr>
          <w:spacing w:val="-6"/>
        </w:rPr>
        <w:t xml:space="preserve"> </w:t>
      </w:r>
      <w:r>
        <w:rPr>
          <w:i/>
        </w:rPr>
        <w:t>Chin</w:t>
      </w:r>
      <w:r>
        <w:rPr>
          <w:i/>
          <w:spacing w:val="-7"/>
        </w:rPr>
        <w:t xml:space="preserve"> </w:t>
      </w:r>
      <w:r>
        <w:rPr>
          <w:i/>
        </w:rPr>
        <w:t>Med</w:t>
      </w:r>
      <w:r>
        <w:rPr>
          <w:i/>
          <w:spacing w:val="-6"/>
        </w:rPr>
        <w:t xml:space="preserve"> </w:t>
      </w:r>
      <w:r>
        <w:rPr>
          <w:i/>
        </w:rPr>
        <w:t>J</w:t>
      </w:r>
      <w:r>
        <w:rPr>
          <w:i/>
          <w:spacing w:val="-7"/>
        </w:rPr>
        <w:t xml:space="preserve"> </w:t>
      </w:r>
      <w:r>
        <w:rPr>
          <w:i/>
        </w:rPr>
        <w:t>(Engl)</w:t>
      </w:r>
      <w:r>
        <w:rPr>
          <w:i/>
          <w:spacing w:val="-8"/>
        </w:rPr>
        <w:t xml:space="preserve"> </w:t>
      </w:r>
      <w:r>
        <w:t xml:space="preserve">2024;137(1):1-4. </w:t>
      </w:r>
      <w:proofErr w:type="spellStart"/>
      <w:r>
        <w:t>doi</w:t>
      </w:r>
      <w:proofErr w:type="spellEnd"/>
      <w:r>
        <w:t>: 10.1097/cm9.0000000000002814 [published Online First: 20230823]</w:t>
      </w:r>
    </w:p>
    <w:sectPr w:rsidR="00B62B6A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3A34"/>
    <w:multiLevelType w:val="hybridMultilevel"/>
    <w:tmpl w:val="3FD07532"/>
    <w:lvl w:ilvl="0" w:tplc="943C4BCA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C783A76">
      <w:start w:val="1"/>
      <w:numFmt w:val="upperLetter"/>
      <w:lvlText w:val="%2)"/>
      <w:lvlJc w:val="left"/>
      <w:pPr>
        <w:ind w:left="14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7A2A07E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F2607C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A752672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16A22D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6144E872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1FCD4B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2DE201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D3B2DF4"/>
    <w:multiLevelType w:val="hybridMultilevel"/>
    <w:tmpl w:val="68E468DE"/>
    <w:lvl w:ilvl="0" w:tplc="86643A3A">
      <w:start w:val="1"/>
      <w:numFmt w:val="lowerRoman"/>
      <w:lvlText w:val="%1)"/>
      <w:lvlJc w:val="left"/>
      <w:pPr>
        <w:ind w:left="0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CFC0774"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 w:tplc="69288954">
      <w:numFmt w:val="bullet"/>
      <w:lvlText w:val="•"/>
      <w:lvlJc w:val="left"/>
      <w:pPr>
        <w:ind w:left="2016" w:hanging="168"/>
      </w:pPr>
      <w:rPr>
        <w:rFonts w:hint="default"/>
        <w:lang w:val="en-US" w:eastAsia="en-US" w:bidi="ar-SA"/>
      </w:rPr>
    </w:lvl>
    <w:lvl w:ilvl="3" w:tplc="D36A4A2C">
      <w:numFmt w:val="bullet"/>
      <w:lvlText w:val="•"/>
      <w:lvlJc w:val="left"/>
      <w:pPr>
        <w:ind w:left="3024" w:hanging="168"/>
      </w:pPr>
      <w:rPr>
        <w:rFonts w:hint="default"/>
        <w:lang w:val="en-US" w:eastAsia="en-US" w:bidi="ar-SA"/>
      </w:rPr>
    </w:lvl>
    <w:lvl w:ilvl="4" w:tplc="09520FE2">
      <w:numFmt w:val="bullet"/>
      <w:lvlText w:val="•"/>
      <w:lvlJc w:val="left"/>
      <w:pPr>
        <w:ind w:left="4032" w:hanging="168"/>
      </w:pPr>
      <w:rPr>
        <w:rFonts w:hint="default"/>
        <w:lang w:val="en-US" w:eastAsia="en-US" w:bidi="ar-SA"/>
      </w:rPr>
    </w:lvl>
    <w:lvl w:ilvl="5" w:tplc="A29CE714">
      <w:numFmt w:val="bullet"/>
      <w:lvlText w:val="•"/>
      <w:lvlJc w:val="left"/>
      <w:pPr>
        <w:ind w:left="5040" w:hanging="168"/>
      </w:pPr>
      <w:rPr>
        <w:rFonts w:hint="default"/>
        <w:lang w:val="en-US" w:eastAsia="en-US" w:bidi="ar-SA"/>
      </w:rPr>
    </w:lvl>
    <w:lvl w:ilvl="6" w:tplc="9FB448E4">
      <w:numFmt w:val="bullet"/>
      <w:lvlText w:val="•"/>
      <w:lvlJc w:val="left"/>
      <w:pPr>
        <w:ind w:left="6048" w:hanging="168"/>
      </w:pPr>
      <w:rPr>
        <w:rFonts w:hint="default"/>
        <w:lang w:val="en-US" w:eastAsia="en-US" w:bidi="ar-SA"/>
      </w:rPr>
    </w:lvl>
    <w:lvl w:ilvl="7" w:tplc="CFA69554">
      <w:numFmt w:val="bullet"/>
      <w:lvlText w:val="•"/>
      <w:lvlJc w:val="left"/>
      <w:pPr>
        <w:ind w:left="7056" w:hanging="168"/>
      </w:pPr>
      <w:rPr>
        <w:rFonts w:hint="default"/>
        <w:lang w:val="en-US" w:eastAsia="en-US" w:bidi="ar-SA"/>
      </w:rPr>
    </w:lvl>
    <w:lvl w:ilvl="8" w:tplc="66149DEC">
      <w:numFmt w:val="bullet"/>
      <w:lvlText w:val="•"/>
      <w:lvlJc w:val="left"/>
      <w:pPr>
        <w:ind w:left="806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0132581"/>
    <w:multiLevelType w:val="hybridMultilevel"/>
    <w:tmpl w:val="1EE47C4A"/>
    <w:lvl w:ilvl="0" w:tplc="91144652">
      <w:start w:val="1"/>
      <w:numFmt w:val="lowerRoman"/>
      <w:lvlText w:val="%1)"/>
      <w:lvlJc w:val="left"/>
      <w:pPr>
        <w:ind w:left="0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E8E8240">
      <w:numFmt w:val="bullet"/>
      <w:lvlText w:val="•"/>
      <w:lvlJc w:val="left"/>
      <w:pPr>
        <w:ind w:left="1008" w:hanging="168"/>
      </w:pPr>
      <w:rPr>
        <w:rFonts w:hint="default"/>
        <w:lang w:val="en-US" w:eastAsia="en-US" w:bidi="ar-SA"/>
      </w:rPr>
    </w:lvl>
    <w:lvl w:ilvl="2" w:tplc="39C6D9BE">
      <w:numFmt w:val="bullet"/>
      <w:lvlText w:val="•"/>
      <w:lvlJc w:val="left"/>
      <w:pPr>
        <w:ind w:left="2016" w:hanging="168"/>
      </w:pPr>
      <w:rPr>
        <w:rFonts w:hint="default"/>
        <w:lang w:val="en-US" w:eastAsia="en-US" w:bidi="ar-SA"/>
      </w:rPr>
    </w:lvl>
    <w:lvl w:ilvl="3" w:tplc="DD5EE832">
      <w:numFmt w:val="bullet"/>
      <w:lvlText w:val="•"/>
      <w:lvlJc w:val="left"/>
      <w:pPr>
        <w:ind w:left="3024" w:hanging="168"/>
      </w:pPr>
      <w:rPr>
        <w:rFonts w:hint="default"/>
        <w:lang w:val="en-US" w:eastAsia="en-US" w:bidi="ar-SA"/>
      </w:rPr>
    </w:lvl>
    <w:lvl w:ilvl="4" w:tplc="4EEC0590">
      <w:numFmt w:val="bullet"/>
      <w:lvlText w:val="•"/>
      <w:lvlJc w:val="left"/>
      <w:pPr>
        <w:ind w:left="4032" w:hanging="168"/>
      </w:pPr>
      <w:rPr>
        <w:rFonts w:hint="default"/>
        <w:lang w:val="en-US" w:eastAsia="en-US" w:bidi="ar-SA"/>
      </w:rPr>
    </w:lvl>
    <w:lvl w:ilvl="5" w:tplc="E4FAC602">
      <w:numFmt w:val="bullet"/>
      <w:lvlText w:val="•"/>
      <w:lvlJc w:val="left"/>
      <w:pPr>
        <w:ind w:left="5040" w:hanging="168"/>
      </w:pPr>
      <w:rPr>
        <w:rFonts w:hint="default"/>
        <w:lang w:val="en-US" w:eastAsia="en-US" w:bidi="ar-SA"/>
      </w:rPr>
    </w:lvl>
    <w:lvl w:ilvl="6" w:tplc="CDCA385E">
      <w:numFmt w:val="bullet"/>
      <w:lvlText w:val="•"/>
      <w:lvlJc w:val="left"/>
      <w:pPr>
        <w:ind w:left="6048" w:hanging="168"/>
      </w:pPr>
      <w:rPr>
        <w:rFonts w:hint="default"/>
        <w:lang w:val="en-US" w:eastAsia="en-US" w:bidi="ar-SA"/>
      </w:rPr>
    </w:lvl>
    <w:lvl w:ilvl="7" w:tplc="EE76EC58">
      <w:numFmt w:val="bullet"/>
      <w:lvlText w:val="•"/>
      <w:lvlJc w:val="left"/>
      <w:pPr>
        <w:ind w:left="7056" w:hanging="168"/>
      </w:pPr>
      <w:rPr>
        <w:rFonts w:hint="default"/>
        <w:lang w:val="en-US" w:eastAsia="en-US" w:bidi="ar-SA"/>
      </w:rPr>
    </w:lvl>
    <w:lvl w:ilvl="8" w:tplc="8AA2DD74">
      <w:numFmt w:val="bullet"/>
      <w:lvlText w:val="•"/>
      <w:lvlJc w:val="left"/>
      <w:pPr>
        <w:ind w:left="8064" w:hanging="168"/>
      </w:pPr>
      <w:rPr>
        <w:rFonts w:hint="default"/>
        <w:lang w:val="en-US" w:eastAsia="en-US" w:bidi="ar-SA"/>
      </w:rPr>
    </w:lvl>
  </w:abstractNum>
  <w:num w:numId="1" w16cid:durableId="1046225318">
    <w:abstractNumId w:val="1"/>
  </w:num>
  <w:num w:numId="2" w16cid:durableId="1887134009">
    <w:abstractNumId w:val="2"/>
  </w:num>
  <w:num w:numId="3" w16cid:durableId="186786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6A"/>
    <w:rsid w:val="00236107"/>
    <w:rsid w:val="007A10BC"/>
    <w:rsid w:val="00B62B6A"/>
    <w:rsid w:val="00BF046A"/>
    <w:rsid w:val="00C322BF"/>
    <w:rsid w:val="00C934B8"/>
    <w:rsid w:val="00D22565"/>
    <w:rsid w:val="00DA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9C96"/>
  <w15:docId w15:val="{9DB18DA1-1667-46D5-8F5C-E9CE6EAF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Guyatt, Gordon</dc:creator>
  <cp:lastModifiedBy>Guyatt, Gordon</cp:lastModifiedBy>
  <cp:revision>2</cp:revision>
  <dcterms:created xsi:type="dcterms:W3CDTF">2026-05-02T13:18:00Z</dcterms:created>
  <dcterms:modified xsi:type="dcterms:W3CDTF">2026-05-02T13:18:00Z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