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C861" w14:textId="2BAD834A" w:rsidR="00FB4E58" w:rsidRDefault="00504FF5">
      <w:pPr>
        <w:pStyle w:val="Heading1"/>
        <w:spacing w:before="41"/>
        <w:ind w:left="87" w:right="166" w:firstLine="0"/>
      </w:pPr>
      <w:r>
        <w:rPr>
          <w:color w:val="1F1F1E"/>
        </w:rPr>
        <w:t>Rating down (or not) for imprecision:</w:t>
      </w:r>
      <w:r w:rsidR="00000000">
        <w:rPr>
          <w:color w:val="1F1F1E"/>
          <w:spacing w:val="-2"/>
        </w:rPr>
        <w:t xml:space="preserve"> </w:t>
      </w:r>
      <w:r w:rsidR="00000000">
        <w:rPr>
          <w:color w:val="1F1F1E"/>
        </w:rPr>
        <w:t>Challenges</w:t>
      </w:r>
      <w:r w:rsidR="00000000">
        <w:rPr>
          <w:color w:val="1F1F1E"/>
          <w:spacing w:val="-2"/>
        </w:rPr>
        <w:t xml:space="preserve"> </w:t>
      </w:r>
      <w:r w:rsidR="00000000">
        <w:rPr>
          <w:color w:val="1F1F1E"/>
        </w:rPr>
        <w:t>and</w:t>
      </w:r>
      <w:r w:rsidR="00000000">
        <w:rPr>
          <w:color w:val="1F1F1E"/>
          <w:spacing w:val="-2"/>
        </w:rPr>
        <w:t xml:space="preserve"> </w:t>
      </w:r>
      <w:r w:rsidR="00000000">
        <w:rPr>
          <w:color w:val="1F1F1E"/>
        </w:rPr>
        <w:t>possible</w:t>
      </w:r>
      <w:r w:rsidR="00000000">
        <w:rPr>
          <w:color w:val="1F1F1E"/>
          <w:spacing w:val="-4"/>
        </w:rPr>
        <w:t xml:space="preserve"> </w:t>
      </w:r>
      <w:r w:rsidR="00000000">
        <w:rPr>
          <w:color w:val="1F1F1E"/>
        </w:rPr>
        <w:t>solution</w:t>
      </w:r>
      <w:r w:rsidR="00000000">
        <w:rPr>
          <w:color w:val="1F1F1E"/>
          <w:spacing w:val="-4"/>
        </w:rPr>
        <w:t xml:space="preserve"> </w:t>
      </w:r>
      <w:r w:rsidR="00000000">
        <w:rPr>
          <w:color w:val="1F1F1E"/>
        </w:rPr>
        <w:t>when</w:t>
      </w:r>
      <w:r w:rsidR="00000000">
        <w:rPr>
          <w:color w:val="1F1F1E"/>
          <w:spacing w:val="-2"/>
        </w:rPr>
        <w:t xml:space="preserve"> </w:t>
      </w:r>
      <w:r w:rsidR="00000000">
        <w:rPr>
          <w:color w:val="1F1F1E"/>
        </w:rPr>
        <w:t>one</w:t>
      </w:r>
      <w:r w:rsidR="00000000">
        <w:rPr>
          <w:color w:val="1F1F1E"/>
          <w:spacing w:val="-2"/>
        </w:rPr>
        <w:t xml:space="preserve"> </w:t>
      </w:r>
      <w:r w:rsidR="00000000">
        <w:rPr>
          <w:color w:val="1F1F1E"/>
        </w:rPr>
        <w:t>targets</w:t>
      </w:r>
      <w:r w:rsidR="00000000">
        <w:rPr>
          <w:color w:val="1F1F1E"/>
          <w:spacing w:val="-3"/>
        </w:rPr>
        <w:t xml:space="preserve"> </w:t>
      </w:r>
      <w:r w:rsidR="00000000">
        <w:rPr>
          <w:color w:val="1F1F1E"/>
        </w:rPr>
        <w:t>the</w:t>
      </w:r>
      <w:r w:rsidR="00000000">
        <w:rPr>
          <w:color w:val="1F1F1E"/>
          <w:spacing w:val="-2"/>
        </w:rPr>
        <w:t xml:space="preserve"> </w:t>
      </w:r>
      <w:r w:rsidR="00000000">
        <w:rPr>
          <w:color w:val="1F1F1E"/>
        </w:rPr>
        <w:t>null</w:t>
      </w:r>
      <w:r w:rsidR="00000000">
        <w:rPr>
          <w:color w:val="1F1F1E"/>
          <w:spacing w:val="-3"/>
        </w:rPr>
        <w:t xml:space="preserve"> </w:t>
      </w:r>
      <w:r w:rsidR="00000000">
        <w:rPr>
          <w:color w:val="1F1F1E"/>
        </w:rPr>
        <w:t>and</w:t>
      </w:r>
      <w:r w:rsidR="00000000">
        <w:rPr>
          <w:color w:val="1F1F1E"/>
          <w:spacing w:val="-2"/>
        </w:rPr>
        <w:t xml:space="preserve"> </w:t>
      </w:r>
      <w:r w:rsidR="00000000">
        <w:rPr>
          <w:color w:val="1F1F1E"/>
        </w:rPr>
        <w:t>the</w:t>
      </w:r>
      <w:r w:rsidR="00000000">
        <w:rPr>
          <w:color w:val="1F1F1E"/>
          <w:spacing w:val="-2"/>
        </w:rPr>
        <w:t xml:space="preserve"> </w:t>
      </w:r>
      <w:r w:rsidR="00000000">
        <w:rPr>
          <w:color w:val="1F1F1E"/>
        </w:rPr>
        <w:t>point</w:t>
      </w:r>
      <w:r w:rsidR="00000000">
        <w:rPr>
          <w:color w:val="1F1F1E"/>
          <w:spacing w:val="-2"/>
        </w:rPr>
        <w:t xml:space="preserve"> </w:t>
      </w:r>
      <w:r w:rsidR="00000000">
        <w:rPr>
          <w:color w:val="1F1F1E"/>
        </w:rPr>
        <w:t>estimate</w:t>
      </w:r>
      <w:r w:rsidR="00000000">
        <w:rPr>
          <w:color w:val="1F1F1E"/>
          <w:spacing w:val="-3"/>
        </w:rPr>
        <w:t xml:space="preserve"> </w:t>
      </w:r>
      <w:r w:rsidR="00000000">
        <w:rPr>
          <w:color w:val="1F1F1E"/>
        </w:rPr>
        <w:t>turns</w:t>
      </w:r>
      <w:r w:rsidR="00000000">
        <w:rPr>
          <w:color w:val="1F1F1E"/>
          <w:spacing w:val="-2"/>
        </w:rPr>
        <w:t xml:space="preserve"> </w:t>
      </w:r>
      <w:r w:rsidR="00000000">
        <w:rPr>
          <w:color w:val="1F1F1E"/>
        </w:rPr>
        <w:t>out to be very close to the null</w:t>
      </w:r>
    </w:p>
    <w:p w14:paraId="25A3F520" w14:textId="77777777" w:rsidR="00FB4E58" w:rsidRDefault="00000000">
      <w:pPr>
        <w:pStyle w:val="ListParagraph"/>
        <w:numPr>
          <w:ilvl w:val="0"/>
          <w:numId w:val="2"/>
        </w:numPr>
        <w:tabs>
          <w:tab w:val="left" w:pos="306"/>
        </w:tabs>
        <w:spacing w:before="159"/>
        <w:ind w:left="306" w:hanging="219"/>
        <w:rPr>
          <w:b/>
        </w:rPr>
      </w:pPr>
      <w:r>
        <w:rPr>
          <w:b/>
        </w:rPr>
        <w:t>The</w:t>
      </w:r>
      <w:r>
        <w:rPr>
          <w:b/>
          <w:spacing w:val="-6"/>
        </w:rPr>
        <w:t xml:space="preserve"> </w:t>
      </w:r>
      <w:r>
        <w:rPr>
          <w:b/>
        </w:rPr>
        <w:t>challenge</w:t>
      </w:r>
      <w:r>
        <w:rPr>
          <w:b/>
          <w:spacing w:val="-5"/>
        </w:rPr>
        <w:t xml:space="preserve"> </w:t>
      </w:r>
      <w:r>
        <w:rPr>
          <w:b/>
        </w:rPr>
        <w:t>of</w:t>
      </w:r>
      <w:r>
        <w:rPr>
          <w:b/>
          <w:spacing w:val="-4"/>
        </w:rPr>
        <w:t xml:space="preserve"> </w:t>
      </w:r>
      <w:r>
        <w:rPr>
          <w:b/>
        </w:rPr>
        <w:t>a</w:t>
      </w:r>
      <w:r>
        <w:rPr>
          <w:b/>
          <w:spacing w:val="-5"/>
        </w:rPr>
        <w:t xml:space="preserve"> </w:t>
      </w:r>
      <w:r>
        <w:rPr>
          <w:b/>
        </w:rPr>
        <w:t>point</w:t>
      </w:r>
      <w:r>
        <w:rPr>
          <w:b/>
          <w:spacing w:val="-6"/>
        </w:rPr>
        <w:t xml:space="preserve"> </w:t>
      </w:r>
      <w:r>
        <w:rPr>
          <w:b/>
        </w:rPr>
        <w:t>estimate</w:t>
      </w:r>
      <w:r>
        <w:rPr>
          <w:b/>
          <w:spacing w:val="-5"/>
        </w:rPr>
        <w:t xml:space="preserve"> </w:t>
      </w:r>
      <w:r>
        <w:rPr>
          <w:b/>
        </w:rPr>
        <w:t>near</w:t>
      </w:r>
      <w:r>
        <w:rPr>
          <w:b/>
          <w:spacing w:val="-5"/>
        </w:rPr>
        <w:t xml:space="preserve"> </w:t>
      </w:r>
      <w:r>
        <w:rPr>
          <w:b/>
        </w:rPr>
        <w:t>the</w:t>
      </w:r>
      <w:r>
        <w:rPr>
          <w:b/>
          <w:spacing w:val="-5"/>
        </w:rPr>
        <w:t xml:space="preserve"> </w:t>
      </w:r>
      <w:r>
        <w:rPr>
          <w:b/>
          <w:spacing w:val="-4"/>
        </w:rPr>
        <w:t>null</w:t>
      </w:r>
    </w:p>
    <w:p w14:paraId="1DFF95D5" w14:textId="77777777" w:rsidR="00FB4E58" w:rsidRDefault="00000000">
      <w:pPr>
        <w:pStyle w:val="BodyText"/>
        <w:ind w:right="166"/>
      </w:pPr>
      <w:r>
        <w:t>Core</w:t>
      </w:r>
      <w:r>
        <w:rPr>
          <w:spacing w:val="-4"/>
        </w:rPr>
        <w:t xml:space="preserve"> </w:t>
      </w:r>
      <w:r>
        <w:t>GRADE</w:t>
      </w:r>
      <w:r>
        <w:rPr>
          <w:spacing w:val="-3"/>
        </w:rPr>
        <w:t xml:space="preserve"> </w:t>
      </w:r>
      <w:r>
        <w:t>users</w:t>
      </w:r>
      <w:r>
        <w:rPr>
          <w:spacing w:val="-6"/>
        </w:rPr>
        <w:t xml:space="preserve"> </w:t>
      </w:r>
      <w:r>
        <w:t>who</w:t>
      </w:r>
      <w:r>
        <w:rPr>
          <w:spacing w:val="-5"/>
        </w:rPr>
        <w:t xml:space="preserve"> </w:t>
      </w:r>
      <w:r>
        <w:t>choose</w:t>
      </w:r>
      <w:r>
        <w:rPr>
          <w:spacing w:val="-5"/>
        </w:rPr>
        <w:t xml:space="preserve"> </w:t>
      </w:r>
      <w:r>
        <w:t>the</w:t>
      </w:r>
      <w:r>
        <w:rPr>
          <w:spacing w:val="-3"/>
        </w:rPr>
        <w:t xml:space="preserve"> </w:t>
      </w:r>
      <w:r>
        <w:t>null</w:t>
      </w:r>
      <w:r>
        <w:rPr>
          <w:spacing w:val="-4"/>
        </w:rPr>
        <w:t xml:space="preserve"> </w:t>
      </w:r>
      <w:r>
        <w:t>typically</w:t>
      </w:r>
      <w:r>
        <w:rPr>
          <w:spacing w:val="-5"/>
        </w:rPr>
        <w:t xml:space="preserve"> </w:t>
      </w:r>
      <w:r>
        <w:t>do</w:t>
      </w:r>
      <w:r>
        <w:rPr>
          <w:spacing w:val="-3"/>
        </w:rPr>
        <w:t xml:space="preserve"> </w:t>
      </w:r>
      <w:r>
        <w:t>so</w:t>
      </w:r>
      <w:r>
        <w:rPr>
          <w:spacing w:val="-4"/>
        </w:rPr>
        <w:t xml:space="preserve"> </w:t>
      </w:r>
      <w:r>
        <w:t>at</w:t>
      </w:r>
      <w:r>
        <w:rPr>
          <w:spacing w:val="-3"/>
        </w:rPr>
        <w:t xml:space="preserve"> </w:t>
      </w:r>
      <w:r>
        <w:t>least</w:t>
      </w:r>
      <w:r>
        <w:rPr>
          <w:spacing w:val="-5"/>
        </w:rPr>
        <w:t xml:space="preserve"> </w:t>
      </w:r>
      <w:r>
        <w:t>in</w:t>
      </w:r>
      <w:r>
        <w:rPr>
          <w:spacing w:val="-3"/>
        </w:rPr>
        <w:t xml:space="preserve"> </w:t>
      </w:r>
      <w:r>
        <w:t>part</w:t>
      </w:r>
      <w:r>
        <w:rPr>
          <w:spacing w:val="-3"/>
        </w:rPr>
        <w:t xml:space="preserve"> </w:t>
      </w:r>
      <w:r>
        <w:t>to</w:t>
      </w:r>
      <w:r>
        <w:rPr>
          <w:spacing w:val="-4"/>
        </w:rPr>
        <w:t xml:space="preserve"> </w:t>
      </w:r>
      <w:r>
        <w:t>avoid</w:t>
      </w:r>
      <w:r>
        <w:rPr>
          <w:spacing w:val="-5"/>
        </w:rPr>
        <w:t xml:space="preserve"> </w:t>
      </w:r>
      <w:r>
        <w:t>the</w:t>
      </w:r>
      <w:r>
        <w:rPr>
          <w:spacing w:val="-5"/>
        </w:rPr>
        <w:t xml:space="preserve"> </w:t>
      </w:r>
      <w:r>
        <w:t>value</w:t>
      </w:r>
      <w:r>
        <w:rPr>
          <w:spacing w:val="-3"/>
        </w:rPr>
        <w:t xml:space="preserve"> </w:t>
      </w:r>
      <w:r>
        <w:t>judgements</w:t>
      </w:r>
      <w:r>
        <w:rPr>
          <w:spacing w:val="-5"/>
        </w:rPr>
        <w:t xml:space="preserve"> </w:t>
      </w:r>
      <w:r>
        <w:t>involved in specifying an MID. When the point estimate is not close to the null, they will rate their certainty in a true underlying</w:t>
      </w:r>
      <w:r>
        <w:rPr>
          <w:spacing w:val="-4"/>
        </w:rPr>
        <w:t xml:space="preserve"> </w:t>
      </w:r>
      <w:r>
        <w:t>benefit</w:t>
      </w:r>
      <w:r>
        <w:rPr>
          <w:spacing w:val="-4"/>
        </w:rPr>
        <w:t xml:space="preserve"> </w:t>
      </w:r>
      <w:r>
        <w:t>or</w:t>
      </w:r>
      <w:r>
        <w:rPr>
          <w:spacing w:val="-2"/>
        </w:rPr>
        <w:t xml:space="preserve"> </w:t>
      </w:r>
      <w:r>
        <w:t>harm.</w:t>
      </w:r>
      <w:r>
        <w:rPr>
          <w:spacing w:val="-2"/>
        </w:rPr>
        <w:t xml:space="preserve"> </w:t>
      </w:r>
      <w:r>
        <w:t>When</w:t>
      </w:r>
      <w:r>
        <w:rPr>
          <w:spacing w:val="-2"/>
        </w:rPr>
        <w:t xml:space="preserve"> </w:t>
      </w:r>
      <w:r>
        <w:t>the</w:t>
      </w:r>
      <w:r>
        <w:rPr>
          <w:spacing w:val="-4"/>
        </w:rPr>
        <w:t xml:space="preserve"> </w:t>
      </w:r>
      <w:r>
        <w:t>point</w:t>
      </w:r>
      <w:r>
        <w:rPr>
          <w:spacing w:val="-4"/>
        </w:rPr>
        <w:t xml:space="preserve"> </w:t>
      </w:r>
      <w:r>
        <w:t>estimate</w:t>
      </w:r>
      <w:r>
        <w:rPr>
          <w:spacing w:val="-2"/>
        </w:rPr>
        <w:t xml:space="preserve"> </w:t>
      </w:r>
      <w:r>
        <w:t>is</w:t>
      </w:r>
      <w:r>
        <w:rPr>
          <w:spacing w:val="-2"/>
        </w:rPr>
        <w:t xml:space="preserve"> </w:t>
      </w:r>
      <w:r>
        <w:t>close</w:t>
      </w:r>
      <w:r>
        <w:rPr>
          <w:spacing w:val="-2"/>
        </w:rPr>
        <w:t xml:space="preserve"> </w:t>
      </w:r>
      <w:r>
        <w:t>to</w:t>
      </w:r>
      <w:r>
        <w:rPr>
          <w:spacing w:val="-1"/>
        </w:rPr>
        <w:t xml:space="preserve"> </w:t>
      </w:r>
      <w:r>
        <w:t>the</w:t>
      </w:r>
      <w:r>
        <w:rPr>
          <w:spacing w:val="-2"/>
        </w:rPr>
        <w:t xml:space="preserve"> </w:t>
      </w:r>
      <w:r>
        <w:t>null</w:t>
      </w:r>
      <w:r>
        <w:rPr>
          <w:spacing w:val="-3"/>
        </w:rPr>
        <w:t xml:space="preserve"> </w:t>
      </w:r>
      <w:r>
        <w:t>(b</w:t>
      </w:r>
      <w:r>
        <w:rPr>
          <w:spacing w:val="-3"/>
        </w:rPr>
        <w:t xml:space="preserve"> </w:t>
      </w:r>
      <w:r>
        <w:t>in</w:t>
      </w:r>
      <w:r>
        <w:rPr>
          <w:spacing w:val="-2"/>
        </w:rPr>
        <w:t xml:space="preserve"> </w:t>
      </w:r>
      <w:r>
        <w:t>Figure</w:t>
      </w:r>
      <w:r>
        <w:rPr>
          <w:spacing w:val="-2"/>
        </w:rPr>
        <w:t xml:space="preserve"> </w:t>
      </w:r>
      <w:r>
        <w:t>1),</w:t>
      </w:r>
      <w:r>
        <w:rPr>
          <w:spacing w:val="-2"/>
        </w:rPr>
        <w:t xml:space="preserve"> </w:t>
      </w:r>
      <w:r>
        <w:t>however,</w:t>
      </w:r>
      <w:r>
        <w:rPr>
          <w:spacing w:val="-2"/>
        </w:rPr>
        <w:t xml:space="preserve"> </w:t>
      </w:r>
      <w:r>
        <w:t>it</w:t>
      </w:r>
      <w:r>
        <w:rPr>
          <w:spacing w:val="-4"/>
        </w:rPr>
        <w:t xml:space="preserve"> </w:t>
      </w:r>
      <w:r>
        <w:t>becomes counterintuitive to rate certainty in a</w:t>
      </w:r>
      <w:r>
        <w:rPr>
          <w:spacing w:val="-3"/>
        </w:rPr>
        <w:t xml:space="preserve"> </w:t>
      </w:r>
      <w:r>
        <w:t>true benefit</w:t>
      </w:r>
      <w:r>
        <w:rPr>
          <w:spacing w:val="-2"/>
        </w:rPr>
        <w:t xml:space="preserve"> </w:t>
      </w:r>
      <w:r>
        <w:t>or harm. The reason</w:t>
      </w:r>
      <w:r>
        <w:rPr>
          <w:spacing w:val="-1"/>
        </w:rPr>
        <w:t xml:space="preserve"> </w:t>
      </w:r>
      <w:r>
        <w:t>is that</w:t>
      </w:r>
      <w:r>
        <w:rPr>
          <w:spacing w:val="-2"/>
        </w:rPr>
        <w:t xml:space="preserve"> </w:t>
      </w:r>
      <w:r>
        <w:t>the</w:t>
      </w:r>
      <w:r>
        <w:rPr>
          <w:spacing w:val="-2"/>
        </w:rPr>
        <w:t xml:space="preserve"> </w:t>
      </w:r>
      <w:r>
        <w:t>most likely</w:t>
      </w:r>
      <w:r>
        <w:rPr>
          <w:spacing w:val="-2"/>
        </w:rPr>
        <w:t xml:space="preserve"> </w:t>
      </w:r>
      <w:r>
        <w:t>truth</w:t>
      </w:r>
      <w:r>
        <w:rPr>
          <w:spacing w:val="-1"/>
        </w:rPr>
        <w:t xml:space="preserve"> </w:t>
      </w:r>
      <w:r>
        <w:t>is little</w:t>
      </w:r>
      <w:r>
        <w:rPr>
          <w:spacing w:val="-2"/>
        </w:rPr>
        <w:t xml:space="preserve"> </w:t>
      </w:r>
      <w:r>
        <w:t>or no effect, and it is therefore most appropriate to rate certainty in that inference.</w:t>
      </w:r>
      <w:r>
        <w:rPr>
          <w:vertAlign w:val="superscript"/>
        </w:rPr>
        <w:t>1</w:t>
      </w:r>
    </w:p>
    <w:p w14:paraId="7123D19C" w14:textId="77777777" w:rsidR="00FB4E58" w:rsidRDefault="00000000">
      <w:pPr>
        <w:pStyle w:val="BodyText"/>
        <w:spacing w:before="160"/>
        <w:ind w:right="190"/>
      </w:pPr>
      <w:r>
        <w:rPr>
          <w:b/>
          <w:u w:val="single"/>
        </w:rPr>
        <w:t>Figure</w:t>
      </w:r>
      <w:r>
        <w:rPr>
          <w:b/>
          <w:spacing w:val="-7"/>
          <w:u w:val="single"/>
        </w:rPr>
        <w:t xml:space="preserve"> </w:t>
      </w:r>
      <w:r>
        <w:rPr>
          <w:b/>
          <w:u w:val="single"/>
        </w:rPr>
        <w:t>1</w:t>
      </w:r>
      <w:r>
        <w:t>.</w:t>
      </w:r>
      <w:r>
        <w:rPr>
          <w:spacing w:val="-4"/>
        </w:rPr>
        <w:t xml:space="preserve"> </w:t>
      </w:r>
      <w:r>
        <w:t>Target</w:t>
      </w:r>
      <w:r>
        <w:rPr>
          <w:spacing w:val="-6"/>
        </w:rPr>
        <w:t xml:space="preserve"> </w:t>
      </w:r>
      <w:r>
        <w:t>of</w:t>
      </w:r>
      <w:r>
        <w:rPr>
          <w:spacing w:val="-4"/>
        </w:rPr>
        <w:t xml:space="preserve"> </w:t>
      </w:r>
      <w:r>
        <w:t>the</w:t>
      </w:r>
      <w:r>
        <w:rPr>
          <w:spacing w:val="-6"/>
        </w:rPr>
        <w:t xml:space="preserve"> </w:t>
      </w:r>
      <w:r>
        <w:t>certainty</w:t>
      </w:r>
      <w:r>
        <w:rPr>
          <w:spacing w:val="-3"/>
        </w:rPr>
        <w:t xml:space="preserve"> </w:t>
      </w:r>
      <w:r>
        <w:t>rating</w:t>
      </w:r>
      <w:r>
        <w:rPr>
          <w:spacing w:val="-5"/>
        </w:rPr>
        <w:t xml:space="preserve"> </w:t>
      </w:r>
      <w:r>
        <w:t>with</w:t>
      </w:r>
      <w:r>
        <w:rPr>
          <w:spacing w:val="-4"/>
        </w:rPr>
        <w:t xml:space="preserve"> </w:t>
      </w:r>
      <w:r>
        <w:t>respect</w:t>
      </w:r>
      <w:r>
        <w:rPr>
          <w:spacing w:val="-6"/>
        </w:rPr>
        <w:t xml:space="preserve"> </w:t>
      </w:r>
      <w:r>
        <w:t>to</w:t>
      </w:r>
      <w:r>
        <w:rPr>
          <w:spacing w:val="-7"/>
        </w:rPr>
        <w:t xml:space="preserve"> </w:t>
      </w:r>
      <w:r>
        <w:t>the</w:t>
      </w:r>
      <w:r>
        <w:rPr>
          <w:spacing w:val="-4"/>
        </w:rPr>
        <w:t xml:space="preserve"> </w:t>
      </w:r>
      <w:r>
        <w:t>null.</w:t>
      </w:r>
      <w:r>
        <w:rPr>
          <w:spacing w:val="-4"/>
        </w:rPr>
        <w:t xml:space="preserve"> </w:t>
      </w:r>
      <w:r>
        <w:t>If</w:t>
      </w:r>
      <w:r>
        <w:rPr>
          <w:spacing w:val="-4"/>
        </w:rPr>
        <w:t xml:space="preserve"> </w:t>
      </w:r>
      <w:r>
        <w:t>the</w:t>
      </w:r>
      <w:r>
        <w:rPr>
          <w:spacing w:val="-6"/>
        </w:rPr>
        <w:t xml:space="preserve"> </w:t>
      </w:r>
      <w:r>
        <w:t>point</w:t>
      </w:r>
      <w:r>
        <w:rPr>
          <w:spacing w:val="-6"/>
        </w:rPr>
        <w:t xml:space="preserve"> </w:t>
      </w:r>
      <w:r>
        <w:t>estimate</w:t>
      </w:r>
      <w:r>
        <w:rPr>
          <w:spacing w:val="-4"/>
        </w:rPr>
        <w:t xml:space="preserve"> </w:t>
      </w:r>
      <w:r>
        <w:t>falls</w:t>
      </w:r>
      <w:r>
        <w:rPr>
          <w:spacing w:val="-4"/>
        </w:rPr>
        <w:t xml:space="preserve"> </w:t>
      </w:r>
      <w:r>
        <w:t>close</w:t>
      </w:r>
      <w:r>
        <w:rPr>
          <w:spacing w:val="-4"/>
        </w:rPr>
        <w:t xml:space="preserve"> </w:t>
      </w:r>
      <w:r>
        <w:t>to</w:t>
      </w:r>
      <w:r>
        <w:rPr>
          <w:spacing w:val="-3"/>
        </w:rPr>
        <w:t xml:space="preserve"> </w:t>
      </w:r>
      <w:r>
        <w:t>the</w:t>
      </w:r>
      <w:r>
        <w:rPr>
          <w:spacing w:val="-6"/>
        </w:rPr>
        <w:t xml:space="preserve"> </w:t>
      </w:r>
      <w:r>
        <w:t>null as in situation b Core GRADE</w:t>
      </w:r>
      <w:r>
        <w:rPr>
          <w:spacing w:val="-3"/>
        </w:rPr>
        <w:t xml:space="preserve"> </w:t>
      </w:r>
      <w:r>
        <w:t>users should consider revising the target of the certainty rating from a non-zero effect</w:t>
      </w:r>
      <w:r>
        <w:rPr>
          <w:spacing w:val="-6"/>
        </w:rPr>
        <w:t xml:space="preserve"> </w:t>
      </w:r>
      <w:proofErr w:type="spellStart"/>
      <w:r>
        <w:t>to</w:t>
      </w:r>
      <w:proofErr w:type="spellEnd"/>
      <w:r>
        <w:rPr>
          <w:spacing w:val="-6"/>
        </w:rPr>
        <w:t xml:space="preserve"> </w:t>
      </w:r>
      <w:r>
        <w:t>little</w:t>
      </w:r>
      <w:r>
        <w:rPr>
          <w:spacing w:val="-4"/>
        </w:rPr>
        <w:t xml:space="preserve"> </w:t>
      </w:r>
      <w:r>
        <w:t>to</w:t>
      </w:r>
      <w:r>
        <w:rPr>
          <w:spacing w:val="-3"/>
        </w:rPr>
        <w:t xml:space="preserve"> </w:t>
      </w:r>
      <w:r>
        <w:t>no</w:t>
      </w:r>
      <w:r>
        <w:rPr>
          <w:spacing w:val="-3"/>
        </w:rPr>
        <w:t xml:space="preserve"> </w:t>
      </w:r>
      <w:r>
        <w:t>effect.</w:t>
      </w:r>
      <w:r>
        <w:rPr>
          <w:spacing w:val="-7"/>
        </w:rPr>
        <w:t xml:space="preserve"> </w:t>
      </w:r>
      <w:r>
        <w:t>If</w:t>
      </w:r>
      <w:r>
        <w:rPr>
          <w:spacing w:val="-1"/>
        </w:rPr>
        <w:t xml:space="preserve"> </w:t>
      </w:r>
      <w:r>
        <w:t>Core</w:t>
      </w:r>
      <w:r>
        <w:rPr>
          <w:spacing w:val="-3"/>
        </w:rPr>
        <w:t xml:space="preserve"> </w:t>
      </w:r>
      <w:r>
        <w:t>GRADE</w:t>
      </w:r>
      <w:r>
        <w:rPr>
          <w:spacing w:val="-4"/>
        </w:rPr>
        <w:t xml:space="preserve"> </w:t>
      </w:r>
      <w:r>
        <w:t>users</w:t>
      </w:r>
      <w:r>
        <w:rPr>
          <w:spacing w:val="-4"/>
        </w:rPr>
        <w:t xml:space="preserve"> </w:t>
      </w:r>
      <w:r>
        <w:t>are</w:t>
      </w:r>
      <w:r>
        <w:rPr>
          <w:spacing w:val="-4"/>
        </w:rPr>
        <w:t xml:space="preserve"> </w:t>
      </w:r>
      <w:r>
        <w:t>confident</w:t>
      </w:r>
      <w:r>
        <w:rPr>
          <w:spacing w:val="-4"/>
        </w:rPr>
        <w:t xml:space="preserve"> </w:t>
      </w:r>
      <w:r>
        <w:t>that</w:t>
      </w:r>
      <w:r>
        <w:rPr>
          <w:spacing w:val="-4"/>
        </w:rPr>
        <w:t xml:space="preserve"> </w:t>
      </w:r>
      <w:r>
        <w:t>the</w:t>
      </w:r>
      <w:r>
        <w:rPr>
          <w:spacing w:val="-4"/>
        </w:rPr>
        <w:t xml:space="preserve"> </w:t>
      </w:r>
      <w:r>
        <w:t>point</w:t>
      </w:r>
      <w:r>
        <w:rPr>
          <w:spacing w:val="-6"/>
        </w:rPr>
        <w:t xml:space="preserve"> </w:t>
      </w:r>
      <w:r>
        <w:t>estimate</w:t>
      </w:r>
      <w:r>
        <w:rPr>
          <w:spacing w:val="-4"/>
        </w:rPr>
        <w:t xml:space="preserve"> </w:t>
      </w:r>
      <w:r>
        <w:t>is</w:t>
      </w:r>
      <w:r>
        <w:rPr>
          <w:spacing w:val="-4"/>
        </w:rPr>
        <w:t xml:space="preserve"> </w:t>
      </w:r>
      <w:r>
        <w:t>not</w:t>
      </w:r>
      <w:r>
        <w:rPr>
          <w:spacing w:val="-6"/>
        </w:rPr>
        <w:t xml:space="preserve"> </w:t>
      </w:r>
      <w:r>
        <w:t>close</w:t>
      </w:r>
      <w:r>
        <w:rPr>
          <w:spacing w:val="-4"/>
        </w:rPr>
        <w:t xml:space="preserve"> </w:t>
      </w:r>
      <w:r>
        <w:t>to</w:t>
      </w:r>
      <w:r>
        <w:rPr>
          <w:spacing w:val="-3"/>
        </w:rPr>
        <w:t xml:space="preserve"> </w:t>
      </w:r>
      <w:r>
        <w:t>the</w:t>
      </w:r>
      <w:r>
        <w:rPr>
          <w:spacing w:val="-4"/>
        </w:rPr>
        <w:t xml:space="preserve"> </w:t>
      </w:r>
      <w:r>
        <w:t>null (i.e., larger than the MID, as in situation a), they will continue to rate certainty in a non-zero effect.</w:t>
      </w:r>
    </w:p>
    <w:p w14:paraId="062D4796" w14:textId="77777777" w:rsidR="00FB4E58" w:rsidRDefault="00000000">
      <w:pPr>
        <w:pStyle w:val="BodyText"/>
        <w:spacing w:before="54"/>
        <w:ind w:left="0"/>
        <w:rPr>
          <w:sz w:val="20"/>
        </w:rPr>
      </w:pPr>
      <w:r>
        <w:rPr>
          <w:noProof/>
          <w:sz w:val="20"/>
        </w:rPr>
        <w:drawing>
          <wp:anchor distT="0" distB="0" distL="0" distR="0" simplePos="0" relativeHeight="487587840" behindDoc="1" locked="0" layoutInCell="1" allowOverlap="1" wp14:anchorId="1F0EB4C3" wp14:editId="1239673F">
            <wp:simplePos x="0" y="0"/>
            <wp:positionH relativeFrom="page">
              <wp:posOffset>838671</wp:posOffset>
            </wp:positionH>
            <wp:positionV relativeFrom="paragraph">
              <wp:posOffset>204704</wp:posOffset>
            </wp:positionV>
            <wp:extent cx="2860493" cy="2329338"/>
            <wp:effectExtent l="0" t="0" r="0" b="0"/>
            <wp:wrapTopAndBottom/>
            <wp:docPr id="1" name="Image 1" descr="C:\Users\SiceX\Documents\WeChat Files\wxid_msy3tozit0zg21\FileStorage\Temp\171999709366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SiceX\Documents\WeChat Files\wxid_msy3tozit0zg21\FileStorage\Temp\1719997093661.png"/>
                    <pic:cNvPicPr/>
                  </pic:nvPicPr>
                  <pic:blipFill>
                    <a:blip r:embed="rId5" cstate="print"/>
                    <a:stretch>
                      <a:fillRect/>
                    </a:stretch>
                  </pic:blipFill>
                  <pic:spPr>
                    <a:xfrm>
                      <a:off x="0" y="0"/>
                      <a:ext cx="2860493" cy="2329338"/>
                    </a:xfrm>
                    <a:prstGeom prst="rect">
                      <a:avLst/>
                    </a:prstGeom>
                  </pic:spPr>
                </pic:pic>
              </a:graphicData>
            </a:graphic>
          </wp:anchor>
        </w:drawing>
      </w:r>
    </w:p>
    <w:p w14:paraId="121FE6FD" w14:textId="77777777" w:rsidR="00FB4E58" w:rsidRDefault="00000000">
      <w:pPr>
        <w:pStyle w:val="BodyText"/>
        <w:spacing w:before="211"/>
        <w:ind w:right="166"/>
      </w:pPr>
      <w:r>
        <w:t>Core</w:t>
      </w:r>
      <w:r>
        <w:rPr>
          <w:spacing w:val="-5"/>
        </w:rPr>
        <w:t xml:space="preserve"> </w:t>
      </w:r>
      <w:r>
        <w:t>GRADE</w:t>
      </w:r>
      <w:r>
        <w:rPr>
          <w:spacing w:val="-4"/>
        </w:rPr>
        <w:t xml:space="preserve"> </w:t>
      </w:r>
      <w:r>
        <w:t>users</w:t>
      </w:r>
      <w:r>
        <w:rPr>
          <w:spacing w:val="-7"/>
        </w:rPr>
        <w:t xml:space="preserve"> </w:t>
      </w:r>
      <w:r>
        <w:t>then</w:t>
      </w:r>
      <w:r>
        <w:rPr>
          <w:spacing w:val="-4"/>
        </w:rPr>
        <w:t xml:space="preserve"> </w:t>
      </w:r>
      <w:r>
        <w:t>face</w:t>
      </w:r>
      <w:r>
        <w:rPr>
          <w:spacing w:val="-4"/>
        </w:rPr>
        <w:t xml:space="preserve"> </w:t>
      </w:r>
      <w:r>
        <w:t>the</w:t>
      </w:r>
      <w:r>
        <w:rPr>
          <w:spacing w:val="-6"/>
        </w:rPr>
        <w:t xml:space="preserve"> </w:t>
      </w:r>
      <w:r>
        <w:t>challenge</w:t>
      </w:r>
      <w:r>
        <w:rPr>
          <w:spacing w:val="-6"/>
        </w:rPr>
        <w:t xml:space="preserve"> </w:t>
      </w:r>
      <w:r>
        <w:t>of</w:t>
      </w:r>
      <w:r>
        <w:rPr>
          <w:spacing w:val="-4"/>
        </w:rPr>
        <w:t xml:space="preserve"> </w:t>
      </w:r>
      <w:r>
        <w:t>deciding</w:t>
      </w:r>
      <w:r>
        <w:rPr>
          <w:spacing w:val="-7"/>
        </w:rPr>
        <w:t xml:space="preserve"> </w:t>
      </w:r>
      <w:r>
        <w:t>what</w:t>
      </w:r>
      <w:r>
        <w:rPr>
          <w:spacing w:val="-4"/>
        </w:rPr>
        <w:t xml:space="preserve"> </w:t>
      </w:r>
      <w:r>
        <w:t>they</w:t>
      </w:r>
      <w:r>
        <w:rPr>
          <w:spacing w:val="-6"/>
        </w:rPr>
        <w:t xml:space="preserve"> </w:t>
      </w:r>
      <w:r>
        <w:t>mean</w:t>
      </w:r>
      <w:r>
        <w:rPr>
          <w:spacing w:val="-4"/>
        </w:rPr>
        <w:t xml:space="preserve"> </w:t>
      </w:r>
      <w:r>
        <w:t>by</w:t>
      </w:r>
      <w:r>
        <w:rPr>
          <w:spacing w:val="-4"/>
        </w:rPr>
        <w:t xml:space="preserve"> </w:t>
      </w:r>
      <w:r>
        <w:t>“little</w:t>
      </w:r>
      <w:r>
        <w:rPr>
          <w:spacing w:val="-6"/>
        </w:rPr>
        <w:t xml:space="preserve"> </w:t>
      </w:r>
      <w:r>
        <w:t>or</w:t>
      </w:r>
      <w:r>
        <w:rPr>
          <w:spacing w:val="-4"/>
        </w:rPr>
        <w:t xml:space="preserve"> </w:t>
      </w:r>
      <w:r>
        <w:t>no</w:t>
      </w:r>
      <w:r>
        <w:rPr>
          <w:spacing w:val="-4"/>
        </w:rPr>
        <w:t xml:space="preserve"> </w:t>
      </w:r>
      <w:r>
        <w:t>effect”.</w:t>
      </w:r>
      <w:r>
        <w:rPr>
          <w:spacing w:val="-4"/>
        </w:rPr>
        <w:t xml:space="preserve"> </w:t>
      </w:r>
      <w:r>
        <w:t>The</w:t>
      </w:r>
      <w:r>
        <w:rPr>
          <w:spacing w:val="-6"/>
        </w:rPr>
        <w:t xml:space="preserve"> </w:t>
      </w:r>
      <w:r>
        <w:t>answer</w:t>
      </w:r>
      <w:r>
        <w:rPr>
          <w:spacing w:val="-4"/>
        </w:rPr>
        <w:t xml:space="preserve"> </w:t>
      </w:r>
      <w:r>
        <w:t>is “an unimportant effect” or “an effect less than the MID” (b in Figure 1). They are then in the position they were</w:t>
      </w:r>
      <w:r>
        <w:rPr>
          <w:spacing w:val="-3"/>
        </w:rPr>
        <w:t xml:space="preserve"> </w:t>
      </w:r>
      <w:r>
        <w:t>hoping</w:t>
      </w:r>
      <w:r>
        <w:rPr>
          <w:spacing w:val="-2"/>
        </w:rPr>
        <w:t xml:space="preserve"> </w:t>
      </w:r>
      <w:r>
        <w:t>to</w:t>
      </w:r>
      <w:r>
        <w:rPr>
          <w:spacing w:val="-2"/>
        </w:rPr>
        <w:t xml:space="preserve"> </w:t>
      </w:r>
      <w:r>
        <w:t>avoid:</w:t>
      </w:r>
      <w:r>
        <w:rPr>
          <w:spacing w:val="-1"/>
        </w:rPr>
        <w:t xml:space="preserve"> </w:t>
      </w:r>
      <w:r>
        <w:t>considering</w:t>
      </w:r>
      <w:r>
        <w:rPr>
          <w:spacing w:val="-2"/>
        </w:rPr>
        <w:t xml:space="preserve"> </w:t>
      </w:r>
      <w:r>
        <w:t>peoples’</w:t>
      </w:r>
      <w:r>
        <w:rPr>
          <w:spacing w:val="-1"/>
        </w:rPr>
        <w:t xml:space="preserve"> </w:t>
      </w:r>
      <w:r>
        <w:t>values</w:t>
      </w:r>
      <w:r>
        <w:rPr>
          <w:spacing w:val="-3"/>
        </w:rPr>
        <w:t xml:space="preserve"> </w:t>
      </w:r>
      <w:r>
        <w:t>and</w:t>
      </w:r>
      <w:r>
        <w:rPr>
          <w:spacing w:val="-2"/>
        </w:rPr>
        <w:t xml:space="preserve"> </w:t>
      </w:r>
      <w:r>
        <w:t>making</w:t>
      </w:r>
      <w:r>
        <w:rPr>
          <w:spacing w:val="-2"/>
        </w:rPr>
        <w:t xml:space="preserve"> </w:t>
      </w:r>
      <w:r>
        <w:t>the</w:t>
      </w:r>
      <w:r>
        <w:rPr>
          <w:spacing w:val="-1"/>
        </w:rPr>
        <w:t xml:space="preserve"> </w:t>
      </w:r>
      <w:r>
        <w:t>judgement</w:t>
      </w:r>
      <w:r>
        <w:rPr>
          <w:spacing w:val="-3"/>
        </w:rPr>
        <w:t xml:space="preserve"> </w:t>
      </w:r>
      <w:r>
        <w:t>of</w:t>
      </w:r>
      <w:r>
        <w:rPr>
          <w:spacing w:val="-3"/>
        </w:rPr>
        <w:t xml:space="preserve"> </w:t>
      </w:r>
      <w:r>
        <w:t>what</w:t>
      </w:r>
      <w:r>
        <w:rPr>
          <w:spacing w:val="-1"/>
        </w:rPr>
        <w:t xml:space="preserve"> </w:t>
      </w:r>
      <w:r>
        <w:t>their</w:t>
      </w:r>
      <w:r>
        <w:rPr>
          <w:spacing w:val="-4"/>
        </w:rPr>
        <w:t xml:space="preserve"> </w:t>
      </w:r>
      <w:r>
        <w:t>target</w:t>
      </w:r>
      <w:r>
        <w:rPr>
          <w:spacing w:val="-3"/>
        </w:rPr>
        <w:t xml:space="preserve"> </w:t>
      </w:r>
      <w:r>
        <w:t>audience would consider an MID.</w:t>
      </w:r>
    </w:p>
    <w:p w14:paraId="6CED32CD" w14:textId="77777777" w:rsidR="00FB4E58" w:rsidRDefault="00000000">
      <w:pPr>
        <w:pStyle w:val="Heading1"/>
        <w:numPr>
          <w:ilvl w:val="1"/>
          <w:numId w:val="2"/>
        </w:numPr>
        <w:tabs>
          <w:tab w:val="left" w:pos="417"/>
        </w:tabs>
        <w:spacing w:before="162"/>
        <w:ind w:left="417" w:hanging="330"/>
      </w:pPr>
      <w:r>
        <w:t>Deciding</w:t>
      </w:r>
      <w:r>
        <w:rPr>
          <w:spacing w:val="-9"/>
        </w:rPr>
        <w:t xml:space="preserve"> </w:t>
      </w:r>
      <w:r>
        <w:t>whether</w:t>
      </w:r>
      <w:r>
        <w:rPr>
          <w:spacing w:val="-8"/>
        </w:rPr>
        <w:t xml:space="preserve"> </w:t>
      </w:r>
      <w:r>
        <w:t>to</w:t>
      </w:r>
      <w:r>
        <w:rPr>
          <w:spacing w:val="-7"/>
        </w:rPr>
        <w:t xml:space="preserve"> </w:t>
      </w:r>
      <w:r>
        <w:t>rate</w:t>
      </w:r>
      <w:r>
        <w:rPr>
          <w:spacing w:val="-7"/>
        </w:rPr>
        <w:t xml:space="preserve"> </w:t>
      </w:r>
      <w:r>
        <w:t>down</w:t>
      </w:r>
      <w:r>
        <w:rPr>
          <w:spacing w:val="-7"/>
        </w:rPr>
        <w:t xml:space="preserve"> </w:t>
      </w:r>
      <w:r>
        <w:t>for</w:t>
      </w:r>
      <w:r>
        <w:rPr>
          <w:spacing w:val="-8"/>
        </w:rPr>
        <w:t xml:space="preserve"> </w:t>
      </w:r>
      <w:r>
        <w:rPr>
          <w:spacing w:val="-2"/>
        </w:rPr>
        <w:t>imprecision</w:t>
      </w:r>
    </w:p>
    <w:p w14:paraId="62C2D9D5" w14:textId="77777777" w:rsidR="00FB4E58" w:rsidRDefault="00000000">
      <w:pPr>
        <w:pStyle w:val="BodyText"/>
        <w:ind w:right="166"/>
      </w:pPr>
      <w:r>
        <w:t>Having</w:t>
      </w:r>
      <w:r>
        <w:rPr>
          <w:spacing w:val="-4"/>
        </w:rPr>
        <w:t xml:space="preserve"> </w:t>
      </w:r>
      <w:r>
        <w:t>decided</w:t>
      </w:r>
      <w:r>
        <w:rPr>
          <w:spacing w:val="-3"/>
        </w:rPr>
        <w:t xml:space="preserve"> </w:t>
      </w:r>
      <w:r>
        <w:t>they</w:t>
      </w:r>
      <w:r>
        <w:rPr>
          <w:spacing w:val="-5"/>
        </w:rPr>
        <w:t xml:space="preserve"> </w:t>
      </w:r>
      <w:r>
        <w:t>are</w:t>
      </w:r>
      <w:r>
        <w:rPr>
          <w:spacing w:val="-5"/>
        </w:rPr>
        <w:t xml:space="preserve"> </w:t>
      </w:r>
      <w:r>
        <w:t>now</w:t>
      </w:r>
      <w:r>
        <w:rPr>
          <w:spacing w:val="-2"/>
        </w:rPr>
        <w:t xml:space="preserve"> </w:t>
      </w:r>
      <w:r>
        <w:t>in</w:t>
      </w:r>
      <w:r>
        <w:rPr>
          <w:spacing w:val="-5"/>
        </w:rPr>
        <w:t xml:space="preserve"> </w:t>
      </w:r>
      <w:r>
        <w:t>the</w:t>
      </w:r>
      <w:r>
        <w:rPr>
          <w:spacing w:val="-5"/>
        </w:rPr>
        <w:t xml:space="preserve"> </w:t>
      </w:r>
      <w:r>
        <w:t>position</w:t>
      </w:r>
      <w:r>
        <w:rPr>
          <w:spacing w:val="-6"/>
        </w:rPr>
        <w:t xml:space="preserve"> </w:t>
      </w:r>
      <w:r>
        <w:t>of</w:t>
      </w:r>
      <w:r>
        <w:rPr>
          <w:spacing w:val="-3"/>
        </w:rPr>
        <w:t xml:space="preserve"> </w:t>
      </w:r>
      <w:r>
        <w:t>rating</w:t>
      </w:r>
      <w:r>
        <w:rPr>
          <w:spacing w:val="-6"/>
        </w:rPr>
        <w:t xml:space="preserve"> </w:t>
      </w:r>
      <w:r>
        <w:t>their</w:t>
      </w:r>
      <w:r>
        <w:rPr>
          <w:spacing w:val="-3"/>
        </w:rPr>
        <w:t xml:space="preserve"> </w:t>
      </w:r>
      <w:r>
        <w:t>certainty</w:t>
      </w:r>
      <w:r>
        <w:rPr>
          <w:spacing w:val="-2"/>
        </w:rPr>
        <w:t xml:space="preserve"> </w:t>
      </w:r>
      <w:r>
        <w:t>in</w:t>
      </w:r>
      <w:r>
        <w:rPr>
          <w:spacing w:val="-3"/>
        </w:rPr>
        <w:t xml:space="preserve"> </w:t>
      </w:r>
      <w:r>
        <w:t>little</w:t>
      </w:r>
      <w:r>
        <w:rPr>
          <w:spacing w:val="-5"/>
        </w:rPr>
        <w:t xml:space="preserve"> </w:t>
      </w:r>
      <w:r>
        <w:t>or</w:t>
      </w:r>
      <w:r>
        <w:rPr>
          <w:spacing w:val="-3"/>
        </w:rPr>
        <w:t xml:space="preserve"> </w:t>
      </w:r>
      <w:r>
        <w:t>no</w:t>
      </w:r>
      <w:r>
        <w:rPr>
          <w:spacing w:val="-7"/>
        </w:rPr>
        <w:t xml:space="preserve"> </w:t>
      </w:r>
      <w:r>
        <w:t>effect,</w:t>
      </w:r>
      <w:r>
        <w:rPr>
          <w:spacing w:val="-6"/>
        </w:rPr>
        <w:t xml:space="preserve"> </w:t>
      </w:r>
      <w:r>
        <w:t>it</w:t>
      </w:r>
      <w:r>
        <w:rPr>
          <w:spacing w:val="-2"/>
        </w:rPr>
        <w:t xml:space="preserve"> </w:t>
      </w:r>
      <w:r>
        <w:t>appears on</w:t>
      </w:r>
      <w:r>
        <w:rPr>
          <w:spacing w:val="-6"/>
        </w:rPr>
        <w:t xml:space="preserve"> </w:t>
      </w:r>
      <w:r>
        <w:t>the surface that they must choose a specific single value of the MID. They will then rate down certainty for</w:t>
      </w:r>
    </w:p>
    <w:p w14:paraId="682BA7DA" w14:textId="77777777" w:rsidR="00FB4E58" w:rsidRDefault="00000000">
      <w:pPr>
        <w:pStyle w:val="BodyText"/>
        <w:ind w:right="75"/>
      </w:pPr>
      <w:r>
        <w:t>imprecision</w:t>
      </w:r>
      <w:r>
        <w:rPr>
          <w:spacing w:val="-3"/>
        </w:rPr>
        <w:t xml:space="preserve"> </w:t>
      </w:r>
      <w:r>
        <w:t>if</w:t>
      </w:r>
      <w:r>
        <w:rPr>
          <w:spacing w:val="-5"/>
        </w:rPr>
        <w:t xml:space="preserve"> </w:t>
      </w:r>
      <w:r>
        <w:t>the</w:t>
      </w:r>
      <w:r>
        <w:rPr>
          <w:spacing w:val="-2"/>
        </w:rPr>
        <w:t xml:space="preserve"> </w:t>
      </w:r>
      <w:r>
        <w:t>confidence</w:t>
      </w:r>
      <w:r>
        <w:rPr>
          <w:spacing w:val="-2"/>
        </w:rPr>
        <w:t xml:space="preserve"> </w:t>
      </w:r>
      <w:r>
        <w:t>interval</w:t>
      </w:r>
      <w:r>
        <w:rPr>
          <w:spacing w:val="-5"/>
        </w:rPr>
        <w:t xml:space="preserve"> </w:t>
      </w:r>
      <w:r>
        <w:t>crosses</w:t>
      </w:r>
      <w:r>
        <w:rPr>
          <w:spacing w:val="-1"/>
        </w:rPr>
        <w:t xml:space="preserve"> </w:t>
      </w:r>
      <w:r>
        <w:t>the</w:t>
      </w:r>
      <w:r>
        <w:rPr>
          <w:spacing w:val="-2"/>
        </w:rPr>
        <w:t xml:space="preserve"> </w:t>
      </w:r>
      <w:r>
        <w:t>threshold</w:t>
      </w:r>
      <w:r>
        <w:rPr>
          <w:spacing w:val="-2"/>
        </w:rPr>
        <w:t xml:space="preserve"> </w:t>
      </w:r>
      <w:r>
        <w:t>of</w:t>
      </w:r>
      <w:r>
        <w:rPr>
          <w:spacing w:val="-5"/>
        </w:rPr>
        <w:t xml:space="preserve"> </w:t>
      </w:r>
      <w:r>
        <w:t>the</w:t>
      </w:r>
      <w:r>
        <w:rPr>
          <w:spacing w:val="-4"/>
        </w:rPr>
        <w:t xml:space="preserve"> </w:t>
      </w:r>
      <w:r>
        <w:t>MID</w:t>
      </w:r>
      <w:r>
        <w:rPr>
          <w:spacing w:val="-1"/>
        </w:rPr>
        <w:t xml:space="preserve"> </w:t>
      </w:r>
      <w:r>
        <w:t>for</w:t>
      </w:r>
      <w:r>
        <w:rPr>
          <w:spacing w:val="-5"/>
        </w:rPr>
        <w:t xml:space="preserve"> </w:t>
      </w:r>
      <w:r>
        <w:t>benefit</w:t>
      </w:r>
      <w:r>
        <w:rPr>
          <w:spacing w:val="-2"/>
        </w:rPr>
        <w:t xml:space="preserve"> </w:t>
      </w:r>
      <w:r>
        <w:t>or</w:t>
      </w:r>
      <w:r>
        <w:rPr>
          <w:spacing w:val="-5"/>
        </w:rPr>
        <w:t xml:space="preserve"> </w:t>
      </w:r>
      <w:r>
        <w:t>the</w:t>
      </w:r>
      <w:r>
        <w:rPr>
          <w:spacing w:val="-4"/>
        </w:rPr>
        <w:t xml:space="preserve"> </w:t>
      </w:r>
      <w:r>
        <w:t>MID</w:t>
      </w:r>
      <w:r>
        <w:rPr>
          <w:spacing w:val="-4"/>
        </w:rPr>
        <w:t xml:space="preserve"> </w:t>
      </w:r>
      <w:r>
        <w:t>for</w:t>
      </w:r>
      <w:r>
        <w:rPr>
          <w:spacing w:val="-5"/>
        </w:rPr>
        <w:t xml:space="preserve"> </w:t>
      </w:r>
      <w:r>
        <w:t>harm</w:t>
      </w:r>
      <w:r>
        <w:rPr>
          <w:spacing w:val="-4"/>
        </w:rPr>
        <w:t xml:space="preserve"> </w:t>
      </w:r>
      <w:r>
        <w:t>(b</w:t>
      </w:r>
      <w:r>
        <w:rPr>
          <w:spacing w:val="-5"/>
        </w:rPr>
        <w:t xml:space="preserve"> </w:t>
      </w:r>
      <w:r>
        <w:t>or</w:t>
      </w:r>
      <w:r>
        <w:rPr>
          <w:spacing w:val="-4"/>
        </w:rPr>
        <w:t xml:space="preserve"> </w:t>
      </w:r>
      <w:r>
        <w:t>c in Figure 2) or both (d in Figure 2). If the CI crosses neither threshold</w:t>
      </w:r>
      <w:r>
        <w:rPr>
          <w:spacing w:val="-1"/>
        </w:rPr>
        <w:t xml:space="preserve"> </w:t>
      </w:r>
      <w:r>
        <w:t>they will not rate down for imprecision (a in Figure 2).</w:t>
      </w:r>
    </w:p>
    <w:p w14:paraId="6DD3507A" w14:textId="77777777" w:rsidR="00FB4E58" w:rsidRDefault="00FB4E58">
      <w:pPr>
        <w:pStyle w:val="BodyText"/>
        <w:sectPr w:rsidR="00FB4E58">
          <w:type w:val="continuous"/>
          <w:pgSz w:w="11910" w:h="16840"/>
          <w:pgMar w:top="1380" w:right="992" w:bottom="280" w:left="992" w:header="720" w:footer="720" w:gutter="0"/>
          <w:cols w:space="720"/>
        </w:sectPr>
      </w:pPr>
    </w:p>
    <w:p w14:paraId="5EC342F1" w14:textId="77777777" w:rsidR="00FB4E58" w:rsidRDefault="00000000">
      <w:pPr>
        <w:pStyle w:val="BodyText"/>
        <w:spacing w:before="41"/>
        <w:ind w:right="190"/>
      </w:pPr>
      <w:r>
        <w:rPr>
          <w:b/>
          <w:u w:val="single"/>
        </w:rPr>
        <w:lastRenderedPageBreak/>
        <w:t>Figure</w:t>
      </w:r>
      <w:r>
        <w:rPr>
          <w:b/>
          <w:spacing w:val="-5"/>
          <w:u w:val="single"/>
        </w:rPr>
        <w:t xml:space="preserve"> </w:t>
      </w:r>
      <w:r>
        <w:rPr>
          <w:b/>
          <w:u w:val="single"/>
        </w:rPr>
        <w:t>2</w:t>
      </w:r>
      <w:r>
        <w:t>.</w:t>
      </w:r>
      <w:r>
        <w:rPr>
          <w:spacing w:val="-2"/>
        </w:rPr>
        <w:t xml:space="preserve"> </w:t>
      </w:r>
      <w:r>
        <w:t>Rating</w:t>
      </w:r>
      <w:r>
        <w:rPr>
          <w:spacing w:val="-5"/>
        </w:rPr>
        <w:t xml:space="preserve"> </w:t>
      </w:r>
      <w:r>
        <w:t>certainty</w:t>
      </w:r>
      <w:r>
        <w:rPr>
          <w:spacing w:val="-1"/>
        </w:rPr>
        <w:t xml:space="preserve"> </w:t>
      </w:r>
      <w:r>
        <w:t>in</w:t>
      </w:r>
      <w:r>
        <w:rPr>
          <w:spacing w:val="-6"/>
        </w:rPr>
        <w:t xml:space="preserve"> </w:t>
      </w:r>
      <w:r>
        <w:t>little</w:t>
      </w:r>
      <w:r>
        <w:rPr>
          <w:spacing w:val="-4"/>
        </w:rPr>
        <w:t xml:space="preserve"> </w:t>
      </w:r>
      <w:r>
        <w:t>or</w:t>
      </w:r>
      <w:r>
        <w:rPr>
          <w:spacing w:val="-5"/>
        </w:rPr>
        <w:t xml:space="preserve"> </w:t>
      </w:r>
      <w:r>
        <w:t>no</w:t>
      </w:r>
      <w:r>
        <w:rPr>
          <w:spacing w:val="-4"/>
        </w:rPr>
        <w:t xml:space="preserve"> </w:t>
      </w:r>
      <w:r>
        <w:t>effect.</w:t>
      </w:r>
      <w:r>
        <w:rPr>
          <w:spacing w:val="-2"/>
        </w:rPr>
        <w:t xml:space="preserve"> </w:t>
      </w:r>
      <w:r>
        <w:t>If</w:t>
      </w:r>
      <w:r>
        <w:rPr>
          <w:spacing w:val="-2"/>
        </w:rPr>
        <w:t xml:space="preserve"> </w:t>
      </w:r>
      <w:r>
        <w:t>the</w:t>
      </w:r>
      <w:r>
        <w:rPr>
          <w:spacing w:val="-2"/>
        </w:rPr>
        <w:t xml:space="preserve"> </w:t>
      </w:r>
      <w:r>
        <w:t>CI</w:t>
      </w:r>
      <w:r>
        <w:rPr>
          <w:spacing w:val="-5"/>
        </w:rPr>
        <w:t xml:space="preserve"> </w:t>
      </w:r>
      <w:r>
        <w:t>does</w:t>
      </w:r>
      <w:r>
        <w:rPr>
          <w:spacing w:val="-1"/>
        </w:rPr>
        <w:t xml:space="preserve"> </w:t>
      </w:r>
      <w:r>
        <w:t>not</w:t>
      </w:r>
      <w:r>
        <w:rPr>
          <w:spacing w:val="-4"/>
        </w:rPr>
        <w:t xml:space="preserve"> </w:t>
      </w:r>
      <w:r>
        <w:t>cross</w:t>
      </w:r>
      <w:r>
        <w:rPr>
          <w:spacing w:val="-4"/>
        </w:rPr>
        <w:t xml:space="preserve"> </w:t>
      </w:r>
      <w:r>
        <w:t>the</w:t>
      </w:r>
      <w:r>
        <w:rPr>
          <w:spacing w:val="-4"/>
        </w:rPr>
        <w:t xml:space="preserve"> </w:t>
      </w:r>
      <w:r>
        <w:t>MID</w:t>
      </w:r>
      <w:r>
        <w:rPr>
          <w:spacing w:val="-4"/>
        </w:rPr>
        <w:t xml:space="preserve"> </w:t>
      </w:r>
      <w:r>
        <w:t>(situation</w:t>
      </w:r>
      <w:r>
        <w:rPr>
          <w:spacing w:val="-3"/>
        </w:rPr>
        <w:t xml:space="preserve"> </w:t>
      </w:r>
      <w:r>
        <w:t>a), Core</w:t>
      </w:r>
      <w:r>
        <w:rPr>
          <w:spacing w:val="-1"/>
        </w:rPr>
        <w:t xml:space="preserve"> </w:t>
      </w:r>
      <w:r>
        <w:t>GRADE users will not rate down for imprecision; if crosses, they will rate down (situation b, c, d).</w:t>
      </w:r>
    </w:p>
    <w:p w14:paraId="03EC03AD" w14:textId="77777777" w:rsidR="00FB4E58" w:rsidRDefault="00000000">
      <w:pPr>
        <w:pStyle w:val="BodyText"/>
        <w:spacing w:before="6"/>
        <w:ind w:left="0"/>
        <w:rPr>
          <w:sz w:val="17"/>
        </w:rPr>
      </w:pPr>
      <w:r>
        <w:rPr>
          <w:noProof/>
          <w:sz w:val="17"/>
        </w:rPr>
        <w:drawing>
          <wp:anchor distT="0" distB="0" distL="0" distR="0" simplePos="0" relativeHeight="487588352" behindDoc="1" locked="0" layoutInCell="1" allowOverlap="1" wp14:anchorId="3F3A9D86" wp14:editId="46B9FC04">
            <wp:simplePos x="0" y="0"/>
            <wp:positionH relativeFrom="page">
              <wp:posOffset>851071</wp:posOffset>
            </wp:positionH>
            <wp:positionV relativeFrom="paragraph">
              <wp:posOffset>150893</wp:posOffset>
            </wp:positionV>
            <wp:extent cx="3070264" cy="2322195"/>
            <wp:effectExtent l="0" t="0" r="0" b="0"/>
            <wp:wrapTopAndBottom/>
            <wp:docPr id="2" name="Image 2" descr="C:\Users\SiceX\Documents\WeChat Files\wxid_msy3tozit0zg21\FileStorage\Temp\171999712604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SiceX\Documents\WeChat Files\wxid_msy3tozit0zg21\FileStorage\Temp\1719997126041.png"/>
                    <pic:cNvPicPr/>
                  </pic:nvPicPr>
                  <pic:blipFill>
                    <a:blip r:embed="rId6" cstate="print"/>
                    <a:stretch>
                      <a:fillRect/>
                    </a:stretch>
                  </pic:blipFill>
                  <pic:spPr>
                    <a:xfrm>
                      <a:off x="0" y="0"/>
                      <a:ext cx="3070264" cy="2322195"/>
                    </a:xfrm>
                    <a:prstGeom prst="rect">
                      <a:avLst/>
                    </a:prstGeom>
                  </pic:spPr>
                </pic:pic>
              </a:graphicData>
            </a:graphic>
          </wp:anchor>
        </w:drawing>
      </w:r>
    </w:p>
    <w:p w14:paraId="1055BB73" w14:textId="77777777" w:rsidR="00FB4E58" w:rsidRDefault="00000000">
      <w:pPr>
        <w:pStyle w:val="BodyText"/>
        <w:spacing w:before="105"/>
        <w:ind w:right="75"/>
      </w:pPr>
      <w:r>
        <w:t>It</w:t>
      </w:r>
      <w:r>
        <w:rPr>
          <w:spacing w:val="-4"/>
        </w:rPr>
        <w:t xml:space="preserve"> </w:t>
      </w:r>
      <w:r>
        <w:t>turns</w:t>
      </w:r>
      <w:r>
        <w:rPr>
          <w:spacing w:val="-6"/>
        </w:rPr>
        <w:t xml:space="preserve"> </w:t>
      </w:r>
      <w:r>
        <w:t>out,</w:t>
      </w:r>
      <w:r>
        <w:rPr>
          <w:spacing w:val="-4"/>
        </w:rPr>
        <w:t xml:space="preserve"> </w:t>
      </w:r>
      <w:r>
        <w:t>however,</w:t>
      </w:r>
      <w:r>
        <w:rPr>
          <w:spacing w:val="-6"/>
        </w:rPr>
        <w:t xml:space="preserve"> </w:t>
      </w:r>
      <w:r>
        <w:t>that</w:t>
      </w:r>
      <w:r>
        <w:rPr>
          <w:spacing w:val="-5"/>
        </w:rPr>
        <w:t xml:space="preserve"> </w:t>
      </w:r>
      <w:r>
        <w:t>Core</w:t>
      </w:r>
      <w:r>
        <w:rPr>
          <w:spacing w:val="-5"/>
        </w:rPr>
        <w:t xml:space="preserve"> </w:t>
      </w:r>
      <w:r>
        <w:t>GRADE</w:t>
      </w:r>
      <w:r>
        <w:rPr>
          <w:spacing w:val="-4"/>
        </w:rPr>
        <w:t xml:space="preserve"> </w:t>
      </w:r>
      <w:r>
        <w:t>users</w:t>
      </w:r>
      <w:r>
        <w:rPr>
          <w:spacing w:val="-7"/>
        </w:rPr>
        <w:t xml:space="preserve"> </w:t>
      </w:r>
      <w:r>
        <w:t>choosing</w:t>
      </w:r>
      <w:r>
        <w:rPr>
          <w:spacing w:val="-5"/>
        </w:rPr>
        <w:t xml:space="preserve"> </w:t>
      </w:r>
      <w:r>
        <w:t>the</w:t>
      </w:r>
      <w:r>
        <w:rPr>
          <w:spacing w:val="-4"/>
        </w:rPr>
        <w:t xml:space="preserve"> </w:t>
      </w:r>
      <w:r>
        <w:t>null</w:t>
      </w:r>
      <w:r>
        <w:rPr>
          <w:spacing w:val="-5"/>
        </w:rPr>
        <w:t xml:space="preserve"> </w:t>
      </w:r>
      <w:r>
        <w:t>as</w:t>
      </w:r>
      <w:r>
        <w:rPr>
          <w:spacing w:val="-6"/>
        </w:rPr>
        <w:t xml:space="preserve"> </w:t>
      </w:r>
      <w:r>
        <w:t>their</w:t>
      </w:r>
      <w:r>
        <w:rPr>
          <w:spacing w:val="-4"/>
        </w:rPr>
        <w:t xml:space="preserve"> </w:t>
      </w:r>
      <w:r>
        <w:t>threshold</w:t>
      </w:r>
      <w:r>
        <w:rPr>
          <w:spacing w:val="-5"/>
        </w:rPr>
        <w:t xml:space="preserve"> </w:t>
      </w:r>
      <w:r>
        <w:t>may</w:t>
      </w:r>
      <w:r>
        <w:rPr>
          <w:spacing w:val="-4"/>
        </w:rPr>
        <w:t xml:space="preserve"> </w:t>
      </w:r>
      <w:r>
        <w:t>avoid</w:t>
      </w:r>
      <w:r>
        <w:rPr>
          <w:spacing w:val="-6"/>
        </w:rPr>
        <w:t xml:space="preserve"> </w:t>
      </w:r>
      <w:r>
        <w:t>having</w:t>
      </w:r>
      <w:r>
        <w:rPr>
          <w:spacing w:val="-5"/>
        </w:rPr>
        <w:t xml:space="preserve"> </w:t>
      </w:r>
      <w:r>
        <w:t>to</w:t>
      </w:r>
      <w:r>
        <w:rPr>
          <w:spacing w:val="-5"/>
        </w:rPr>
        <w:t xml:space="preserve"> </w:t>
      </w:r>
      <w:r>
        <w:t xml:space="preserve">choose a specific MID. In doing so, they avoid the most challenging of the value judgements they were hoping to </w:t>
      </w:r>
      <w:r>
        <w:rPr>
          <w:spacing w:val="-2"/>
        </w:rPr>
        <w:t>forego.</w:t>
      </w:r>
    </w:p>
    <w:p w14:paraId="4404D5B6" w14:textId="77777777" w:rsidR="00FB4E58" w:rsidRDefault="00000000">
      <w:pPr>
        <w:pStyle w:val="Heading1"/>
        <w:numPr>
          <w:ilvl w:val="0"/>
          <w:numId w:val="2"/>
        </w:numPr>
        <w:tabs>
          <w:tab w:val="left" w:pos="306"/>
        </w:tabs>
        <w:spacing w:before="161"/>
        <w:ind w:left="306" w:hanging="219"/>
      </w:pPr>
      <w:r>
        <w:t>Ameliorating</w:t>
      </w:r>
      <w:r>
        <w:rPr>
          <w:spacing w:val="-7"/>
        </w:rPr>
        <w:t xml:space="preserve"> </w:t>
      </w:r>
      <w:r>
        <w:t>the</w:t>
      </w:r>
      <w:r>
        <w:rPr>
          <w:spacing w:val="-5"/>
        </w:rPr>
        <w:t xml:space="preserve"> </w:t>
      </w:r>
      <w:r>
        <w:t>challenge</w:t>
      </w:r>
      <w:r>
        <w:rPr>
          <w:spacing w:val="-8"/>
        </w:rPr>
        <w:t xml:space="preserve"> </w:t>
      </w:r>
      <w:r>
        <w:t>of</w:t>
      </w:r>
      <w:r>
        <w:rPr>
          <w:spacing w:val="-7"/>
        </w:rPr>
        <w:t xml:space="preserve"> </w:t>
      </w:r>
      <w:r>
        <w:t>choosing</w:t>
      </w:r>
      <w:r>
        <w:rPr>
          <w:spacing w:val="-7"/>
        </w:rPr>
        <w:t xml:space="preserve"> </w:t>
      </w:r>
      <w:r>
        <w:t>an</w:t>
      </w:r>
      <w:r>
        <w:rPr>
          <w:spacing w:val="-8"/>
        </w:rPr>
        <w:t xml:space="preserve"> </w:t>
      </w:r>
      <w:r>
        <w:rPr>
          <w:spacing w:val="-5"/>
        </w:rPr>
        <w:t>MID</w:t>
      </w:r>
    </w:p>
    <w:p w14:paraId="08878408" w14:textId="77777777" w:rsidR="00FB4E58" w:rsidRDefault="00000000">
      <w:pPr>
        <w:pStyle w:val="BodyText"/>
        <w:spacing w:before="1"/>
        <w:ind w:right="166"/>
      </w:pPr>
      <w:r>
        <w:t>Judgments</w:t>
      </w:r>
      <w:r>
        <w:rPr>
          <w:spacing w:val="-3"/>
        </w:rPr>
        <w:t xml:space="preserve"> </w:t>
      </w:r>
      <w:r>
        <w:t>regarding</w:t>
      </w:r>
      <w:r>
        <w:rPr>
          <w:spacing w:val="-5"/>
        </w:rPr>
        <w:t xml:space="preserve"> </w:t>
      </w:r>
      <w:r>
        <w:t>the</w:t>
      </w:r>
      <w:r>
        <w:rPr>
          <w:spacing w:val="-6"/>
        </w:rPr>
        <w:t xml:space="preserve"> </w:t>
      </w:r>
      <w:r>
        <w:t>MID</w:t>
      </w:r>
      <w:r>
        <w:rPr>
          <w:spacing w:val="-3"/>
        </w:rPr>
        <w:t xml:space="preserve"> </w:t>
      </w:r>
      <w:r>
        <w:t>will</w:t>
      </w:r>
      <w:r>
        <w:rPr>
          <w:spacing w:val="-4"/>
        </w:rPr>
        <w:t xml:space="preserve"> </w:t>
      </w:r>
      <w:r>
        <w:t>be</w:t>
      </w:r>
      <w:r>
        <w:rPr>
          <w:spacing w:val="-4"/>
        </w:rPr>
        <w:t xml:space="preserve"> </w:t>
      </w:r>
      <w:r>
        <w:t>less</w:t>
      </w:r>
      <w:r>
        <w:rPr>
          <w:spacing w:val="-4"/>
        </w:rPr>
        <w:t xml:space="preserve"> </w:t>
      </w:r>
      <w:r>
        <w:t>onerous</w:t>
      </w:r>
      <w:r>
        <w:rPr>
          <w:spacing w:val="-4"/>
        </w:rPr>
        <w:t xml:space="preserve"> </w:t>
      </w:r>
      <w:r>
        <w:t>for</w:t>
      </w:r>
      <w:r>
        <w:rPr>
          <w:spacing w:val="-3"/>
        </w:rPr>
        <w:t xml:space="preserve"> </w:t>
      </w:r>
      <w:r>
        <w:t>Core</w:t>
      </w:r>
      <w:r>
        <w:rPr>
          <w:spacing w:val="-5"/>
        </w:rPr>
        <w:t xml:space="preserve"> </w:t>
      </w:r>
      <w:r>
        <w:t>GRADE</w:t>
      </w:r>
      <w:r>
        <w:rPr>
          <w:spacing w:val="-4"/>
        </w:rPr>
        <w:t xml:space="preserve"> </w:t>
      </w:r>
      <w:r>
        <w:t>users</w:t>
      </w:r>
      <w:r>
        <w:rPr>
          <w:spacing w:val="-7"/>
        </w:rPr>
        <w:t xml:space="preserve"> </w:t>
      </w:r>
      <w:r>
        <w:t>if</w:t>
      </w:r>
      <w:r>
        <w:rPr>
          <w:spacing w:val="-4"/>
        </w:rPr>
        <w:t xml:space="preserve"> </w:t>
      </w:r>
      <w:r>
        <w:t>they</w:t>
      </w:r>
      <w:r>
        <w:rPr>
          <w:spacing w:val="-6"/>
        </w:rPr>
        <w:t xml:space="preserve"> </w:t>
      </w:r>
      <w:r>
        <w:t>are</w:t>
      </w:r>
      <w:r>
        <w:rPr>
          <w:spacing w:val="-4"/>
        </w:rPr>
        <w:t xml:space="preserve"> </w:t>
      </w:r>
      <w:r>
        <w:t>required</w:t>
      </w:r>
      <w:r>
        <w:rPr>
          <w:spacing w:val="-7"/>
        </w:rPr>
        <w:t xml:space="preserve"> </w:t>
      </w:r>
      <w:r>
        <w:t>only</w:t>
      </w:r>
      <w:r>
        <w:rPr>
          <w:spacing w:val="-4"/>
        </w:rPr>
        <w:t xml:space="preserve"> </w:t>
      </w:r>
      <w:r>
        <w:t>to</w:t>
      </w:r>
      <w:r>
        <w:rPr>
          <w:spacing w:val="-3"/>
        </w:rPr>
        <w:t xml:space="preserve"> </w:t>
      </w:r>
      <w:r>
        <w:t>consider a range in which the MID might lie rather than a specific MID. The following discussion demonstrates how</w:t>
      </w:r>
    </w:p>
    <w:p w14:paraId="51E0E35F" w14:textId="77777777" w:rsidR="00FB4E58" w:rsidRDefault="00000000">
      <w:pPr>
        <w:pStyle w:val="BodyText"/>
        <w:spacing w:before="1"/>
      </w:pPr>
      <w:r>
        <w:t>this</w:t>
      </w:r>
      <w:r>
        <w:rPr>
          <w:spacing w:val="-1"/>
        </w:rPr>
        <w:t xml:space="preserve"> </w:t>
      </w:r>
      <w:r>
        <w:t>is</w:t>
      </w:r>
      <w:r>
        <w:rPr>
          <w:spacing w:val="-1"/>
        </w:rPr>
        <w:t xml:space="preserve"> </w:t>
      </w:r>
      <w:r>
        <w:rPr>
          <w:spacing w:val="-2"/>
        </w:rPr>
        <w:t>possible.</w:t>
      </w:r>
    </w:p>
    <w:p w14:paraId="3B7FA3C1" w14:textId="77777777" w:rsidR="00FB4E58" w:rsidRDefault="00000000">
      <w:pPr>
        <w:pStyle w:val="BodyText"/>
        <w:spacing w:before="158"/>
      </w:pPr>
      <w:r>
        <w:t>Core</w:t>
      </w:r>
      <w:r>
        <w:rPr>
          <w:spacing w:val="-4"/>
        </w:rPr>
        <w:t xml:space="preserve"> </w:t>
      </w:r>
      <w:r>
        <w:t>GRADE</w:t>
      </w:r>
      <w:r>
        <w:rPr>
          <w:spacing w:val="-3"/>
        </w:rPr>
        <w:t xml:space="preserve"> </w:t>
      </w:r>
      <w:r>
        <w:t>users</w:t>
      </w:r>
      <w:r>
        <w:rPr>
          <w:spacing w:val="-6"/>
        </w:rPr>
        <w:t xml:space="preserve"> </w:t>
      </w:r>
      <w:r>
        <w:t>who</w:t>
      </w:r>
      <w:r>
        <w:rPr>
          <w:spacing w:val="-5"/>
        </w:rPr>
        <w:t xml:space="preserve"> </w:t>
      </w:r>
      <w:r>
        <w:t>have</w:t>
      </w:r>
      <w:r>
        <w:rPr>
          <w:spacing w:val="-3"/>
        </w:rPr>
        <w:t xml:space="preserve"> </w:t>
      </w:r>
      <w:r>
        <w:t>chosen</w:t>
      </w:r>
      <w:r>
        <w:rPr>
          <w:spacing w:val="-3"/>
        </w:rPr>
        <w:t xml:space="preserve"> </w:t>
      </w:r>
      <w:r>
        <w:t>the</w:t>
      </w:r>
      <w:r>
        <w:rPr>
          <w:spacing w:val="-3"/>
        </w:rPr>
        <w:t xml:space="preserve"> </w:t>
      </w:r>
      <w:r>
        <w:t>null</w:t>
      </w:r>
      <w:r>
        <w:rPr>
          <w:spacing w:val="-4"/>
        </w:rPr>
        <w:t xml:space="preserve"> </w:t>
      </w:r>
      <w:r>
        <w:t>as</w:t>
      </w:r>
      <w:r>
        <w:rPr>
          <w:spacing w:val="-3"/>
        </w:rPr>
        <w:t xml:space="preserve"> </w:t>
      </w:r>
      <w:r>
        <w:t>a</w:t>
      </w:r>
      <w:r>
        <w:rPr>
          <w:spacing w:val="-6"/>
        </w:rPr>
        <w:t xml:space="preserve"> </w:t>
      </w:r>
      <w:r>
        <w:t>threshold</w:t>
      </w:r>
      <w:r>
        <w:rPr>
          <w:spacing w:val="-5"/>
        </w:rPr>
        <w:t xml:space="preserve"> </w:t>
      </w:r>
      <w:r>
        <w:t>and</w:t>
      </w:r>
      <w:r>
        <w:rPr>
          <w:spacing w:val="-5"/>
        </w:rPr>
        <w:t xml:space="preserve"> </w:t>
      </w:r>
      <w:r>
        <w:t>face</w:t>
      </w:r>
      <w:r>
        <w:rPr>
          <w:spacing w:val="-3"/>
        </w:rPr>
        <w:t xml:space="preserve"> </w:t>
      </w:r>
      <w:r>
        <w:t>a</w:t>
      </w:r>
      <w:r>
        <w:rPr>
          <w:spacing w:val="-6"/>
        </w:rPr>
        <w:t xml:space="preserve"> </w:t>
      </w:r>
      <w:r>
        <w:t>point</w:t>
      </w:r>
      <w:r>
        <w:rPr>
          <w:spacing w:val="-5"/>
        </w:rPr>
        <w:t xml:space="preserve"> </w:t>
      </w:r>
      <w:r>
        <w:t>estimate</w:t>
      </w:r>
      <w:r>
        <w:rPr>
          <w:spacing w:val="-3"/>
        </w:rPr>
        <w:t xml:space="preserve"> </w:t>
      </w:r>
      <w:r>
        <w:t>near</w:t>
      </w:r>
      <w:r>
        <w:rPr>
          <w:spacing w:val="-6"/>
        </w:rPr>
        <w:t xml:space="preserve"> </w:t>
      </w:r>
      <w:r>
        <w:t>the</w:t>
      </w:r>
      <w:r>
        <w:rPr>
          <w:spacing w:val="-3"/>
        </w:rPr>
        <w:t xml:space="preserve"> </w:t>
      </w:r>
      <w:r>
        <w:t>null</w:t>
      </w:r>
      <w:r>
        <w:rPr>
          <w:spacing w:val="-4"/>
        </w:rPr>
        <w:t xml:space="preserve"> </w:t>
      </w:r>
      <w:r>
        <w:t>may</w:t>
      </w:r>
      <w:r>
        <w:rPr>
          <w:spacing w:val="-5"/>
        </w:rPr>
        <w:t xml:space="preserve"> </w:t>
      </w:r>
      <w:r>
        <w:t>avoid specifying</w:t>
      </w:r>
      <w:r>
        <w:rPr>
          <w:spacing w:val="-1"/>
        </w:rPr>
        <w:t xml:space="preserve"> </w:t>
      </w:r>
      <w:r>
        <w:t>an exact value for the</w:t>
      </w:r>
      <w:r>
        <w:rPr>
          <w:spacing w:val="-2"/>
        </w:rPr>
        <w:t xml:space="preserve"> </w:t>
      </w:r>
      <w:r>
        <w:t>MID</w:t>
      </w:r>
      <w:r>
        <w:rPr>
          <w:spacing w:val="-2"/>
        </w:rPr>
        <w:t xml:space="preserve"> </w:t>
      </w:r>
      <w:r>
        <w:t>by</w:t>
      </w:r>
      <w:r>
        <w:rPr>
          <w:spacing w:val="-2"/>
        </w:rPr>
        <w:t xml:space="preserve"> </w:t>
      </w:r>
      <w:r>
        <w:t>considering</w:t>
      </w:r>
      <w:r>
        <w:rPr>
          <w:spacing w:val="-3"/>
        </w:rPr>
        <w:t xml:space="preserve"> </w:t>
      </w:r>
      <w:r>
        <w:t>the boundaries</w:t>
      </w:r>
      <w:r>
        <w:rPr>
          <w:spacing w:val="-2"/>
        </w:rPr>
        <w:t xml:space="preserve"> </w:t>
      </w:r>
      <w:r>
        <w:t>of</w:t>
      </w:r>
      <w:r>
        <w:rPr>
          <w:spacing w:val="-3"/>
        </w:rPr>
        <w:t xml:space="preserve"> </w:t>
      </w:r>
      <w:r>
        <w:t>the CI.</w:t>
      </w:r>
      <w:r>
        <w:rPr>
          <w:spacing w:val="-1"/>
        </w:rPr>
        <w:t xml:space="preserve"> </w:t>
      </w:r>
      <w:r>
        <w:t>If</w:t>
      </w:r>
      <w:r>
        <w:rPr>
          <w:spacing w:val="-3"/>
        </w:rPr>
        <w:t xml:space="preserve"> </w:t>
      </w:r>
      <w:r>
        <w:t>those boundaries are</w:t>
      </w:r>
      <w:r>
        <w:rPr>
          <w:spacing w:val="-2"/>
        </w:rPr>
        <w:t xml:space="preserve"> </w:t>
      </w:r>
      <w:r>
        <w:t>clearly within the range that the MID lies (i.e. the ends of the confidence interval represent a lower value than the MID), they needn’t rate down for imprecision. If the boundary of the CI is clearly greater than the range in which the MID lies (i.e. one or both ends of the confidence represent a higher value than the MID) they will rate down for imprecision.</w:t>
      </w:r>
    </w:p>
    <w:p w14:paraId="2ABA00B3" w14:textId="77777777" w:rsidR="00FB4E58" w:rsidRDefault="00000000">
      <w:pPr>
        <w:pStyle w:val="BodyText"/>
        <w:spacing w:before="160"/>
      </w:pPr>
      <w:r>
        <w:t>For</w:t>
      </w:r>
      <w:r>
        <w:rPr>
          <w:spacing w:val="-5"/>
        </w:rPr>
        <w:t xml:space="preserve"> </w:t>
      </w:r>
      <w:r>
        <w:t>instance,</w:t>
      </w:r>
      <w:r>
        <w:rPr>
          <w:spacing w:val="-4"/>
        </w:rPr>
        <w:t xml:space="preserve"> </w:t>
      </w:r>
      <w:r>
        <w:t>consider</w:t>
      </w:r>
      <w:r>
        <w:rPr>
          <w:spacing w:val="-6"/>
        </w:rPr>
        <w:t xml:space="preserve"> </w:t>
      </w:r>
      <w:r>
        <w:t>a</w:t>
      </w:r>
      <w:r>
        <w:rPr>
          <w:spacing w:val="-5"/>
        </w:rPr>
        <w:t xml:space="preserve"> </w:t>
      </w:r>
      <w:r>
        <w:t>hypothetical</w:t>
      </w:r>
      <w:r>
        <w:rPr>
          <w:spacing w:val="-5"/>
        </w:rPr>
        <w:t xml:space="preserve"> </w:t>
      </w:r>
      <w:r>
        <w:t>example</w:t>
      </w:r>
      <w:r>
        <w:rPr>
          <w:spacing w:val="-4"/>
        </w:rPr>
        <w:t xml:space="preserve"> </w:t>
      </w:r>
      <w:r>
        <w:t>in</w:t>
      </w:r>
      <w:r>
        <w:rPr>
          <w:spacing w:val="-8"/>
        </w:rPr>
        <w:t xml:space="preserve"> </w:t>
      </w:r>
      <w:r>
        <w:t>which</w:t>
      </w:r>
      <w:r>
        <w:rPr>
          <w:spacing w:val="-5"/>
        </w:rPr>
        <w:t xml:space="preserve"> </w:t>
      </w:r>
      <w:r>
        <w:t>the</w:t>
      </w:r>
      <w:r>
        <w:rPr>
          <w:spacing w:val="-5"/>
        </w:rPr>
        <w:t xml:space="preserve"> </w:t>
      </w:r>
      <w:r>
        <w:t>lower</w:t>
      </w:r>
      <w:r>
        <w:rPr>
          <w:spacing w:val="-5"/>
        </w:rPr>
        <w:t xml:space="preserve"> </w:t>
      </w:r>
      <w:r>
        <w:t>boundary</w:t>
      </w:r>
      <w:r>
        <w:rPr>
          <w:spacing w:val="-6"/>
        </w:rPr>
        <w:t xml:space="preserve"> </w:t>
      </w:r>
      <w:r>
        <w:t>of</w:t>
      </w:r>
      <w:r>
        <w:rPr>
          <w:spacing w:val="-7"/>
        </w:rPr>
        <w:t xml:space="preserve"> </w:t>
      </w:r>
      <w:r>
        <w:t>the</w:t>
      </w:r>
      <w:r>
        <w:rPr>
          <w:spacing w:val="-4"/>
        </w:rPr>
        <w:t xml:space="preserve"> </w:t>
      </w:r>
      <w:r>
        <w:t>CI</w:t>
      </w:r>
      <w:r>
        <w:rPr>
          <w:spacing w:val="-5"/>
        </w:rPr>
        <w:t xml:space="preserve"> </w:t>
      </w:r>
      <w:r>
        <w:t>is</w:t>
      </w:r>
      <w:r>
        <w:rPr>
          <w:spacing w:val="-5"/>
        </w:rPr>
        <w:t xml:space="preserve"> </w:t>
      </w:r>
      <w:r>
        <w:t>a</w:t>
      </w:r>
      <w:r>
        <w:rPr>
          <w:spacing w:val="-7"/>
        </w:rPr>
        <w:t xml:space="preserve"> </w:t>
      </w:r>
      <w:r>
        <w:t>reduction</w:t>
      </w:r>
      <w:r>
        <w:rPr>
          <w:spacing w:val="-5"/>
        </w:rPr>
        <w:t xml:space="preserve"> in</w:t>
      </w:r>
    </w:p>
    <w:p w14:paraId="3CB9A7D9" w14:textId="77777777" w:rsidR="00FB4E58" w:rsidRDefault="00000000">
      <w:pPr>
        <w:pStyle w:val="BodyText"/>
        <w:ind w:right="166"/>
      </w:pPr>
      <w:r>
        <w:t>mortality</w:t>
      </w:r>
      <w:r>
        <w:rPr>
          <w:spacing w:val="-3"/>
        </w:rPr>
        <w:t xml:space="preserve"> </w:t>
      </w:r>
      <w:r>
        <w:t>of</w:t>
      </w:r>
      <w:r>
        <w:rPr>
          <w:spacing w:val="-2"/>
        </w:rPr>
        <w:t xml:space="preserve"> </w:t>
      </w:r>
      <w:r>
        <w:t>50</w:t>
      </w:r>
      <w:r>
        <w:rPr>
          <w:spacing w:val="-2"/>
        </w:rPr>
        <w:t xml:space="preserve"> </w:t>
      </w:r>
      <w:r>
        <w:t>per</w:t>
      </w:r>
      <w:r>
        <w:rPr>
          <w:spacing w:val="-2"/>
        </w:rPr>
        <w:t xml:space="preserve"> </w:t>
      </w:r>
      <w:r>
        <w:t>1000</w:t>
      </w:r>
      <w:r>
        <w:rPr>
          <w:spacing w:val="-2"/>
        </w:rPr>
        <w:t xml:space="preserve"> </w:t>
      </w:r>
      <w:r>
        <w:t>(Figure</w:t>
      </w:r>
      <w:r>
        <w:rPr>
          <w:spacing w:val="-2"/>
        </w:rPr>
        <w:t xml:space="preserve"> </w:t>
      </w:r>
      <w:r>
        <w:t>3).</w:t>
      </w:r>
      <w:r>
        <w:rPr>
          <w:spacing w:val="-3"/>
        </w:rPr>
        <w:t xml:space="preserve"> </w:t>
      </w:r>
      <w:r>
        <w:t>Without</w:t>
      </w:r>
      <w:r>
        <w:rPr>
          <w:spacing w:val="-2"/>
        </w:rPr>
        <w:t xml:space="preserve"> </w:t>
      </w:r>
      <w:r>
        <w:t>specifying</w:t>
      </w:r>
      <w:r>
        <w:rPr>
          <w:spacing w:val="-3"/>
        </w:rPr>
        <w:t xml:space="preserve"> </w:t>
      </w:r>
      <w:r>
        <w:t>that</w:t>
      </w:r>
      <w:r>
        <w:rPr>
          <w:spacing w:val="-2"/>
        </w:rPr>
        <w:t xml:space="preserve"> </w:t>
      </w:r>
      <w:r>
        <w:t>the</w:t>
      </w:r>
      <w:r>
        <w:rPr>
          <w:spacing w:val="-3"/>
        </w:rPr>
        <w:t xml:space="preserve"> </w:t>
      </w:r>
      <w:r>
        <w:t>threshold</w:t>
      </w:r>
      <w:r>
        <w:rPr>
          <w:spacing w:val="-4"/>
        </w:rPr>
        <w:t xml:space="preserve"> </w:t>
      </w:r>
      <w:r>
        <w:t>of</w:t>
      </w:r>
      <w:r>
        <w:rPr>
          <w:spacing w:val="-2"/>
        </w:rPr>
        <w:t xml:space="preserve"> </w:t>
      </w:r>
      <w:r>
        <w:t>importance</w:t>
      </w:r>
      <w:r>
        <w:rPr>
          <w:spacing w:val="-1"/>
        </w:rPr>
        <w:t xml:space="preserve"> </w:t>
      </w:r>
      <w:r>
        <w:t>is</w:t>
      </w:r>
      <w:r>
        <w:rPr>
          <w:spacing w:val="-4"/>
        </w:rPr>
        <w:t xml:space="preserve"> </w:t>
      </w:r>
      <w:r>
        <w:t>5,</w:t>
      </w:r>
      <w:r>
        <w:rPr>
          <w:spacing w:val="-4"/>
        </w:rPr>
        <w:t xml:space="preserve"> </w:t>
      </w:r>
      <w:r>
        <w:t>10,</w:t>
      </w:r>
      <w:r>
        <w:rPr>
          <w:spacing w:val="-3"/>
        </w:rPr>
        <w:t xml:space="preserve"> </w:t>
      </w:r>
      <w:r>
        <w:t>or</w:t>
      </w:r>
      <w:r>
        <w:rPr>
          <w:spacing w:val="-3"/>
        </w:rPr>
        <w:t xml:space="preserve"> </w:t>
      </w:r>
      <w:r>
        <w:t>20</w:t>
      </w:r>
      <w:r>
        <w:rPr>
          <w:spacing w:val="-3"/>
        </w:rPr>
        <w:t xml:space="preserve"> </w:t>
      </w:r>
      <w:r>
        <w:t>or</w:t>
      </w:r>
      <w:r>
        <w:rPr>
          <w:spacing w:val="-3"/>
        </w:rPr>
        <w:t xml:space="preserve"> </w:t>
      </w:r>
      <w:r>
        <w:t>40 in 1,000, all would agree this magnitude represents an important benefit and thus crosses the threshold -</w:t>
      </w:r>
    </w:p>
    <w:p w14:paraId="3968FAFC" w14:textId="77777777" w:rsidR="00FB4E58" w:rsidRDefault="00000000">
      <w:pPr>
        <w:pStyle w:val="BodyText"/>
        <w:spacing w:before="1"/>
      </w:pPr>
      <w:r>
        <w:t>wherever</w:t>
      </w:r>
      <w:r>
        <w:rPr>
          <w:spacing w:val="-5"/>
        </w:rPr>
        <w:t xml:space="preserve"> </w:t>
      </w:r>
      <w:r>
        <w:t>exactly</w:t>
      </w:r>
      <w:r>
        <w:rPr>
          <w:spacing w:val="-5"/>
        </w:rPr>
        <w:t xml:space="preserve"> </w:t>
      </w:r>
      <w:r>
        <w:t>that</w:t>
      </w:r>
      <w:r>
        <w:rPr>
          <w:spacing w:val="-6"/>
        </w:rPr>
        <w:t xml:space="preserve"> </w:t>
      </w:r>
      <w:r>
        <w:t>threshold</w:t>
      </w:r>
      <w:r>
        <w:rPr>
          <w:spacing w:val="-7"/>
        </w:rPr>
        <w:t xml:space="preserve"> </w:t>
      </w:r>
      <w:r>
        <w:t>lies.</w:t>
      </w:r>
      <w:r>
        <w:rPr>
          <w:spacing w:val="-5"/>
        </w:rPr>
        <w:t xml:space="preserve"> </w:t>
      </w:r>
      <w:r>
        <w:t>Therefore,</w:t>
      </w:r>
      <w:r>
        <w:rPr>
          <w:spacing w:val="-2"/>
        </w:rPr>
        <w:t xml:space="preserve"> </w:t>
      </w:r>
      <w:r>
        <w:t>without</w:t>
      </w:r>
      <w:r>
        <w:rPr>
          <w:spacing w:val="-5"/>
        </w:rPr>
        <w:t xml:space="preserve"> </w:t>
      </w:r>
      <w:r>
        <w:t>specifying</w:t>
      </w:r>
      <w:r>
        <w:rPr>
          <w:spacing w:val="-6"/>
        </w:rPr>
        <w:t xml:space="preserve"> </w:t>
      </w:r>
      <w:r>
        <w:t>a</w:t>
      </w:r>
      <w:r>
        <w:rPr>
          <w:spacing w:val="-5"/>
        </w:rPr>
        <w:t xml:space="preserve"> </w:t>
      </w:r>
      <w:r>
        <w:t>single</w:t>
      </w:r>
      <w:r>
        <w:rPr>
          <w:spacing w:val="-7"/>
        </w:rPr>
        <w:t xml:space="preserve"> </w:t>
      </w:r>
      <w:r>
        <w:t>specific</w:t>
      </w:r>
      <w:r>
        <w:rPr>
          <w:spacing w:val="-5"/>
        </w:rPr>
        <w:t xml:space="preserve"> </w:t>
      </w:r>
      <w:r>
        <w:t>value</w:t>
      </w:r>
      <w:r>
        <w:rPr>
          <w:spacing w:val="-6"/>
        </w:rPr>
        <w:t xml:space="preserve"> </w:t>
      </w:r>
      <w:r>
        <w:t>of</w:t>
      </w:r>
      <w:r>
        <w:rPr>
          <w:spacing w:val="-5"/>
        </w:rPr>
        <w:t xml:space="preserve"> </w:t>
      </w:r>
      <w:r>
        <w:t>the</w:t>
      </w:r>
      <w:r>
        <w:rPr>
          <w:spacing w:val="-6"/>
        </w:rPr>
        <w:t xml:space="preserve"> </w:t>
      </w:r>
      <w:r>
        <w:t>confidence interval, one would certainly rate down for imprecision.</w:t>
      </w:r>
    </w:p>
    <w:p w14:paraId="0B717682" w14:textId="77777777" w:rsidR="00FB4E58" w:rsidRDefault="00FB4E58">
      <w:pPr>
        <w:pStyle w:val="BodyText"/>
        <w:sectPr w:rsidR="00FB4E58">
          <w:pgSz w:w="11910" w:h="16840"/>
          <w:pgMar w:top="1380" w:right="992" w:bottom="280" w:left="992" w:header="720" w:footer="720" w:gutter="0"/>
          <w:cols w:space="720"/>
        </w:sectPr>
      </w:pPr>
    </w:p>
    <w:p w14:paraId="1ADC0E5A" w14:textId="77777777" w:rsidR="00FB4E58" w:rsidRDefault="00000000">
      <w:pPr>
        <w:pStyle w:val="BodyText"/>
        <w:spacing w:before="41"/>
        <w:ind w:right="175"/>
      </w:pPr>
      <w:r>
        <w:rPr>
          <w:b/>
          <w:u w:val="single"/>
        </w:rPr>
        <w:lastRenderedPageBreak/>
        <w:t>Figure</w:t>
      </w:r>
      <w:r>
        <w:rPr>
          <w:b/>
          <w:spacing w:val="-6"/>
          <w:u w:val="single"/>
        </w:rPr>
        <w:t xml:space="preserve"> </w:t>
      </w:r>
      <w:r>
        <w:rPr>
          <w:b/>
          <w:u w:val="single"/>
        </w:rPr>
        <w:t>3</w:t>
      </w:r>
      <w:r>
        <w:t>.</w:t>
      </w:r>
      <w:r>
        <w:rPr>
          <w:spacing w:val="-3"/>
        </w:rPr>
        <w:t xml:space="preserve"> </w:t>
      </w:r>
      <w:r>
        <w:t>A</w:t>
      </w:r>
      <w:r>
        <w:rPr>
          <w:spacing w:val="-6"/>
        </w:rPr>
        <w:t xml:space="preserve"> </w:t>
      </w:r>
      <w:r>
        <w:t>hypothetical</w:t>
      </w:r>
      <w:r>
        <w:rPr>
          <w:spacing w:val="-3"/>
        </w:rPr>
        <w:t xml:space="preserve"> </w:t>
      </w:r>
      <w:r>
        <w:t>example</w:t>
      </w:r>
      <w:r>
        <w:rPr>
          <w:spacing w:val="-3"/>
        </w:rPr>
        <w:t xml:space="preserve"> </w:t>
      </w:r>
      <w:r>
        <w:t>of</w:t>
      </w:r>
      <w:r>
        <w:rPr>
          <w:spacing w:val="-3"/>
        </w:rPr>
        <w:t xml:space="preserve"> </w:t>
      </w:r>
      <w:r>
        <w:t>imprecision</w:t>
      </w:r>
      <w:r>
        <w:rPr>
          <w:spacing w:val="-7"/>
        </w:rPr>
        <w:t xml:space="preserve"> </w:t>
      </w:r>
      <w:r>
        <w:t>judgment</w:t>
      </w:r>
      <w:r>
        <w:rPr>
          <w:spacing w:val="-3"/>
        </w:rPr>
        <w:t xml:space="preserve"> </w:t>
      </w:r>
      <w:r>
        <w:t>without</w:t>
      </w:r>
      <w:r>
        <w:rPr>
          <w:spacing w:val="-3"/>
        </w:rPr>
        <w:t xml:space="preserve"> </w:t>
      </w:r>
      <w:r>
        <w:t>explicitly</w:t>
      </w:r>
      <w:r>
        <w:rPr>
          <w:spacing w:val="-3"/>
        </w:rPr>
        <w:t xml:space="preserve"> </w:t>
      </w:r>
      <w:r>
        <w:t>specifying</w:t>
      </w:r>
      <w:r>
        <w:rPr>
          <w:spacing w:val="-4"/>
        </w:rPr>
        <w:t xml:space="preserve"> </w:t>
      </w:r>
      <w:r>
        <w:t>an</w:t>
      </w:r>
      <w:r>
        <w:rPr>
          <w:spacing w:val="-6"/>
        </w:rPr>
        <w:t xml:space="preserve"> </w:t>
      </w:r>
      <w:r>
        <w:t>MID</w:t>
      </w:r>
      <w:r>
        <w:rPr>
          <w:spacing w:val="-2"/>
        </w:rPr>
        <w:t xml:space="preserve"> </w:t>
      </w:r>
      <w:r>
        <w:t>threshold</w:t>
      </w:r>
      <w:r>
        <w:rPr>
          <w:spacing w:val="-5"/>
        </w:rPr>
        <w:t xml:space="preserve"> </w:t>
      </w:r>
      <w:r>
        <w:t>in</w:t>
      </w:r>
      <w:r>
        <w:rPr>
          <w:spacing w:val="-6"/>
        </w:rPr>
        <w:t xml:space="preserve"> </w:t>
      </w:r>
      <w:r>
        <w:t>a meta-analysis</w:t>
      </w:r>
      <w:r>
        <w:rPr>
          <w:spacing w:val="-6"/>
        </w:rPr>
        <w:t xml:space="preserve"> </w:t>
      </w:r>
      <w:r>
        <w:t>on</w:t>
      </w:r>
      <w:r>
        <w:rPr>
          <w:spacing w:val="-4"/>
        </w:rPr>
        <w:t xml:space="preserve"> </w:t>
      </w:r>
      <w:r>
        <w:t>mortality.</w:t>
      </w:r>
      <w:r>
        <w:rPr>
          <w:spacing w:val="-6"/>
        </w:rPr>
        <w:t xml:space="preserve"> </w:t>
      </w:r>
      <w:r>
        <w:t>A</w:t>
      </w:r>
      <w:r>
        <w:rPr>
          <w:spacing w:val="-4"/>
        </w:rPr>
        <w:t xml:space="preserve"> </w:t>
      </w:r>
      <w:r>
        <w:t>judgment</w:t>
      </w:r>
      <w:r>
        <w:rPr>
          <w:spacing w:val="-4"/>
        </w:rPr>
        <w:t xml:space="preserve"> </w:t>
      </w:r>
      <w:r>
        <w:t>of</w:t>
      </w:r>
      <w:r>
        <w:rPr>
          <w:spacing w:val="-5"/>
        </w:rPr>
        <w:t xml:space="preserve"> </w:t>
      </w:r>
      <w:r>
        <w:t>whether</w:t>
      </w:r>
      <w:r>
        <w:rPr>
          <w:spacing w:val="-5"/>
        </w:rPr>
        <w:t xml:space="preserve"> </w:t>
      </w:r>
      <w:r>
        <w:t>the</w:t>
      </w:r>
      <w:r>
        <w:rPr>
          <w:spacing w:val="-4"/>
        </w:rPr>
        <w:t xml:space="preserve"> </w:t>
      </w:r>
      <w:r>
        <w:t>boundary</w:t>
      </w:r>
      <w:r>
        <w:rPr>
          <w:spacing w:val="-5"/>
        </w:rPr>
        <w:t xml:space="preserve"> </w:t>
      </w:r>
      <w:r>
        <w:t>of</w:t>
      </w:r>
      <w:r>
        <w:rPr>
          <w:spacing w:val="-4"/>
        </w:rPr>
        <w:t xml:space="preserve"> </w:t>
      </w:r>
      <w:r>
        <w:t>the</w:t>
      </w:r>
      <w:r>
        <w:rPr>
          <w:spacing w:val="-4"/>
        </w:rPr>
        <w:t xml:space="preserve"> </w:t>
      </w:r>
      <w:r>
        <w:t>confidence</w:t>
      </w:r>
      <w:r>
        <w:rPr>
          <w:spacing w:val="-3"/>
        </w:rPr>
        <w:t xml:space="preserve"> </w:t>
      </w:r>
      <w:r>
        <w:t>interval</w:t>
      </w:r>
      <w:r>
        <w:rPr>
          <w:spacing w:val="-6"/>
        </w:rPr>
        <w:t xml:space="preserve"> </w:t>
      </w:r>
      <w:r>
        <w:t>is</w:t>
      </w:r>
      <w:r>
        <w:rPr>
          <w:spacing w:val="-4"/>
        </w:rPr>
        <w:t xml:space="preserve"> </w:t>
      </w:r>
      <w:r>
        <w:t>greater</w:t>
      </w:r>
      <w:r>
        <w:rPr>
          <w:spacing w:val="-5"/>
        </w:rPr>
        <w:t xml:space="preserve"> </w:t>
      </w:r>
      <w:r>
        <w:t>or</w:t>
      </w:r>
      <w:r>
        <w:rPr>
          <w:spacing w:val="-4"/>
        </w:rPr>
        <w:t xml:space="preserve"> </w:t>
      </w:r>
      <w:r>
        <w:t>less than the MID is required. The lower boundary of the confidence interval (a reduction in mortality of 50 per 1000) represents an important benefit whether the MID is a reduction of 5, 10, 20 or 40 events per 1,000</w:t>
      </w:r>
    </w:p>
    <w:p w14:paraId="071F6439" w14:textId="77777777" w:rsidR="00FB4E58" w:rsidRDefault="00000000">
      <w:pPr>
        <w:pStyle w:val="BodyText"/>
        <w:spacing w:line="267" w:lineRule="exact"/>
      </w:pPr>
      <w:r>
        <w:t>(the</w:t>
      </w:r>
      <w:r>
        <w:rPr>
          <w:spacing w:val="-9"/>
        </w:rPr>
        <w:t xml:space="preserve"> </w:t>
      </w:r>
      <w:r>
        <w:t>broken</w:t>
      </w:r>
      <w:r>
        <w:rPr>
          <w:spacing w:val="-7"/>
        </w:rPr>
        <w:t xml:space="preserve"> </w:t>
      </w:r>
      <w:r>
        <w:t>lines)</w:t>
      </w:r>
      <w:r>
        <w:rPr>
          <w:spacing w:val="-9"/>
        </w:rPr>
        <w:t xml:space="preserve"> </w:t>
      </w:r>
      <w:r>
        <w:t>and</w:t>
      </w:r>
      <w:r>
        <w:rPr>
          <w:spacing w:val="-9"/>
        </w:rPr>
        <w:t xml:space="preserve"> </w:t>
      </w:r>
      <w:r>
        <w:t>thus</w:t>
      </w:r>
      <w:r>
        <w:rPr>
          <w:spacing w:val="-8"/>
        </w:rPr>
        <w:t xml:space="preserve"> </w:t>
      </w:r>
      <w:r>
        <w:t>crosses</w:t>
      </w:r>
      <w:r>
        <w:rPr>
          <w:spacing w:val="-9"/>
        </w:rPr>
        <w:t xml:space="preserve"> </w:t>
      </w:r>
      <w:r>
        <w:t>the</w:t>
      </w:r>
      <w:r>
        <w:rPr>
          <w:spacing w:val="-8"/>
        </w:rPr>
        <w:t xml:space="preserve"> </w:t>
      </w:r>
      <w:r>
        <w:t>threshold</w:t>
      </w:r>
      <w:r>
        <w:rPr>
          <w:spacing w:val="-9"/>
        </w:rPr>
        <w:t xml:space="preserve"> </w:t>
      </w:r>
      <w:r>
        <w:t>warranting</w:t>
      </w:r>
      <w:r>
        <w:rPr>
          <w:spacing w:val="-8"/>
        </w:rPr>
        <w:t xml:space="preserve"> </w:t>
      </w:r>
      <w:r>
        <w:t>rating</w:t>
      </w:r>
      <w:r>
        <w:rPr>
          <w:spacing w:val="-8"/>
        </w:rPr>
        <w:t xml:space="preserve"> </w:t>
      </w:r>
      <w:r>
        <w:t>down</w:t>
      </w:r>
      <w:r>
        <w:rPr>
          <w:spacing w:val="-7"/>
        </w:rPr>
        <w:t xml:space="preserve"> </w:t>
      </w:r>
      <w:r>
        <w:t>for</w:t>
      </w:r>
      <w:r>
        <w:rPr>
          <w:spacing w:val="-6"/>
        </w:rPr>
        <w:t xml:space="preserve"> </w:t>
      </w:r>
      <w:r>
        <w:rPr>
          <w:spacing w:val="-2"/>
        </w:rPr>
        <w:t>imprecision.</w:t>
      </w:r>
    </w:p>
    <w:p w14:paraId="5A5483CC" w14:textId="77777777" w:rsidR="00FB4E58" w:rsidRDefault="00000000">
      <w:pPr>
        <w:pStyle w:val="BodyText"/>
        <w:spacing w:before="5"/>
        <w:ind w:left="0"/>
        <w:rPr>
          <w:sz w:val="12"/>
        </w:rPr>
      </w:pPr>
      <w:r>
        <w:rPr>
          <w:noProof/>
          <w:sz w:val="12"/>
        </w:rPr>
        <w:drawing>
          <wp:anchor distT="0" distB="0" distL="0" distR="0" simplePos="0" relativeHeight="487588864" behindDoc="1" locked="0" layoutInCell="1" allowOverlap="1" wp14:anchorId="6805F33A" wp14:editId="4750E6BD">
            <wp:simplePos x="0" y="0"/>
            <wp:positionH relativeFrom="page">
              <wp:posOffset>886897</wp:posOffset>
            </wp:positionH>
            <wp:positionV relativeFrom="paragraph">
              <wp:posOffset>111566</wp:posOffset>
            </wp:positionV>
            <wp:extent cx="3899558" cy="2461260"/>
            <wp:effectExtent l="0" t="0" r="0" b="0"/>
            <wp:wrapTopAndBottom/>
            <wp:docPr id="3" name="Image 3" descr="C:\Users\SiceX\Documents\WeChat Files\wxid_msy3tozit0zg21\FileStorage\Temp\172086768740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iceX\Documents\WeChat Files\wxid_msy3tozit0zg21\FileStorage\Temp\1720867687408.png"/>
                    <pic:cNvPicPr/>
                  </pic:nvPicPr>
                  <pic:blipFill>
                    <a:blip r:embed="rId7" cstate="print"/>
                    <a:stretch>
                      <a:fillRect/>
                    </a:stretch>
                  </pic:blipFill>
                  <pic:spPr>
                    <a:xfrm>
                      <a:off x="0" y="0"/>
                      <a:ext cx="3899558" cy="2461260"/>
                    </a:xfrm>
                    <a:prstGeom prst="rect">
                      <a:avLst/>
                    </a:prstGeom>
                  </pic:spPr>
                </pic:pic>
              </a:graphicData>
            </a:graphic>
          </wp:anchor>
        </w:drawing>
      </w:r>
    </w:p>
    <w:p w14:paraId="7750FF93" w14:textId="77777777" w:rsidR="00FB4E58" w:rsidRDefault="00FB4E58">
      <w:pPr>
        <w:pStyle w:val="BodyText"/>
        <w:spacing w:before="118"/>
        <w:ind w:left="0"/>
      </w:pPr>
    </w:p>
    <w:p w14:paraId="79699BC4" w14:textId="77777777" w:rsidR="00FB4E58" w:rsidRDefault="00000000">
      <w:pPr>
        <w:pStyle w:val="Heading1"/>
        <w:numPr>
          <w:ilvl w:val="0"/>
          <w:numId w:val="2"/>
        </w:numPr>
        <w:tabs>
          <w:tab w:val="left" w:pos="306"/>
        </w:tabs>
        <w:ind w:left="306" w:hanging="219"/>
      </w:pPr>
      <w:r>
        <w:t>Ameliorating</w:t>
      </w:r>
      <w:r>
        <w:rPr>
          <w:spacing w:val="-10"/>
        </w:rPr>
        <w:t xml:space="preserve"> </w:t>
      </w:r>
      <w:r>
        <w:t>the</w:t>
      </w:r>
      <w:r>
        <w:rPr>
          <w:spacing w:val="-9"/>
        </w:rPr>
        <w:t xml:space="preserve"> </w:t>
      </w:r>
      <w:r>
        <w:t>challenge</w:t>
      </w:r>
      <w:r>
        <w:rPr>
          <w:spacing w:val="-8"/>
        </w:rPr>
        <w:t xml:space="preserve"> </w:t>
      </w:r>
      <w:r>
        <w:t>of</w:t>
      </w:r>
      <w:r>
        <w:rPr>
          <w:spacing w:val="-8"/>
        </w:rPr>
        <w:t xml:space="preserve"> </w:t>
      </w:r>
      <w:r>
        <w:t>choosing</w:t>
      </w:r>
      <w:r>
        <w:rPr>
          <w:spacing w:val="-8"/>
        </w:rPr>
        <w:t xml:space="preserve"> </w:t>
      </w:r>
      <w:r>
        <w:t>an</w:t>
      </w:r>
      <w:r>
        <w:rPr>
          <w:spacing w:val="-9"/>
        </w:rPr>
        <w:t xml:space="preserve"> </w:t>
      </w:r>
      <w:r>
        <w:t>MID,</w:t>
      </w:r>
      <w:r>
        <w:rPr>
          <w:spacing w:val="-7"/>
        </w:rPr>
        <w:t xml:space="preserve"> </w:t>
      </w:r>
      <w:r>
        <w:t>an</w:t>
      </w:r>
      <w:r>
        <w:rPr>
          <w:spacing w:val="-9"/>
        </w:rPr>
        <w:t xml:space="preserve"> </w:t>
      </w:r>
      <w:r>
        <w:t>example</w:t>
      </w:r>
      <w:r>
        <w:rPr>
          <w:spacing w:val="-8"/>
        </w:rPr>
        <w:t xml:space="preserve"> </w:t>
      </w:r>
      <w:r>
        <w:t>from</w:t>
      </w:r>
      <w:r>
        <w:rPr>
          <w:spacing w:val="-7"/>
        </w:rPr>
        <w:t xml:space="preserve"> </w:t>
      </w:r>
      <w:r>
        <w:t>a</w:t>
      </w:r>
      <w:r>
        <w:rPr>
          <w:spacing w:val="-9"/>
        </w:rPr>
        <w:t xml:space="preserve"> </w:t>
      </w:r>
      <w:r>
        <w:t>systematic</w:t>
      </w:r>
      <w:r>
        <w:rPr>
          <w:spacing w:val="-9"/>
        </w:rPr>
        <w:t xml:space="preserve"> </w:t>
      </w:r>
      <w:r>
        <w:rPr>
          <w:spacing w:val="-2"/>
        </w:rPr>
        <w:t>review</w:t>
      </w:r>
    </w:p>
    <w:p w14:paraId="6389A7A9" w14:textId="77777777" w:rsidR="00FB4E58" w:rsidRDefault="00000000">
      <w:pPr>
        <w:pStyle w:val="BodyText"/>
        <w:ind w:right="75"/>
      </w:pPr>
      <w:r>
        <w:t>Consider a systematic review evaluating the effect of corticosteroid treatment in patients with sepsis. The systematic</w:t>
      </w:r>
      <w:r>
        <w:rPr>
          <w:spacing w:val="-9"/>
        </w:rPr>
        <w:t xml:space="preserve"> </w:t>
      </w:r>
      <w:r>
        <w:t>review,</w:t>
      </w:r>
      <w:r>
        <w:rPr>
          <w:spacing w:val="-10"/>
        </w:rPr>
        <w:t xml:space="preserve"> </w:t>
      </w:r>
      <w:r>
        <w:t>conducted</w:t>
      </w:r>
      <w:r>
        <w:rPr>
          <w:spacing w:val="-7"/>
        </w:rPr>
        <w:t xml:space="preserve"> </w:t>
      </w:r>
      <w:r>
        <w:t>to</w:t>
      </w:r>
      <w:r>
        <w:rPr>
          <w:spacing w:val="-9"/>
        </w:rPr>
        <w:t xml:space="preserve"> </w:t>
      </w:r>
      <w:r>
        <w:t>inform</w:t>
      </w:r>
      <w:r>
        <w:rPr>
          <w:spacing w:val="-9"/>
        </w:rPr>
        <w:t xml:space="preserve"> </w:t>
      </w:r>
      <w:r>
        <w:t>a</w:t>
      </w:r>
      <w:r>
        <w:rPr>
          <w:spacing w:val="-5"/>
        </w:rPr>
        <w:t xml:space="preserve"> </w:t>
      </w:r>
      <w:r>
        <w:rPr>
          <w:i/>
        </w:rPr>
        <w:t>BMJ</w:t>
      </w:r>
      <w:r>
        <w:rPr>
          <w:i/>
          <w:spacing w:val="-8"/>
        </w:rPr>
        <w:t xml:space="preserve"> </w:t>
      </w:r>
      <w:r>
        <w:t>Rapid</w:t>
      </w:r>
      <w:r>
        <w:rPr>
          <w:spacing w:val="-9"/>
        </w:rPr>
        <w:t xml:space="preserve"> </w:t>
      </w:r>
      <w:r>
        <w:t>Recommendation,</w:t>
      </w:r>
      <w:r>
        <w:rPr>
          <w:spacing w:val="-10"/>
        </w:rPr>
        <w:t xml:space="preserve"> </w:t>
      </w:r>
      <w:r>
        <w:t>included</w:t>
      </w:r>
      <w:r>
        <w:rPr>
          <w:spacing w:val="-10"/>
        </w:rPr>
        <w:t xml:space="preserve"> </w:t>
      </w:r>
      <w:r>
        <w:t>17</w:t>
      </w:r>
      <w:r>
        <w:rPr>
          <w:spacing w:val="-7"/>
        </w:rPr>
        <w:t xml:space="preserve"> </w:t>
      </w:r>
      <w:r>
        <w:t>RCTs</w:t>
      </w:r>
      <w:r>
        <w:rPr>
          <w:spacing w:val="-10"/>
        </w:rPr>
        <w:t xml:space="preserve"> </w:t>
      </w:r>
      <w:r>
        <w:t>enrolling</w:t>
      </w:r>
      <w:r>
        <w:rPr>
          <w:spacing w:val="-8"/>
        </w:rPr>
        <w:t xml:space="preserve"> </w:t>
      </w:r>
      <w:r>
        <w:t>over</w:t>
      </w:r>
      <w:r>
        <w:rPr>
          <w:spacing w:val="-9"/>
        </w:rPr>
        <w:t xml:space="preserve"> </w:t>
      </w:r>
      <w:r>
        <w:t>4,000 participants.</w:t>
      </w:r>
      <w:r>
        <w:rPr>
          <w:vertAlign w:val="superscript"/>
        </w:rPr>
        <w:t>2</w:t>
      </w:r>
      <w:r>
        <w:t xml:space="preserve"> It reported a point estimate of 3 additional gastrointestinal bleeds per 1000 patients in those randomized to corticosteroids, with a 95% CI ranging from 5 fewer to 13 more bleeds per 1000 patients</w:t>
      </w:r>
    </w:p>
    <w:p w14:paraId="32F1E92B" w14:textId="77777777" w:rsidR="00FB4E58" w:rsidRDefault="00000000">
      <w:pPr>
        <w:pStyle w:val="BodyText"/>
        <w:spacing w:before="2"/>
      </w:pPr>
      <w:r>
        <w:t>(Figure</w:t>
      </w:r>
      <w:r>
        <w:rPr>
          <w:spacing w:val="-6"/>
        </w:rPr>
        <w:t xml:space="preserve"> </w:t>
      </w:r>
      <w:r>
        <w:rPr>
          <w:spacing w:val="-5"/>
        </w:rPr>
        <w:t>4).</w:t>
      </w:r>
    </w:p>
    <w:p w14:paraId="058AEA3F" w14:textId="77777777" w:rsidR="00FB4E58" w:rsidRDefault="00000000">
      <w:pPr>
        <w:pStyle w:val="BodyText"/>
        <w:spacing w:before="158"/>
        <w:ind w:right="75"/>
      </w:pPr>
      <w:r>
        <w:rPr>
          <w:b/>
          <w:u w:val="single"/>
        </w:rPr>
        <w:t>Figure</w:t>
      </w:r>
      <w:r>
        <w:rPr>
          <w:b/>
          <w:spacing w:val="-8"/>
          <w:u w:val="single"/>
        </w:rPr>
        <w:t xml:space="preserve"> </w:t>
      </w:r>
      <w:r>
        <w:rPr>
          <w:b/>
          <w:u w:val="single"/>
        </w:rPr>
        <w:t>4</w:t>
      </w:r>
      <w:r>
        <w:t>.</w:t>
      </w:r>
      <w:r>
        <w:rPr>
          <w:spacing w:val="-5"/>
        </w:rPr>
        <w:t xml:space="preserve"> </w:t>
      </w:r>
      <w:r>
        <w:t>An</w:t>
      </w:r>
      <w:r>
        <w:rPr>
          <w:spacing w:val="-7"/>
        </w:rPr>
        <w:t xml:space="preserve"> </w:t>
      </w:r>
      <w:r>
        <w:t>example</w:t>
      </w:r>
      <w:r>
        <w:rPr>
          <w:spacing w:val="-7"/>
        </w:rPr>
        <w:t xml:space="preserve"> </w:t>
      </w:r>
      <w:r>
        <w:t>of</w:t>
      </w:r>
      <w:r>
        <w:rPr>
          <w:spacing w:val="-5"/>
        </w:rPr>
        <w:t xml:space="preserve"> </w:t>
      </w:r>
      <w:r>
        <w:t>rating</w:t>
      </w:r>
      <w:r>
        <w:rPr>
          <w:spacing w:val="-6"/>
        </w:rPr>
        <w:t xml:space="preserve"> </w:t>
      </w:r>
      <w:r>
        <w:t>certainty</w:t>
      </w:r>
      <w:r>
        <w:rPr>
          <w:spacing w:val="-5"/>
        </w:rPr>
        <w:t xml:space="preserve"> </w:t>
      </w:r>
      <w:r>
        <w:t>in</w:t>
      </w:r>
      <w:r>
        <w:rPr>
          <w:spacing w:val="-5"/>
        </w:rPr>
        <w:t xml:space="preserve"> </w:t>
      </w:r>
      <w:r>
        <w:t>little</w:t>
      </w:r>
      <w:r>
        <w:rPr>
          <w:spacing w:val="-5"/>
        </w:rPr>
        <w:t xml:space="preserve"> </w:t>
      </w:r>
      <w:r>
        <w:t>to</w:t>
      </w:r>
      <w:r>
        <w:rPr>
          <w:spacing w:val="-4"/>
        </w:rPr>
        <w:t xml:space="preserve"> </w:t>
      </w:r>
      <w:r>
        <w:t>no</w:t>
      </w:r>
      <w:r>
        <w:rPr>
          <w:spacing w:val="-6"/>
        </w:rPr>
        <w:t xml:space="preserve"> </w:t>
      </w:r>
      <w:r>
        <w:t>effect</w:t>
      </w:r>
      <w:r>
        <w:rPr>
          <w:spacing w:val="-7"/>
        </w:rPr>
        <w:t xml:space="preserve"> </w:t>
      </w:r>
      <w:r>
        <w:t>without</w:t>
      </w:r>
      <w:r>
        <w:rPr>
          <w:spacing w:val="-5"/>
        </w:rPr>
        <w:t xml:space="preserve"> </w:t>
      </w:r>
      <w:r>
        <w:t>prespecified</w:t>
      </w:r>
      <w:r>
        <w:rPr>
          <w:spacing w:val="-5"/>
        </w:rPr>
        <w:t xml:space="preserve"> </w:t>
      </w:r>
      <w:r>
        <w:t>MIDs</w:t>
      </w:r>
      <w:r>
        <w:rPr>
          <w:spacing w:val="-5"/>
        </w:rPr>
        <w:t xml:space="preserve"> </w:t>
      </w:r>
      <w:r>
        <w:t>in</w:t>
      </w:r>
      <w:r>
        <w:rPr>
          <w:spacing w:val="-5"/>
        </w:rPr>
        <w:t xml:space="preserve"> </w:t>
      </w:r>
      <w:r>
        <w:t>a</w:t>
      </w:r>
      <w:r>
        <w:rPr>
          <w:spacing w:val="-5"/>
        </w:rPr>
        <w:t xml:space="preserve"> </w:t>
      </w:r>
      <w:r>
        <w:t>systematic</w:t>
      </w:r>
      <w:r>
        <w:rPr>
          <w:spacing w:val="-8"/>
        </w:rPr>
        <w:t xml:space="preserve"> </w:t>
      </w:r>
      <w:r>
        <w:t>review of</w:t>
      </w:r>
      <w:r>
        <w:rPr>
          <w:spacing w:val="-1"/>
        </w:rPr>
        <w:t xml:space="preserve"> </w:t>
      </w:r>
      <w:r>
        <w:t>corticosteroids</w:t>
      </w:r>
      <w:r>
        <w:rPr>
          <w:spacing w:val="-1"/>
        </w:rPr>
        <w:t xml:space="preserve"> </w:t>
      </w:r>
      <w:r>
        <w:t>in</w:t>
      </w:r>
      <w:r>
        <w:rPr>
          <w:spacing w:val="-1"/>
        </w:rPr>
        <w:t xml:space="preserve"> </w:t>
      </w:r>
      <w:r>
        <w:t>sepsis</w:t>
      </w:r>
      <w:r>
        <w:rPr>
          <w:spacing w:val="-4"/>
        </w:rPr>
        <w:t xml:space="preserve"> </w:t>
      </w:r>
      <w:r>
        <w:t>with</w:t>
      </w:r>
      <w:r>
        <w:rPr>
          <w:spacing w:val="-1"/>
        </w:rPr>
        <w:t xml:space="preserve"> </w:t>
      </w:r>
      <w:r>
        <w:t>relation</w:t>
      </w:r>
      <w:r>
        <w:rPr>
          <w:spacing w:val="-4"/>
        </w:rPr>
        <w:t xml:space="preserve"> </w:t>
      </w:r>
      <w:r>
        <w:t>to</w:t>
      </w:r>
      <w:r>
        <w:rPr>
          <w:spacing w:val="-3"/>
        </w:rPr>
        <w:t xml:space="preserve"> </w:t>
      </w:r>
      <w:r>
        <w:t>gastrointestinal</w:t>
      </w:r>
      <w:r>
        <w:rPr>
          <w:spacing w:val="-1"/>
        </w:rPr>
        <w:t xml:space="preserve"> </w:t>
      </w:r>
      <w:r>
        <w:t>bleeding.</w:t>
      </w:r>
      <w:r>
        <w:rPr>
          <w:spacing w:val="-1"/>
        </w:rPr>
        <w:t xml:space="preserve"> </w:t>
      </w:r>
      <w:r>
        <w:t>If</w:t>
      </w:r>
      <w:r>
        <w:rPr>
          <w:spacing w:val="-1"/>
        </w:rPr>
        <w:t xml:space="preserve"> </w:t>
      </w:r>
      <w:r>
        <w:t>the</w:t>
      </w:r>
      <w:r>
        <w:rPr>
          <w:spacing w:val="-3"/>
        </w:rPr>
        <w:t xml:space="preserve"> </w:t>
      </w:r>
      <w:r>
        <w:t>implicit</w:t>
      </w:r>
      <w:r>
        <w:rPr>
          <w:spacing w:val="-1"/>
        </w:rPr>
        <w:t xml:space="preserve"> </w:t>
      </w:r>
      <w:r>
        <w:t>threshold</w:t>
      </w:r>
      <w:r>
        <w:rPr>
          <w:spacing w:val="-3"/>
        </w:rPr>
        <w:t xml:space="preserve"> </w:t>
      </w:r>
      <w:r>
        <w:t>is close</w:t>
      </w:r>
      <w:r>
        <w:rPr>
          <w:spacing w:val="-1"/>
        </w:rPr>
        <w:t xml:space="preserve"> </w:t>
      </w:r>
      <w:r>
        <w:t>to</w:t>
      </w:r>
      <w:r>
        <w:rPr>
          <w:spacing w:val="-1"/>
        </w:rPr>
        <w:t xml:space="preserve"> </w:t>
      </w:r>
      <w:r>
        <w:t>10</w:t>
      </w:r>
      <w:r>
        <w:rPr>
          <w:spacing w:val="-3"/>
        </w:rPr>
        <w:t xml:space="preserve"> </w:t>
      </w:r>
      <w:r>
        <w:t>in 1,000 (MID1) or less, Core GRADE users would rate down for imprecision. If it is in the vicinity of 20 in 1,000 (MID2) they would not.</w:t>
      </w:r>
    </w:p>
    <w:p w14:paraId="3D491B46" w14:textId="77777777" w:rsidR="00FB4E58" w:rsidRDefault="00000000">
      <w:pPr>
        <w:pStyle w:val="BodyText"/>
        <w:spacing w:before="8"/>
        <w:ind w:left="0"/>
        <w:rPr>
          <w:sz w:val="7"/>
        </w:rPr>
      </w:pPr>
      <w:r>
        <w:rPr>
          <w:noProof/>
          <w:sz w:val="7"/>
        </w:rPr>
        <w:drawing>
          <wp:anchor distT="0" distB="0" distL="0" distR="0" simplePos="0" relativeHeight="487589376" behindDoc="1" locked="0" layoutInCell="1" allowOverlap="1" wp14:anchorId="05B0C55E" wp14:editId="69905F6B">
            <wp:simplePos x="0" y="0"/>
            <wp:positionH relativeFrom="page">
              <wp:posOffset>698912</wp:posOffset>
            </wp:positionH>
            <wp:positionV relativeFrom="paragraph">
              <wp:posOffset>74947</wp:posOffset>
            </wp:positionV>
            <wp:extent cx="3523685" cy="2221420"/>
            <wp:effectExtent l="0" t="0" r="0" b="0"/>
            <wp:wrapTopAndBottom/>
            <wp:docPr id="4" name="Image 4" descr="A screen 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 shot of a graph  Description automatically generated"/>
                    <pic:cNvPicPr/>
                  </pic:nvPicPr>
                  <pic:blipFill>
                    <a:blip r:embed="rId8" cstate="print"/>
                    <a:stretch>
                      <a:fillRect/>
                    </a:stretch>
                  </pic:blipFill>
                  <pic:spPr>
                    <a:xfrm>
                      <a:off x="0" y="0"/>
                      <a:ext cx="3523685" cy="2221420"/>
                    </a:xfrm>
                    <a:prstGeom prst="rect">
                      <a:avLst/>
                    </a:prstGeom>
                  </pic:spPr>
                </pic:pic>
              </a:graphicData>
            </a:graphic>
          </wp:anchor>
        </w:drawing>
      </w:r>
    </w:p>
    <w:p w14:paraId="38A82299" w14:textId="77777777" w:rsidR="00FB4E58" w:rsidRDefault="00FB4E58">
      <w:pPr>
        <w:pStyle w:val="BodyText"/>
        <w:spacing w:before="219"/>
        <w:ind w:left="0"/>
      </w:pPr>
    </w:p>
    <w:p w14:paraId="25441D14" w14:textId="77777777" w:rsidR="00FB4E58" w:rsidRDefault="00000000">
      <w:pPr>
        <w:pStyle w:val="BodyText"/>
        <w:jc w:val="both"/>
      </w:pPr>
      <w:r>
        <w:t>Let</w:t>
      </w:r>
      <w:r>
        <w:rPr>
          <w:spacing w:val="-6"/>
        </w:rPr>
        <w:t xml:space="preserve"> </w:t>
      </w:r>
      <w:r>
        <w:t>us</w:t>
      </w:r>
      <w:r>
        <w:rPr>
          <w:spacing w:val="-4"/>
        </w:rPr>
        <w:t xml:space="preserve"> </w:t>
      </w:r>
      <w:r>
        <w:t>say</w:t>
      </w:r>
      <w:r>
        <w:rPr>
          <w:spacing w:val="-3"/>
        </w:rPr>
        <w:t xml:space="preserve"> </w:t>
      </w:r>
      <w:r>
        <w:t>that</w:t>
      </w:r>
      <w:r>
        <w:rPr>
          <w:spacing w:val="-5"/>
        </w:rPr>
        <w:t xml:space="preserve"> </w:t>
      </w:r>
      <w:r>
        <w:t>the</w:t>
      </w:r>
      <w:r>
        <w:rPr>
          <w:spacing w:val="-4"/>
        </w:rPr>
        <w:t xml:space="preserve"> </w:t>
      </w:r>
      <w:r>
        <w:t>GRADE</w:t>
      </w:r>
      <w:r>
        <w:rPr>
          <w:spacing w:val="-5"/>
        </w:rPr>
        <w:t xml:space="preserve"> </w:t>
      </w:r>
      <w:r>
        <w:t>team</w:t>
      </w:r>
      <w:r>
        <w:rPr>
          <w:spacing w:val="-5"/>
        </w:rPr>
        <w:t xml:space="preserve"> </w:t>
      </w:r>
      <w:r>
        <w:t>had</w:t>
      </w:r>
      <w:r>
        <w:rPr>
          <w:spacing w:val="-5"/>
        </w:rPr>
        <w:t xml:space="preserve"> </w:t>
      </w:r>
      <w:r>
        <w:t>planned</w:t>
      </w:r>
      <w:r>
        <w:rPr>
          <w:spacing w:val="-4"/>
        </w:rPr>
        <w:t xml:space="preserve"> </w:t>
      </w:r>
      <w:r>
        <w:t>to</w:t>
      </w:r>
      <w:r>
        <w:rPr>
          <w:spacing w:val="-5"/>
        </w:rPr>
        <w:t xml:space="preserve"> </w:t>
      </w:r>
      <w:r>
        <w:t>choose</w:t>
      </w:r>
      <w:r>
        <w:rPr>
          <w:spacing w:val="-4"/>
        </w:rPr>
        <w:t xml:space="preserve"> </w:t>
      </w:r>
      <w:r>
        <w:t>the</w:t>
      </w:r>
      <w:r>
        <w:rPr>
          <w:spacing w:val="-3"/>
        </w:rPr>
        <w:t xml:space="preserve"> </w:t>
      </w:r>
      <w:r>
        <w:t>null</w:t>
      </w:r>
      <w:r>
        <w:rPr>
          <w:spacing w:val="-5"/>
        </w:rPr>
        <w:t xml:space="preserve"> </w:t>
      </w:r>
      <w:r>
        <w:t>as</w:t>
      </w:r>
      <w:r>
        <w:rPr>
          <w:spacing w:val="-3"/>
        </w:rPr>
        <w:t xml:space="preserve"> </w:t>
      </w:r>
      <w:r>
        <w:t>the</w:t>
      </w:r>
      <w:r>
        <w:rPr>
          <w:spacing w:val="-5"/>
        </w:rPr>
        <w:t xml:space="preserve"> </w:t>
      </w:r>
      <w:r>
        <w:t>threshold</w:t>
      </w:r>
      <w:r>
        <w:rPr>
          <w:spacing w:val="-7"/>
        </w:rPr>
        <w:t xml:space="preserve"> </w:t>
      </w:r>
      <w:r>
        <w:t>and</w:t>
      </w:r>
      <w:r>
        <w:rPr>
          <w:spacing w:val="-4"/>
        </w:rPr>
        <w:t xml:space="preserve"> </w:t>
      </w:r>
      <w:r>
        <w:t>thus</w:t>
      </w:r>
      <w:r>
        <w:rPr>
          <w:spacing w:val="-4"/>
        </w:rPr>
        <w:t xml:space="preserve"> </w:t>
      </w:r>
      <w:r>
        <w:t>to</w:t>
      </w:r>
      <w:r>
        <w:rPr>
          <w:spacing w:val="-5"/>
        </w:rPr>
        <w:t xml:space="preserve"> </w:t>
      </w:r>
      <w:r>
        <w:t>rate</w:t>
      </w:r>
      <w:r>
        <w:rPr>
          <w:spacing w:val="-5"/>
        </w:rPr>
        <w:t xml:space="preserve"> </w:t>
      </w:r>
      <w:r>
        <w:rPr>
          <w:spacing w:val="-2"/>
        </w:rPr>
        <w:t>their</w:t>
      </w:r>
    </w:p>
    <w:p w14:paraId="411C4568" w14:textId="77777777" w:rsidR="00FB4E58" w:rsidRDefault="00000000">
      <w:pPr>
        <w:pStyle w:val="BodyText"/>
        <w:ind w:right="318"/>
        <w:jc w:val="both"/>
      </w:pPr>
      <w:r>
        <w:t>certainty</w:t>
      </w:r>
      <w:r>
        <w:rPr>
          <w:spacing w:val="-6"/>
        </w:rPr>
        <w:t xml:space="preserve"> </w:t>
      </w:r>
      <w:r>
        <w:t>in</w:t>
      </w:r>
      <w:r>
        <w:rPr>
          <w:spacing w:val="-6"/>
        </w:rPr>
        <w:t xml:space="preserve"> </w:t>
      </w:r>
      <w:r>
        <w:t>a</w:t>
      </w:r>
      <w:r>
        <w:rPr>
          <w:spacing w:val="-6"/>
        </w:rPr>
        <w:t xml:space="preserve"> </w:t>
      </w:r>
      <w:r>
        <w:t>non-zero</w:t>
      </w:r>
      <w:r>
        <w:rPr>
          <w:spacing w:val="-5"/>
        </w:rPr>
        <w:t xml:space="preserve"> </w:t>
      </w:r>
      <w:r>
        <w:t>effect.</w:t>
      </w:r>
      <w:r>
        <w:rPr>
          <w:spacing w:val="-6"/>
        </w:rPr>
        <w:t xml:space="preserve"> </w:t>
      </w:r>
      <w:r>
        <w:t>They</w:t>
      </w:r>
      <w:r>
        <w:rPr>
          <w:spacing w:val="-8"/>
        </w:rPr>
        <w:t xml:space="preserve"> </w:t>
      </w:r>
      <w:r>
        <w:t>now,</w:t>
      </w:r>
      <w:r>
        <w:rPr>
          <w:spacing w:val="-6"/>
        </w:rPr>
        <w:t xml:space="preserve"> </w:t>
      </w:r>
      <w:r>
        <w:t>however,</w:t>
      </w:r>
      <w:r>
        <w:rPr>
          <w:spacing w:val="-6"/>
        </w:rPr>
        <w:t xml:space="preserve"> </w:t>
      </w:r>
      <w:r>
        <w:t>face</w:t>
      </w:r>
      <w:r>
        <w:rPr>
          <w:spacing w:val="-6"/>
        </w:rPr>
        <w:t xml:space="preserve"> </w:t>
      </w:r>
      <w:r>
        <w:t>a</w:t>
      </w:r>
      <w:r>
        <w:rPr>
          <w:spacing w:val="-6"/>
        </w:rPr>
        <w:t xml:space="preserve"> </w:t>
      </w:r>
      <w:r>
        <w:t>point</w:t>
      </w:r>
      <w:r>
        <w:rPr>
          <w:spacing w:val="-6"/>
        </w:rPr>
        <w:t xml:space="preserve"> </w:t>
      </w:r>
      <w:r>
        <w:t>estimate</w:t>
      </w:r>
      <w:r>
        <w:rPr>
          <w:spacing w:val="-8"/>
        </w:rPr>
        <w:t xml:space="preserve"> </w:t>
      </w:r>
      <w:r>
        <w:t>of</w:t>
      </w:r>
      <w:r>
        <w:rPr>
          <w:spacing w:val="-6"/>
        </w:rPr>
        <w:t xml:space="preserve"> </w:t>
      </w:r>
      <w:r>
        <w:t>an</w:t>
      </w:r>
      <w:r>
        <w:rPr>
          <w:spacing w:val="-6"/>
        </w:rPr>
        <w:t xml:space="preserve"> </w:t>
      </w:r>
      <w:r>
        <w:t>increase</w:t>
      </w:r>
      <w:r>
        <w:rPr>
          <w:spacing w:val="-8"/>
        </w:rPr>
        <w:t xml:space="preserve"> </w:t>
      </w:r>
      <w:r>
        <w:t>of</w:t>
      </w:r>
      <w:r>
        <w:rPr>
          <w:spacing w:val="-8"/>
        </w:rPr>
        <w:t xml:space="preserve"> </w:t>
      </w:r>
      <w:r>
        <w:t>3</w:t>
      </w:r>
      <w:r>
        <w:rPr>
          <w:spacing w:val="-6"/>
        </w:rPr>
        <w:t xml:space="preserve"> </w:t>
      </w:r>
      <w:r>
        <w:t>bleeds</w:t>
      </w:r>
      <w:r>
        <w:rPr>
          <w:spacing w:val="-6"/>
        </w:rPr>
        <w:t xml:space="preserve"> </w:t>
      </w:r>
      <w:r>
        <w:t>in</w:t>
      </w:r>
      <w:r>
        <w:rPr>
          <w:spacing w:val="-9"/>
        </w:rPr>
        <w:t xml:space="preserve"> </w:t>
      </w:r>
      <w:r>
        <w:t>1,000, very</w:t>
      </w:r>
      <w:r>
        <w:rPr>
          <w:spacing w:val="-1"/>
        </w:rPr>
        <w:t xml:space="preserve"> </w:t>
      </w:r>
      <w:r>
        <w:t>close</w:t>
      </w:r>
      <w:r>
        <w:rPr>
          <w:spacing w:val="-1"/>
        </w:rPr>
        <w:t xml:space="preserve"> </w:t>
      </w:r>
      <w:r>
        <w:t>to the</w:t>
      </w:r>
      <w:r>
        <w:rPr>
          <w:spacing w:val="-1"/>
        </w:rPr>
        <w:t xml:space="preserve"> </w:t>
      </w:r>
      <w:r>
        <w:t>null</w:t>
      </w:r>
      <w:r>
        <w:rPr>
          <w:spacing w:val="-2"/>
        </w:rPr>
        <w:t xml:space="preserve"> </w:t>
      </w:r>
      <w:r>
        <w:t>and</w:t>
      </w:r>
      <w:r>
        <w:rPr>
          <w:spacing w:val="-3"/>
        </w:rPr>
        <w:t xml:space="preserve"> </w:t>
      </w:r>
      <w:r>
        <w:t>representing</w:t>
      </w:r>
      <w:r>
        <w:rPr>
          <w:spacing w:val="-2"/>
        </w:rPr>
        <w:t xml:space="preserve"> </w:t>
      </w:r>
      <w:r>
        <w:t>an</w:t>
      </w:r>
      <w:r>
        <w:rPr>
          <w:spacing w:val="-4"/>
        </w:rPr>
        <w:t xml:space="preserve"> </w:t>
      </w:r>
      <w:r>
        <w:t>effect that</w:t>
      </w:r>
      <w:r>
        <w:rPr>
          <w:spacing w:val="-3"/>
        </w:rPr>
        <w:t xml:space="preserve"> </w:t>
      </w:r>
      <w:r>
        <w:t>they</w:t>
      </w:r>
      <w:r>
        <w:rPr>
          <w:spacing w:val="-1"/>
        </w:rPr>
        <w:t xml:space="preserve"> </w:t>
      </w:r>
      <w:r>
        <w:t>consider</w:t>
      </w:r>
      <w:r>
        <w:rPr>
          <w:spacing w:val="-3"/>
        </w:rPr>
        <w:t xml:space="preserve"> </w:t>
      </w:r>
      <w:r>
        <w:t>unimportant.</w:t>
      </w:r>
      <w:r>
        <w:rPr>
          <w:spacing w:val="-3"/>
        </w:rPr>
        <w:t xml:space="preserve"> </w:t>
      </w:r>
      <w:r>
        <w:t>Thus,</w:t>
      </w:r>
      <w:r>
        <w:rPr>
          <w:spacing w:val="-1"/>
        </w:rPr>
        <w:t xml:space="preserve"> </w:t>
      </w:r>
      <w:r>
        <w:t>they</w:t>
      </w:r>
      <w:r>
        <w:rPr>
          <w:spacing w:val="-3"/>
        </w:rPr>
        <w:t xml:space="preserve"> </w:t>
      </w:r>
      <w:r>
        <w:t>choose</w:t>
      </w:r>
      <w:r>
        <w:rPr>
          <w:spacing w:val="-3"/>
        </w:rPr>
        <w:t xml:space="preserve"> </w:t>
      </w:r>
      <w:r>
        <w:t>to</w:t>
      </w:r>
      <w:r>
        <w:rPr>
          <w:spacing w:val="-3"/>
        </w:rPr>
        <w:t xml:space="preserve"> </w:t>
      </w:r>
      <w:r>
        <w:t>rate their certainty in little to no effect.</w:t>
      </w:r>
    </w:p>
    <w:p w14:paraId="749F8902" w14:textId="77777777" w:rsidR="00FB4E58" w:rsidRDefault="00FB4E58">
      <w:pPr>
        <w:pStyle w:val="BodyText"/>
        <w:jc w:val="both"/>
        <w:sectPr w:rsidR="00FB4E58">
          <w:pgSz w:w="11910" w:h="16840"/>
          <w:pgMar w:top="1380" w:right="992" w:bottom="280" w:left="992" w:header="720" w:footer="720" w:gutter="0"/>
          <w:cols w:space="720"/>
        </w:sectPr>
      </w:pPr>
    </w:p>
    <w:p w14:paraId="275816F3" w14:textId="77777777" w:rsidR="00FB4E58" w:rsidRDefault="00000000">
      <w:pPr>
        <w:pStyle w:val="BodyText"/>
        <w:spacing w:before="41"/>
      </w:pPr>
      <w:r>
        <w:lastRenderedPageBreak/>
        <w:t>When</w:t>
      </w:r>
      <w:r>
        <w:rPr>
          <w:spacing w:val="-8"/>
        </w:rPr>
        <w:t xml:space="preserve"> </w:t>
      </w:r>
      <w:r>
        <w:t>doing</w:t>
      </w:r>
      <w:r>
        <w:rPr>
          <w:spacing w:val="-5"/>
        </w:rPr>
        <w:t xml:space="preserve"> </w:t>
      </w:r>
      <w:r>
        <w:t>so,</w:t>
      </w:r>
      <w:r>
        <w:rPr>
          <w:spacing w:val="-5"/>
        </w:rPr>
        <w:t xml:space="preserve"> </w:t>
      </w:r>
      <w:r>
        <w:t>they</w:t>
      </w:r>
      <w:r>
        <w:rPr>
          <w:spacing w:val="-4"/>
        </w:rPr>
        <w:t xml:space="preserve"> </w:t>
      </w:r>
      <w:r>
        <w:t>must</w:t>
      </w:r>
      <w:r>
        <w:rPr>
          <w:spacing w:val="-6"/>
        </w:rPr>
        <w:t xml:space="preserve"> </w:t>
      </w:r>
      <w:r>
        <w:t>consider</w:t>
      </w:r>
      <w:r>
        <w:rPr>
          <w:spacing w:val="-5"/>
        </w:rPr>
        <w:t xml:space="preserve"> </w:t>
      </w:r>
      <w:r>
        <w:t>possible</w:t>
      </w:r>
      <w:r>
        <w:rPr>
          <w:spacing w:val="-6"/>
        </w:rPr>
        <w:t xml:space="preserve"> </w:t>
      </w:r>
      <w:r>
        <w:t>estimates</w:t>
      </w:r>
      <w:r>
        <w:rPr>
          <w:spacing w:val="-7"/>
        </w:rPr>
        <w:t xml:space="preserve"> </w:t>
      </w:r>
      <w:r>
        <w:t>of</w:t>
      </w:r>
      <w:r>
        <w:rPr>
          <w:spacing w:val="-6"/>
        </w:rPr>
        <w:t xml:space="preserve"> </w:t>
      </w:r>
      <w:r>
        <w:t>the</w:t>
      </w:r>
      <w:r>
        <w:rPr>
          <w:spacing w:val="-6"/>
        </w:rPr>
        <w:t xml:space="preserve"> </w:t>
      </w:r>
      <w:r>
        <w:t>MID</w:t>
      </w:r>
      <w:r>
        <w:rPr>
          <w:spacing w:val="-4"/>
        </w:rPr>
        <w:t xml:space="preserve"> </w:t>
      </w:r>
      <w:r>
        <w:t>for</w:t>
      </w:r>
      <w:r>
        <w:rPr>
          <w:spacing w:val="-4"/>
        </w:rPr>
        <w:t xml:space="preserve"> </w:t>
      </w:r>
      <w:r>
        <w:t>benefit</w:t>
      </w:r>
      <w:r>
        <w:rPr>
          <w:spacing w:val="-5"/>
        </w:rPr>
        <w:t xml:space="preserve"> </w:t>
      </w:r>
      <w:r>
        <w:t>and</w:t>
      </w:r>
      <w:r>
        <w:rPr>
          <w:spacing w:val="-8"/>
        </w:rPr>
        <w:t xml:space="preserve"> </w:t>
      </w:r>
      <w:r>
        <w:t>harm.</w:t>
      </w:r>
      <w:r>
        <w:rPr>
          <w:spacing w:val="-4"/>
        </w:rPr>
        <w:t xml:space="preserve"> </w:t>
      </w:r>
      <w:r>
        <w:t>Let</w:t>
      </w:r>
      <w:r>
        <w:rPr>
          <w:spacing w:val="-5"/>
        </w:rPr>
        <w:t xml:space="preserve"> </w:t>
      </w:r>
      <w:r>
        <w:t>us</w:t>
      </w:r>
      <w:r>
        <w:rPr>
          <w:spacing w:val="-4"/>
        </w:rPr>
        <w:t xml:space="preserve"> </w:t>
      </w:r>
      <w:r>
        <w:t>say</w:t>
      </w:r>
      <w:r>
        <w:rPr>
          <w:spacing w:val="-6"/>
        </w:rPr>
        <w:t xml:space="preserve"> </w:t>
      </w:r>
      <w:r>
        <w:rPr>
          <w:spacing w:val="-2"/>
        </w:rPr>
        <w:t>their</w:t>
      </w:r>
    </w:p>
    <w:p w14:paraId="7975409D" w14:textId="77777777" w:rsidR="00FB4E58" w:rsidRDefault="00000000">
      <w:pPr>
        <w:pStyle w:val="BodyText"/>
        <w:ind w:right="166"/>
      </w:pPr>
      <w:r>
        <w:t>threshold</w:t>
      </w:r>
      <w:r>
        <w:rPr>
          <w:spacing w:val="-5"/>
        </w:rPr>
        <w:t xml:space="preserve"> </w:t>
      </w:r>
      <w:r>
        <w:t>is</w:t>
      </w:r>
      <w:r>
        <w:rPr>
          <w:spacing w:val="-2"/>
        </w:rPr>
        <w:t xml:space="preserve"> </w:t>
      </w:r>
      <w:r>
        <w:t>close</w:t>
      </w:r>
      <w:r>
        <w:rPr>
          <w:spacing w:val="-5"/>
        </w:rPr>
        <w:t xml:space="preserve"> </w:t>
      </w:r>
      <w:r>
        <w:t>to</w:t>
      </w:r>
      <w:r>
        <w:rPr>
          <w:spacing w:val="-4"/>
        </w:rPr>
        <w:t xml:space="preserve"> </w:t>
      </w:r>
      <w:r>
        <w:t>10</w:t>
      </w:r>
      <w:r>
        <w:rPr>
          <w:spacing w:val="-3"/>
        </w:rPr>
        <w:t xml:space="preserve"> </w:t>
      </w:r>
      <w:r>
        <w:t>in</w:t>
      </w:r>
      <w:r>
        <w:rPr>
          <w:spacing w:val="-6"/>
        </w:rPr>
        <w:t xml:space="preserve"> </w:t>
      </w:r>
      <w:r>
        <w:t>1,000</w:t>
      </w:r>
      <w:r>
        <w:rPr>
          <w:spacing w:val="-3"/>
        </w:rPr>
        <w:t xml:space="preserve"> </w:t>
      </w:r>
      <w:r>
        <w:t>(MID1</w:t>
      </w:r>
      <w:r>
        <w:rPr>
          <w:spacing w:val="-3"/>
        </w:rPr>
        <w:t xml:space="preserve"> </w:t>
      </w:r>
      <w:r>
        <w:t>in</w:t>
      </w:r>
      <w:r>
        <w:rPr>
          <w:spacing w:val="-3"/>
        </w:rPr>
        <w:t xml:space="preserve"> </w:t>
      </w:r>
      <w:r>
        <w:t>Figure</w:t>
      </w:r>
      <w:r>
        <w:rPr>
          <w:spacing w:val="-3"/>
        </w:rPr>
        <w:t xml:space="preserve"> </w:t>
      </w:r>
      <w:r>
        <w:t>4).</w:t>
      </w:r>
      <w:r>
        <w:rPr>
          <w:spacing w:val="-6"/>
        </w:rPr>
        <w:t xml:space="preserve"> </w:t>
      </w:r>
      <w:r>
        <w:t>Since</w:t>
      </w:r>
      <w:r>
        <w:rPr>
          <w:spacing w:val="-2"/>
        </w:rPr>
        <w:t xml:space="preserve"> </w:t>
      </w:r>
      <w:r>
        <w:t>the</w:t>
      </w:r>
      <w:r>
        <w:rPr>
          <w:spacing w:val="-5"/>
        </w:rPr>
        <w:t xml:space="preserve"> </w:t>
      </w:r>
      <w:r>
        <w:t>boundary</w:t>
      </w:r>
      <w:r>
        <w:rPr>
          <w:spacing w:val="-5"/>
        </w:rPr>
        <w:t xml:space="preserve"> </w:t>
      </w:r>
      <w:r>
        <w:t>of</w:t>
      </w:r>
      <w:r>
        <w:rPr>
          <w:spacing w:val="-3"/>
        </w:rPr>
        <w:t xml:space="preserve"> </w:t>
      </w:r>
      <w:r>
        <w:t>the</w:t>
      </w:r>
      <w:r>
        <w:rPr>
          <w:spacing w:val="-3"/>
        </w:rPr>
        <w:t xml:space="preserve"> </w:t>
      </w:r>
      <w:r>
        <w:t>CI</w:t>
      </w:r>
      <w:r>
        <w:rPr>
          <w:spacing w:val="-2"/>
        </w:rPr>
        <w:t xml:space="preserve"> </w:t>
      </w:r>
      <w:r>
        <w:t>favoring</w:t>
      </w:r>
      <w:r>
        <w:rPr>
          <w:spacing w:val="-3"/>
        </w:rPr>
        <w:t xml:space="preserve"> </w:t>
      </w:r>
      <w:r>
        <w:t>no</w:t>
      </w:r>
      <w:r>
        <w:rPr>
          <w:spacing w:val="-2"/>
        </w:rPr>
        <w:t xml:space="preserve"> </w:t>
      </w:r>
      <w:r>
        <w:t>corticosteroid</w:t>
      </w:r>
      <w:r>
        <w:rPr>
          <w:spacing w:val="-5"/>
        </w:rPr>
        <w:t xml:space="preserve"> </w:t>
      </w:r>
      <w:r>
        <w:t>is appreciably greater than 10 in 1,000, they lose confidence in their inference of an unimportant increase in bleeding and would rate down for imprecision.</w:t>
      </w:r>
    </w:p>
    <w:p w14:paraId="223CCD29" w14:textId="77777777" w:rsidR="00FB4E58" w:rsidRDefault="00000000">
      <w:pPr>
        <w:pStyle w:val="BodyText"/>
        <w:spacing w:before="159"/>
      </w:pPr>
      <w:r>
        <w:t>If,</w:t>
      </w:r>
      <w:r>
        <w:rPr>
          <w:spacing w:val="-4"/>
        </w:rPr>
        <w:t xml:space="preserve"> </w:t>
      </w:r>
      <w:r>
        <w:t>however,</w:t>
      </w:r>
      <w:r>
        <w:rPr>
          <w:spacing w:val="-4"/>
        </w:rPr>
        <w:t xml:space="preserve"> </w:t>
      </w:r>
      <w:r>
        <w:t>they</w:t>
      </w:r>
      <w:r>
        <w:rPr>
          <w:spacing w:val="-4"/>
        </w:rPr>
        <w:t xml:space="preserve"> </w:t>
      </w:r>
      <w:r>
        <w:t>believe</w:t>
      </w:r>
      <w:r>
        <w:rPr>
          <w:spacing w:val="-4"/>
        </w:rPr>
        <w:t xml:space="preserve"> </w:t>
      </w:r>
      <w:r>
        <w:t>the</w:t>
      </w:r>
      <w:r>
        <w:rPr>
          <w:spacing w:val="-4"/>
        </w:rPr>
        <w:t xml:space="preserve"> </w:t>
      </w:r>
      <w:r>
        <w:t>threshold</w:t>
      </w:r>
      <w:r>
        <w:rPr>
          <w:spacing w:val="-7"/>
        </w:rPr>
        <w:t xml:space="preserve"> </w:t>
      </w:r>
      <w:r>
        <w:t>of</w:t>
      </w:r>
      <w:r>
        <w:rPr>
          <w:spacing w:val="-4"/>
        </w:rPr>
        <w:t xml:space="preserve"> </w:t>
      </w:r>
      <w:r>
        <w:t>importance</w:t>
      </w:r>
      <w:r>
        <w:rPr>
          <w:spacing w:val="-6"/>
        </w:rPr>
        <w:t xml:space="preserve"> </w:t>
      </w:r>
      <w:r>
        <w:t>is</w:t>
      </w:r>
      <w:r>
        <w:rPr>
          <w:spacing w:val="-4"/>
        </w:rPr>
        <w:t xml:space="preserve"> </w:t>
      </w:r>
      <w:r>
        <w:t>in</w:t>
      </w:r>
      <w:r>
        <w:rPr>
          <w:spacing w:val="-4"/>
        </w:rPr>
        <w:t xml:space="preserve"> </w:t>
      </w:r>
      <w:r>
        <w:t>the</w:t>
      </w:r>
      <w:r>
        <w:rPr>
          <w:spacing w:val="-6"/>
        </w:rPr>
        <w:t xml:space="preserve"> </w:t>
      </w:r>
      <w:r>
        <w:t>vicinity</w:t>
      </w:r>
      <w:r>
        <w:rPr>
          <w:spacing w:val="-6"/>
        </w:rPr>
        <w:t xml:space="preserve"> </w:t>
      </w:r>
      <w:r>
        <w:t>of</w:t>
      </w:r>
      <w:r>
        <w:rPr>
          <w:spacing w:val="-4"/>
        </w:rPr>
        <w:t xml:space="preserve"> </w:t>
      </w:r>
      <w:r>
        <w:t>20</w:t>
      </w:r>
      <w:r>
        <w:rPr>
          <w:spacing w:val="-4"/>
        </w:rPr>
        <w:t xml:space="preserve"> </w:t>
      </w:r>
      <w:r>
        <w:t>in</w:t>
      </w:r>
      <w:r>
        <w:rPr>
          <w:spacing w:val="-7"/>
        </w:rPr>
        <w:t xml:space="preserve"> </w:t>
      </w:r>
      <w:r>
        <w:t>1,000,</w:t>
      </w:r>
      <w:r>
        <w:rPr>
          <w:spacing w:val="-6"/>
        </w:rPr>
        <w:t xml:space="preserve"> </w:t>
      </w:r>
      <w:r>
        <w:t>the</w:t>
      </w:r>
      <w:r>
        <w:rPr>
          <w:spacing w:val="-4"/>
        </w:rPr>
        <w:t xml:space="preserve"> </w:t>
      </w:r>
      <w:r>
        <w:t>boundaries</w:t>
      </w:r>
      <w:r>
        <w:rPr>
          <w:spacing w:val="-6"/>
        </w:rPr>
        <w:t xml:space="preserve"> </w:t>
      </w:r>
      <w:r>
        <w:t>of</w:t>
      </w:r>
      <w:r>
        <w:rPr>
          <w:spacing w:val="-4"/>
        </w:rPr>
        <w:t xml:space="preserve"> </w:t>
      </w:r>
      <w:r>
        <w:t>the</w:t>
      </w:r>
      <w:r>
        <w:rPr>
          <w:spacing w:val="-4"/>
        </w:rPr>
        <w:t xml:space="preserve"> </w:t>
      </w:r>
      <w:r>
        <w:t>CI are appreciably lower than their thresholds and they would not rate down for imprecision. They would conclude that, at least as far as imprecision is concerned, the data provides compelling evidence that</w:t>
      </w:r>
    </w:p>
    <w:p w14:paraId="119756C5" w14:textId="77777777" w:rsidR="00FB4E58" w:rsidRDefault="00000000">
      <w:pPr>
        <w:pStyle w:val="BodyText"/>
        <w:spacing w:before="1"/>
      </w:pPr>
      <w:r>
        <w:t>corticosteroids</w:t>
      </w:r>
      <w:r>
        <w:rPr>
          <w:spacing w:val="-7"/>
        </w:rPr>
        <w:t xml:space="preserve"> </w:t>
      </w:r>
      <w:r>
        <w:t>result</w:t>
      </w:r>
      <w:r>
        <w:rPr>
          <w:spacing w:val="-6"/>
        </w:rPr>
        <w:t xml:space="preserve"> </w:t>
      </w:r>
      <w:r>
        <w:t>in</w:t>
      </w:r>
      <w:r>
        <w:rPr>
          <w:spacing w:val="-8"/>
        </w:rPr>
        <w:t xml:space="preserve"> </w:t>
      </w:r>
      <w:r>
        <w:t>little</w:t>
      </w:r>
      <w:r>
        <w:rPr>
          <w:spacing w:val="-7"/>
        </w:rPr>
        <w:t xml:space="preserve"> </w:t>
      </w:r>
      <w:r>
        <w:t>to</w:t>
      </w:r>
      <w:r>
        <w:rPr>
          <w:spacing w:val="-5"/>
        </w:rPr>
        <w:t xml:space="preserve"> </w:t>
      </w:r>
      <w:r>
        <w:t>no</w:t>
      </w:r>
      <w:r>
        <w:rPr>
          <w:spacing w:val="-8"/>
        </w:rPr>
        <w:t xml:space="preserve"> </w:t>
      </w:r>
      <w:r>
        <w:t>increase</w:t>
      </w:r>
      <w:r>
        <w:rPr>
          <w:spacing w:val="-6"/>
        </w:rPr>
        <w:t xml:space="preserve"> </w:t>
      </w:r>
      <w:r>
        <w:t>in</w:t>
      </w:r>
      <w:r>
        <w:rPr>
          <w:spacing w:val="-8"/>
        </w:rPr>
        <w:t xml:space="preserve"> </w:t>
      </w:r>
      <w:r>
        <w:rPr>
          <w:spacing w:val="-2"/>
        </w:rPr>
        <w:t>bleeding.</w:t>
      </w:r>
    </w:p>
    <w:p w14:paraId="75E871DE" w14:textId="77777777" w:rsidR="00FB4E58" w:rsidRDefault="00000000">
      <w:pPr>
        <w:pStyle w:val="BodyText"/>
        <w:spacing w:before="159"/>
        <w:ind w:right="75"/>
      </w:pPr>
      <w:r>
        <w:t>This example demonstrates how Core GRADE users choosing the null as the threshold may avoid, when the point estimate is near the null, choosing a single specific value of the MID. In this case, the only judgment review authors need to make is whether the MID is less than the upper limit (harm) of the CI, that is 13 per 1,000 (i.e. 1 to 12 per 1000) or more than</w:t>
      </w:r>
      <w:r>
        <w:rPr>
          <w:spacing w:val="-2"/>
        </w:rPr>
        <w:t xml:space="preserve"> </w:t>
      </w:r>
      <w:r>
        <w:t xml:space="preserve">13 per 1,000 (14 or more per 1000). Core GRADE users </w:t>
      </w:r>
      <w:proofErr w:type="gramStart"/>
      <w:r>
        <w:t>would</w:t>
      </w:r>
      <w:proofErr w:type="gramEnd"/>
      <w:r>
        <w:t xml:space="preserve"> rate down for imprecision if they consider the MID less than the upper limit, otherwise not. In describing their decision</w:t>
      </w:r>
      <w:r>
        <w:rPr>
          <w:spacing w:val="-4"/>
        </w:rPr>
        <w:t xml:space="preserve"> </w:t>
      </w:r>
      <w:r>
        <w:t>to</w:t>
      </w:r>
      <w:r>
        <w:rPr>
          <w:spacing w:val="-2"/>
        </w:rPr>
        <w:t xml:space="preserve"> </w:t>
      </w:r>
      <w:r>
        <w:t>rate</w:t>
      </w:r>
      <w:r>
        <w:rPr>
          <w:spacing w:val="-3"/>
        </w:rPr>
        <w:t xml:space="preserve"> </w:t>
      </w:r>
      <w:r>
        <w:t>down</w:t>
      </w:r>
      <w:r>
        <w:rPr>
          <w:spacing w:val="-3"/>
        </w:rPr>
        <w:t xml:space="preserve"> </w:t>
      </w:r>
      <w:r>
        <w:t>or</w:t>
      </w:r>
      <w:r>
        <w:rPr>
          <w:spacing w:val="-6"/>
        </w:rPr>
        <w:t xml:space="preserve"> </w:t>
      </w:r>
      <w:r>
        <w:t>not,</w:t>
      </w:r>
      <w:r>
        <w:rPr>
          <w:spacing w:val="-3"/>
        </w:rPr>
        <w:t xml:space="preserve"> </w:t>
      </w:r>
      <w:r>
        <w:t>authors</w:t>
      </w:r>
      <w:r>
        <w:rPr>
          <w:spacing w:val="-3"/>
        </w:rPr>
        <w:t xml:space="preserve"> </w:t>
      </w:r>
      <w:r>
        <w:t>need</w:t>
      </w:r>
      <w:r>
        <w:rPr>
          <w:spacing w:val="-3"/>
        </w:rPr>
        <w:t xml:space="preserve"> </w:t>
      </w:r>
      <w:r>
        <w:t>to</w:t>
      </w:r>
      <w:r>
        <w:rPr>
          <w:spacing w:val="-2"/>
        </w:rPr>
        <w:t xml:space="preserve"> </w:t>
      </w:r>
      <w:r>
        <w:t>be</w:t>
      </w:r>
      <w:r>
        <w:rPr>
          <w:spacing w:val="-3"/>
        </w:rPr>
        <w:t xml:space="preserve"> </w:t>
      </w:r>
      <w:r>
        <w:t>explicit</w:t>
      </w:r>
      <w:r>
        <w:rPr>
          <w:spacing w:val="-3"/>
        </w:rPr>
        <w:t xml:space="preserve"> </w:t>
      </w:r>
      <w:r>
        <w:t>only</w:t>
      </w:r>
      <w:r>
        <w:rPr>
          <w:spacing w:val="-3"/>
        </w:rPr>
        <w:t xml:space="preserve"> </w:t>
      </w:r>
      <w:r>
        <w:t>in</w:t>
      </w:r>
      <w:r>
        <w:rPr>
          <w:spacing w:val="-3"/>
        </w:rPr>
        <w:t xml:space="preserve"> </w:t>
      </w:r>
      <w:r>
        <w:t>their</w:t>
      </w:r>
      <w:r>
        <w:rPr>
          <w:spacing w:val="-3"/>
        </w:rPr>
        <w:t xml:space="preserve"> </w:t>
      </w:r>
      <w:r>
        <w:t>judgment</w:t>
      </w:r>
      <w:r>
        <w:rPr>
          <w:spacing w:val="-5"/>
        </w:rPr>
        <w:t xml:space="preserve"> </w:t>
      </w:r>
      <w:r>
        <w:t>of</w:t>
      </w:r>
      <w:r>
        <w:rPr>
          <w:spacing w:val="-3"/>
        </w:rPr>
        <w:t xml:space="preserve"> </w:t>
      </w:r>
      <w:r>
        <w:t>whether</w:t>
      </w:r>
      <w:r>
        <w:rPr>
          <w:spacing w:val="-3"/>
        </w:rPr>
        <w:t xml:space="preserve"> </w:t>
      </w:r>
      <w:r>
        <w:t>boundaries</w:t>
      </w:r>
      <w:r>
        <w:rPr>
          <w:spacing w:val="-5"/>
        </w:rPr>
        <w:t xml:space="preserve"> </w:t>
      </w:r>
      <w:r>
        <w:t>of</w:t>
      </w:r>
      <w:r>
        <w:rPr>
          <w:spacing w:val="-3"/>
        </w:rPr>
        <w:t xml:space="preserve"> </w:t>
      </w:r>
      <w:r>
        <w:t>the confidence interval represent important or unimportant effects.</w:t>
      </w:r>
    </w:p>
    <w:p w14:paraId="71655B97" w14:textId="77777777" w:rsidR="00FB4E58" w:rsidRDefault="00FB4E58">
      <w:pPr>
        <w:pStyle w:val="BodyText"/>
        <w:ind w:left="0"/>
      </w:pPr>
    </w:p>
    <w:p w14:paraId="58779921" w14:textId="77777777" w:rsidR="00FB4E58" w:rsidRDefault="00FB4E58">
      <w:pPr>
        <w:pStyle w:val="BodyText"/>
        <w:spacing w:before="161"/>
        <w:ind w:left="0"/>
      </w:pPr>
    </w:p>
    <w:p w14:paraId="7F3A68C4" w14:textId="77777777" w:rsidR="00FB4E58" w:rsidRDefault="00000000">
      <w:pPr>
        <w:pStyle w:val="Heading1"/>
        <w:ind w:left="87" w:firstLine="0"/>
      </w:pPr>
      <w:r>
        <w:rPr>
          <w:spacing w:val="-2"/>
        </w:rPr>
        <w:t>References</w:t>
      </w:r>
    </w:p>
    <w:p w14:paraId="7ED228FA" w14:textId="77777777" w:rsidR="00FB4E58" w:rsidRDefault="00000000">
      <w:pPr>
        <w:pStyle w:val="ListParagraph"/>
        <w:numPr>
          <w:ilvl w:val="0"/>
          <w:numId w:val="1"/>
        </w:numPr>
        <w:tabs>
          <w:tab w:val="left" w:pos="320"/>
          <w:tab w:val="left" w:pos="808"/>
        </w:tabs>
        <w:ind w:right="93" w:hanging="721"/>
      </w:pPr>
      <w:r>
        <w:t>Zeng L, Hultcrantz M, Tovey D, et al. Rating certainty when the target threshold is the null and the point</w:t>
      </w:r>
      <w:r>
        <w:rPr>
          <w:spacing w:val="40"/>
        </w:rPr>
        <w:t xml:space="preserve"> </w:t>
      </w:r>
      <w:r>
        <w:t xml:space="preserve">estimate is close to the null. </w:t>
      </w:r>
      <w:r>
        <w:rPr>
          <w:i/>
        </w:rPr>
        <w:t xml:space="preserve">BMJ Evidence-based Medicine (Accepted) </w:t>
      </w:r>
      <w:r>
        <w:t>2024</w:t>
      </w:r>
    </w:p>
    <w:p w14:paraId="5F7AEFBC" w14:textId="77777777" w:rsidR="00FB4E58" w:rsidRDefault="00000000">
      <w:pPr>
        <w:pStyle w:val="ListParagraph"/>
        <w:numPr>
          <w:ilvl w:val="0"/>
          <w:numId w:val="1"/>
        </w:numPr>
        <w:tabs>
          <w:tab w:val="left" w:pos="297"/>
        </w:tabs>
        <w:spacing w:before="1"/>
        <w:ind w:left="297" w:hanging="210"/>
        <w:rPr>
          <w:i/>
        </w:rPr>
      </w:pPr>
      <w:r>
        <w:rPr>
          <w:spacing w:val="-2"/>
        </w:rPr>
        <w:t>Lamontagne</w:t>
      </w:r>
      <w:r>
        <w:rPr>
          <w:spacing w:val="-5"/>
        </w:rPr>
        <w:t xml:space="preserve"> </w:t>
      </w:r>
      <w:r>
        <w:rPr>
          <w:spacing w:val="-2"/>
        </w:rPr>
        <w:t>F,</w:t>
      </w:r>
      <w:r>
        <w:rPr>
          <w:spacing w:val="-5"/>
        </w:rPr>
        <w:t xml:space="preserve"> </w:t>
      </w:r>
      <w:r>
        <w:rPr>
          <w:spacing w:val="-2"/>
        </w:rPr>
        <w:t>Rochwerg</w:t>
      </w:r>
      <w:r>
        <w:rPr>
          <w:spacing w:val="-7"/>
        </w:rPr>
        <w:t xml:space="preserve"> </w:t>
      </w:r>
      <w:r>
        <w:rPr>
          <w:spacing w:val="-2"/>
        </w:rPr>
        <w:t>B,</w:t>
      </w:r>
      <w:r>
        <w:rPr>
          <w:spacing w:val="-4"/>
        </w:rPr>
        <w:t xml:space="preserve"> </w:t>
      </w:r>
      <w:r>
        <w:rPr>
          <w:spacing w:val="-2"/>
        </w:rPr>
        <w:t>Lytvyn</w:t>
      </w:r>
      <w:r>
        <w:rPr>
          <w:spacing w:val="-4"/>
        </w:rPr>
        <w:t xml:space="preserve"> </w:t>
      </w:r>
      <w:r>
        <w:rPr>
          <w:spacing w:val="-2"/>
        </w:rPr>
        <w:t>L,</w:t>
      </w:r>
      <w:r>
        <w:rPr>
          <w:spacing w:val="-4"/>
        </w:rPr>
        <w:t xml:space="preserve"> </w:t>
      </w:r>
      <w:r>
        <w:rPr>
          <w:spacing w:val="-2"/>
        </w:rPr>
        <w:t>et</w:t>
      </w:r>
      <w:r>
        <w:rPr>
          <w:spacing w:val="-5"/>
        </w:rPr>
        <w:t xml:space="preserve"> </w:t>
      </w:r>
      <w:r>
        <w:rPr>
          <w:spacing w:val="-2"/>
        </w:rPr>
        <w:t>al.</w:t>
      </w:r>
      <w:r>
        <w:rPr>
          <w:spacing w:val="-5"/>
        </w:rPr>
        <w:t xml:space="preserve"> </w:t>
      </w:r>
      <w:r>
        <w:rPr>
          <w:spacing w:val="-2"/>
        </w:rPr>
        <w:t>Corticosteroid</w:t>
      </w:r>
      <w:r>
        <w:rPr>
          <w:spacing w:val="-7"/>
        </w:rPr>
        <w:t xml:space="preserve"> </w:t>
      </w:r>
      <w:r>
        <w:rPr>
          <w:spacing w:val="-2"/>
        </w:rPr>
        <w:t>therapy</w:t>
      </w:r>
      <w:r>
        <w:rPr>
          <w:spacing w:val="-3"/>
        </w:rPr>
        <w:t xml:space="preserve"> </w:t>
      </w:r>
      <w:r>
        <w:rPr>
          <w:spacing w:val="-2"/>
        </w:rPr>
        <w:t>for</w:t>
      </w:r>
      <w:r>
        <w:rPr>
          <w:spacing w:val="-3"/>
        </w:rPr>
        <w:t xml:space="preserve"> </w:t>
      </w:r>
      <w:r>
        <w:rPr>
          <w:spacing w:val="-2"/>
        </w:rPr>
        <w:t>sepsis:</w:t>
      </w:r>
      <w:r>
        <w:rPr>
          <w:spacing w:val="-6"/>
        </w:rPr>
        <w:t xml:space="preserve"> </w:t>
      </w:r>
      <w:r>
        <w:rPr>
          <w:spacing w:val="-2"/>
        </w:rPr>
        <w:t>a</w:t>
      </w:r>
      <w:r>
        <w:rPr>
          <w:spacing w:val="-3"/>
        </w:rPr>
        <w:t xml:space="preserve"> </w:t>
      </w:r>
      <w:r>
        <w:rPr>
          <w:spacing w:val="-2"/>
        </w:rPr>
        <w:t>clinical</w:t>
      </w:r>
      <w:r>
        <w:rPr>
          <w:spacing w:val="-4"/>
        </w:rPr>
        <w:t xml:space="preserve"> </w:t>
      </w:r>
      <w:r>
        <w:rPr>
          <w:spacing w:val="-2"/>
        </w:rPr>
        <w:t xml:space="preserve">practice guideline. </w:t>
      </w:r>
      <w:proofErr w:type="spellStart"/>
      <w:r>
        <w:rPr>
          <w:i/>
          <w:spacing w:val="-5"/>
        </w:rPr>
        <w:t>Bmj</w:t>
      </w:r>
      <w:proofErr w:type="spellEnd"/>
    </w:p>
    <w:p w14:paraId="0A4BF550" w14:textId="77777777" w:rsidR="00FB4E58" w:rsidRDefault="00000000">
      <w:pPr>
        <w:pStyle w:val="BodyText"/>
        <w:ind w:left="808"/>
      </w:pPr>
      <w:r>
        <w:t>2018;362:k3284.</w:t>
      </w:r>
      <w:r>
        <w:rPr>
          <w:spacing w:val="-11"/>
        </w:rPr>
        <w:t xml:space="preserve"> </w:t>
      </w:r>
      <w:proofErr w:type="spellStart"/>
      <w:r>
        <w:t>doi</w:t>
      </w:r>
      <w:proofErr w:type="spellEnd"/>
      <w:r>
        <w:t>:</w:t>
      </w:r>
      <w:r>
        <w:rPr>
          <w:spacing w:val="-11"/>
        </w:rPr>
        <w:t xml:space="preserve"> </w:t>
      </w:r>
      <w:r>
        <w:t>10.1136/bmj.k3284</w:t>
      </w:r>
      <w:r>
        <w:rPr>
          <w:spacing w:val="-8"/>
        </w:rPr>
        <w:t xml:space="preserve"> </w:t>
      </w:r>
      <w:r>
        <w:t>[published</w:t>
      </w:r>
      <w:r>
        <w:rPr>
          <w:spacing w:val="-10"/>
        </w:rPr>
        <w:t xml:space="preserve"> </w:t>
      </w:r>
      <w:r>
        <w:t>Online</w:t>
      </w:r>
      <w:r>
        <w:rPr>
          <w:spacing w:val="-9"/>
        </w:rPr>
        <w:t xml:space="preserve"> </w:t>
      </w:r>
      <w:r>
        <w:t>First:</w:t>
      </w:r>
      <w:r>
        <w:rPr>
          <w:spacing w:val="-8"/>
        </w:rPr>
        <w:t xml:space="preserve"> </w:t>
      </w:r>
      <w:r>
        <w:rPr>
          <w:spacing w:val="-2"/>
        </w:rPr>
        <w:t>20180810]</w:t>
      </w:r>
    </w:p>
    <w:sectPr w:rsidR="00FB4E58">
      <w:pgSz w:w="11910" w:h="16840"/>
      <w:pgMar w:top="13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1E7A"/>
    <w:multiLevelType w:val="multilevel"/>
    <w:tmpl w:val="B632556C"/>
    <w:lvl w:ilvl="0">
      <w:start w:val="1"/>
      <w:numFmt w:val="decimal"/>
      <w:lvlText w:val="%1."/>
      <w:lvlJc w:val="left"/>
      <w:pPr>
        <w:ind w:left="308" w:hanging="22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420" w:hanging="333"/>
        <w:jc w:val="left"/>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1475" w:hanging="333"/>
      </w:pPr>
      <w:rPr>
        <w:rFonts w:hint="default"/>
        <w:lang w:val="en-US" w:eastAsia="en-US" w:bidi="ar-SA"/>
      </w:rPr>
    </w:lvl>
    <w:lvl w:ilvl="3">
      <w:numFmt w:val="bullet"/>
      <w:lvlText w:val="•"/>
      <w:lvlJc w:val="left"/>
      <w:pPr>
        <w:ind w:left="2531" w:hanging="333"/>
      </w:pPr>
      <w:rPr>
        <w:rFonts w:hint="default"/>
        <w:lang w:val="en-US" w:eastAsia="en-US" w:bidi="ar-SA"/>
      </w:rPr>
    </w:lvl>
    <w:lvl w:ilvl="4">
      <w:numFmt w:val="bullet"/>
      <w:lvlText w:val="•"/>
      <w:lvlJc w:val="left"/>
      <w:pPr>
        <w:ind w:left="3587" w:hanging="333"/>
      </w:pPr>
      <w:rPr>
        <w:rFonts w:hint="default"/>
        <w:lang w:val="en-US" w:eastAsia="en-US" w:bidi="ar-SA"/>
      </w:rPr>
    </w:lvl>
    <w:lvl w:ilvl="5">
      <w:numFmt w:val="bullet"/>
      <w:lvlText w:val="•"/>
      <w:lvlJc w:val="left"/>
      <w:pPr>
        <w:ind w:left="4643" w:hanging="333"/>
      </w:pPr>
      <w:rPr>
        <w:rFonts w:hint="default"/>
        <w:lang w:val="en-US" w:eastAsia="en-US" w:bidi="ar-SA"/>
      </w:rPr>
    </w:lvl>
    <w:lvl w:ilvl="6">
      <w:numFmt w:val="bullet"/>
      <w:lvlText w:val="•"/>
      <w:lvlJc w:val="left"/>
      <w:pPr>
        <w:ind w:left="5699" w:hanging="333"/>
      </w:pPr>
      <w:rPr>
        <w:rFonts w:hint="default"/>
        <w:lang w:val="en-US" w:eastAsia="en-US" w:bidi="ar-SA"/>
      </w:rPr>
    </w:lvl>
    <w:lvl w:ilvl="7">
      <w:numFmt w:val="bullet"/>
      <w:lvlText w:val="•"/>
      <w:lvlJc w:val="left"/>
      <w:pPr>
        <w:ind w:left="6754" w:hanging="333"/>
      </w:pPr>
      <w:rPr>
        <w:rFonts w:hint="default"/>
        <w:lang w:val="en-US" w:eastAsia="en-US" w:bidi="ar-SA"/>
      </w:rPr>
    </w:lvl>
    <w:lvl w:ilvl="8">
      <w:numFmt w:val="bullet"/>
      <w:lvlText w:val="•"/>
      <w:lvlJc w:val="left"/>
      <w:pPr>
        <w:ind w:left="7810" w:hanging="333"/>
      </w:pPr>
      <w:rPr>
        <w:rFonts w:hint="default"/>
        <w:lang w:val="en-US" w:eastAsia="en-US" w:bidi="ar-SA"/>
      </w:rPr>
    </w:lvl>
  </w:abstractNum>
  <w:abstractNum w:abstractNumId="1" w15:restartNumberingAfterBreak="0">
    <w:nsid w:val="37155B62"/>
    <w:multiLevelType w:val="hybridMultilevel"/>
    <w:tmpl w:val="EF704B28"/>
    <w:lvl w:ilvl="0" w:tplc="C2023758">
      <w:start w:val="1"/>
      <w:numFmt w:val="decimal"/>
      <w:lvlText w:val="%1."/>
      <w:lvlJc w:val="left"/>
      <w:pPr>
        <w:ind w:left="808" w:hanging="235"/>
        <w:jc w:val="left"/>
      </w:pPr>
      <w:rPr>
        <w:rFonts w:ascii="Calibri" w:eastAsia="Calibri" w:hAnsi="Calibri" w:cs="Calibri" w:hint="default"/>
        <w:b w:val="0"/>
        <w:bCs w:val="0"/>
        <w:i w:val="0"/>
        <w:iCs w:val="0"/>
        <w:spacing w:val="0"/>
        <w:w w:val="100"/>
        <w:sz w:val="22"/>
        <w:szCs w:val="22"/>
        <w:lang w:val="en-US" w:eastAsia="en-US" w:bidi="ar-SA"/>
      </w:rPr>
    </w:lvl>
    <w:lvl w:ilvl="1" w:tplc="A328A8B6">
      <w:numFmt w:val="bullet"/>
      <w:lvlText w:val="•"/>
      <w:lvlJc w:val="left"/>
      <w:pPr>
        <w:ind w:left="1712" w:hanging="235"/>
      </w:pPr>
      <w:rPr>
        <w:rFonts w:hint="default"/>
        <w:lang w:val="en-US" w:eastAsia="en-US" w:bidi="ar-SA"/>
      </w:rPr>
    </w:lvl>
    <w:lvl w:ilvl="2" w:tplc="FAB213FC">
      <w:numFmt w:val="bullet"/>
      <w:lvlText w:val="•"/>
      <w:lvlJc w:val="left"/>
      <w:pPr>
        <w:ind w:left="2624" w:hanging="235"/>
      </w:pPr>
      <w:rPr>
        <w:rFonts w:hint="default"/>
        <w:lang w:val="en-US" w:eastAsia="en-US" w:bidi="ar-SA"/>
      </w:rPr>
    </w:lvl>
    <w:lvl w:ilvl="3" w:tplc="2D82237C">
      <w:numFmt w:val="bullet"/>
      <w:lvlText w:val="•"/>
      <w:lvlJc w:val="left"/>
      <w:pPr>
        <w:ind w:left="3536" w:hanging="235"/>
      </w:pPr>
      <w:rPr>
        <w:rFonts w:hint="default"/>
        <w:lang w:val="en-US" w:eastAsia="en-US" w:bidi="ar-SA"/>
      </w:rPr>
    </w:lvl>
    <w:lvl w:ilvl="4" w:tplc="B83A2428">
      <w:numFmt w:val="bullet"/>
      <w:lvlText w:val="•"/>
      <w:lvlJc w:val="left"/>
      <w:pPr>
        <w:ind w:left="4448" w:hanging="235"/>
      </w:pPr>
      <w:rPr>
        <w:rFonts w:hint="default"/>
        <w:lang w:val="en-US" w:eastAsia="en-US" w:bidi="ar-SA"/>
      </w:rPr>
    </w:lvl>
    <w:lvl w:ilvl="5" w:tplc="8248AB72">
      <w:numFmt w:val="bullet"/>
      <w:lvlText w:val="•"/>
      <w:lvlJc w:val="left"/>
      <w:pPr>
        <w:ind w:left="5361" w:hanging="235"/>
      </w:pPr>
      <w:rPr>
        <w:rFonts w:hint="default"/>
        <w:lang w:val="en-US" w:eastAsia="en-US" w:bidi="ar-SA"/>
      </w:rPr>
    </w:lvl>
    <w:lvl w:ilvl="6" w:tplc="D988BAC6">
      <w:numFmt w:val="bullet"/>
      <w:lvlText w:val="•"/>
      <w:lvlJc w:val="left"/>
      <w:pPr>
        <w:ind w:left="6273" w:hanging="235"/>
      </w:pPr>
      <w:rPr>
        <w:rFonts w:hint="default"/>
        <w:lang w:val="en-US" w:eastAsia="en-US" w:bidi="ar-SA"/>
      </w:rPr>
    </w:lvl>
    <w:lvl w:ilvl="7" w:tplc="F71C97BA">
      <w:numFmt w:val="bullet"/>
      <w:lvlText w:val="•"/>
      <w:lvlJc w:val="left"/>
      <w:pPr>
        <w:ind w:left="7185" w:hanging="235"/>
      </w:pPr>
      <w:rPr>
        <w:rFonts w:hint="default"/>
        <w:lang w:val="en-US" w:eastAsia="en-US" w:bidi="ar-SA"/>
      </w:rPr>
    </w:lvl>
    <w:lvl w:ilvl="8" w:tplc="5016B13A">
      <w:numFmt w:val="bullet"/>
      <w:lvlText w:val="•"/>
      <w:lvlJc w:val="left"/>
      <w:pPr>
        <w:ind w:left="8097" w:hanging="235"/>
      </w:pPr>
      <w:rPr>
        <w:rFonts w:hint="default"/>
        <w:lang w:val="en-US" w:eastAsia="en-US" w:bidi="ar-SA"/>
      </w:rPr>
    </w:lvl>
  </w:abstractNum>
  <w:num w:numId="1" w16cid:durableId="339088479">
    <w:abstractNumId w:val="1"/>
  </w:num>
  <w:num w:numId="2" w16cid:durableId="25140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E58"/>
    <w:rsid w:val="004F757F"/>
    <w:rsid w:val="00504FF5"/>
    <w:rsid w:val="00874955"/>
    <w:rsid w:val="008E7242"/>
    <w:rsid w:val="00C322BF"/>
    <w:rsid w:val="00C934B8"/>
    <w:rsid w:val="00F153DB"/>
    <w:rsid w:val="00FB4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A82F1"/>
  <w15:docId w15:val="{9DB18DA1-1667-46D5-8F5C-E9CE6EAF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06" w:hanging="21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
    </w:pPr>
  </w:style>
  <w:style w:type="paragraph" w:styleId="ListParagraph">
    <w:name w:val="List Paragraph"/>
    <w:basedOn w:val="Normal"/>
    <w:uiPriority w:val="1"/>
    <w:qFormat/>
    <w:pPr>
      <w:ind w:left="306" w:hanging="2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1107</Words>
  <Characters>6314</Characters>
  <Application>Microsoft Office Word</Application>
  <DocSecurity>0</DocSecurity>
  <Lines>52</Lines>
  <Paragraphs>14</Paragraphs>
  <ScaleCrop>false</ScaleCrop>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Linan Zeng</dc:creator>
  <cp:lastModifiedBy>Guyatt, Gordon</cp:lastModifiedBy>
  <cp:revision>2</cp:revision>
  <dcterms:created xsi:type="dcterms:W3CDTF">2026-05-02T13:27:00Z</dcterms:created>
  <dcterms:modified xsi:type="dcterms:W3CDTF">2026-05-02T13:27:00Z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for Microsoft 365</vt:lpwstr>
  </property>
  <property fmtid="{D5CDD505-2E9C-101B-9397-08002B2CF9AE}" pid="4" name="LastSaved">
    <vt:filetime>2026-02-22T00:00:00Z</vt:filetime>
  </property>
  <property fmtid="{D5CDD505-2E9C-101B-9397-08002B2CF9AE}" pid="5" name="Producer">
    <vt:lpwstr>Microsoft® Word for Microsoft 365</vt:lpwstr>
  </property>
</Properties>
</file>