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C84D" w14:textId="41D95D2A" w:rsidR="003A60C9" w:rsidRDefault="00D03FBC" w:rsidP="00D03FBC">
      <w:pPr>
        <w:pStyle w:val="Heading1"/>
        <w:ind w:left="0" w:right="86"/>
      </w:pPr>
      <w:r>
        <w:rPr>
          <w:color w:val="1F1F1E"/>
        </w:rPr>
        <w:t>Rating down for imprecision when effects are large:</w:t>
      </w:r>
      <w:r w:rsidR="00000000">
        <w:rPr>
          <w:color w:val="1F1F1E"/>
          <w:spacing w:val="-2"/>
        </w:rPr>
        <w:t xml:space="preserve"> </w:t>
      </w:r>
      <w:r w:rsidR="00000000">
        <w:rPr>
          <w:color w:val="1F1F1E"/>
        </w:rPr>
        <w:t>Assessing</w:t>
      </w:r>
      <w:r w:rsidR="00000000">
        <w:rPr>
          <w:color w:val="1F1F1E"/>
          <w:spacing w:val="-3"/>
        </w:rPr>
        <w:t xml:space="preserve"> </w:t>
      </w:r>
      <w:r w:rsidR="00000000">
        <w:rPr>
          <w:color w:val="1F1F1E"/>
        </w:rPr>
        <w:t>imprecision</w:t>
      </w:r>
      <w:r w:rsidR="00000000">
        <w:rPr>
          <w:color w:val="1F1F1E"/>
          <w:spacing w:val="-4"/>
        </w:rPr>
        <w:t xml:space="preserve"> </w:t>
      </w:r>
      <w:r w:rsidR="00000000">
        <w:rPr>
          <w:color w:val="1F1F1E"/>
        </w:rPr>
        <w:t>in</w:t>
      </w:r>
      <w:r w:rsidR="00000000">
        <w:rPr>
          <w:color w:val="1F1F1E"/>
          <w:spacing w:val="-2"/>
        </w:rPr>
        <w:t xml:space="preserve"> </w:t>
      </w:r>
      <w:r w:rsidR="00000000">
        <w:rPr>
          <w:color w:val="1F1F1E"/>
        </w:rPr>
        <w:t>the</w:t>
      </w:r>
      <w:r w:rsidR="00000000">
        <w:rPr>
          <w:color w:val="1F1F1E"/>
          <w:spacing w:val="-2"/>
        </w:rPr>
        <w:t xml:space="preserve"> </w:t>
      </w:r>
      <w:r w:rsidR="00000000">
        <w:rPr>
          <w:color w:val="1F1F1E"/>
        </w:rPr>
        <w:t>context</w:t>
      </w:r>
      <w:r w:rsidR="00000000">
        <w:rPr>
          <w:color w:val="1F1F1E"/>
          <w:spacing w:val="-1"/>
        </w:rPr>
        <w:t xml:space="preserve"> </w:t>
      </w:r>
      <w:r w:rsidR="00000000">
        <w:rPr>
          <w:color w:val="1F1F1E"/>
        </w:rPr>
        <w:t>of</w:t>
      </w:r>
      <w:r w:rsidR="00000000">
        <w:rPr>
          <w:color w:val="1F1F1E"/>
          <w:spacing w:val="-1"/>
        </w:rPr>
        <w:t xml:space="preserve"> </w:t>
      </w:r>
      <w:r w:rsidR="00000000">
        <w:rPr>
          <w:color w:val="1F1F1E"/>
        </w:rPr>
        <w:t>a</w:t>
      </w:r>
      <w:r w:rsidR="00000000">
        <w:rPr>
          <w:color w:val="1F1F1E"/>
          <w:spacing w:val="-4"/>
        </w:rPr>
        <w:t xml:space="preserve"> </w:t>
      </w:r>
      <w:r w:rsidR="00000000">
        <w:rPr>
          <w:color w:val="1F1F1E"/>
        </w:rPr>
        <w:t>large</w:t>
      </w:r>
      <w:r w:rsidR="00000000">
        <w:rPr>
          <w:color w:val="1F1F1E"/>
          <w:spacing w:val="-5"/>
        </w:rPr>
        <w:t xml:space="preserve"> </w:t>
      </w:r>
      <w:r w:rsidR="00000000">
        <w:rPr>
          <w:color w:val="1F1F1E"/>
        </w:rPr>
        <w:t>effect</w:t>
      </w:r>
      <w:r w:rsidR="00000000">
        <w:rPr>
          <w:color w:val="1F1F1E"/>
          <w:spacing w:val="-1"/>
        </w:rPr>
        <w:t xml:space="preserve"> </w:t>
      </w:r>
      <w:r w:rsidR="00000000">
        <w:rPr>
          <w:color w:val="1F1F1E"/>
        </w:rPr>
        <w:t>from</w:t>
      </w:r>
      <w:r w:rsidR="00000000">
        <w:rPr>
          <w:color w:val="1F1F1E"/>
          <w:spacing w:val="-1"/>
        </w:rPr>
        <w:t xml:space="preserve"> </w:t>
      </w:r>
      <w:r w:rsidR="00000000">
        <w:rPr>
          <w:color w:val="1F1F1E"/>
        </w:rPr>
        <w:t>a</w:t>
      </w:r>
      <w:r w:rsidR="00000000">
        <w:rPr>
          <w:color w:val="1F1F1E"/>
          <w:spacing w:val="-4"/>
        </w:rPr>
        <w:t xml:space="preserve"> </w:t>
      </w:r>
      <w:r w:rsidR="00000000">
        <w:rPr>
          <w:color w:val="1F1F1E"/>
        </w:rPr>
        <w:t>meta-analysis</w:t>
      </w:r>
      <w:r w:rsidR="00000000">
        <w:rPr>
          <w:color w:val="1F1F1E"/>
          <w:spacing w:val="-1"/>
        </w:rPr>
        <w:t xml:space="preserve"> </w:t>
      </w:r>
      <w:r w:rsidR="00000000">
        <w:rPr>
          <w:color w:val="1F1F1E"/>
        </w:rPr>
        <w:t>of</w:t>
      </w:r>
      <w:r w:rsidR="00000000">
        <w:rPr>
          <w:color w:val="1F1F1E"/>
          <w:spacing w:val="-1"/>
        </w:rPr>
        <w:t xml:space="preserve"> </w:t>
      </w:r>
      <w:r w:rsidR="00000000">
        <w:rPr>
          <w:color w:val="1F1F1E"/>
        </w:rPr>
        <w:t>trials</w:t>
      </w:r>
      <w:r w:rsidR="00000000">
        <w:rPr>
          <w:color w:val="1F1F1E"/>
          <w:spacing w:val="-3"/>
        </w:rPr>
        <w:t xml:space="preserve"> </w:t>
      </w:r>
      <w:r w:rsidR="00000000">
        <w:rPr>
          <w:color w:val="1F1F1E"/>
        </w:rPr>
        <w:t>with</w:t>
      </w:r>
      <w:r w:rsidR="00000000">
        <w:rPr>
          <w:color w:val="1F1F1E"/>
          <w:spacing w:val="-2"/>
        </w:rPr>
        <w:t xml:space="preserve"> </w:t>
      </w:r>
      <w:r w:rsidR="00000000">
        <w:rPr>
          <w:color w:val="1F1F1E"/>
        </w:rPr>
        <w:t>small sample sizes using binary and continuous outcomes</w:t>
      </w:r>
    </w:p>
    <w:p w14:paraId="3259F21D" w14:textId="7A66EE79" w:rsidR="003A60C9" w:rsidRDefault="00A41ABA">
      <w:pPr>
        <w:pStyle w:val="BodyText"/>
        <w:spacing w:before="159"/>
        <w:ind w:right="86"/>
      </w:pPr>
      <w:r>
        <w:t>Here we provide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worked</w:t>
      </w:r>
      <w:r>
        <w:rPr>
          <w:spacing w:val="-5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t>of,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implausibly</w:t>
      </w:r>
      <w:r>
        <w:rPr>
          <w:spacing w:val="-7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effect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sample sizes, the approach to calculating the optimal information size (OIS) suggested in the main text, as well as</w:t>
      </w:r>
    </w:p>
    <w:p w14:paraId="3FAA0898" w14:textId="77777777" w:rsidR="003A60C9" w:rsidRDefault="00000000">
      <w:pPr>
        <w:pStyle w:val="BodyText"/>
        <w:ind w:right="86"/>
      </w:pPr>
      <w:r>
        <w:t>alternative</w:t>
      </w:r>
      <w:r>
        <w:rPr>
          <w:spacing w:val="-5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addressing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OIS</w:t>
      </w:r>
      <w:r>
        <w:rPr>
          <w:spacing w:val="-6"/>
        </w:rPr>
        <w:t xml:space="preserve"> </w:t>
      </w:r>
      <w:r>
        <w:t>beyond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calculation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size presented in the main text.</w:t>
      </w:r>
    </w:p>
    <w:p w14:paraId="791882B0" w14:textId="77777777" w:rsidR="003A60C9" w:rsidRDefault="00000000">
      <w:pPr>
        <w:pStyle w:val="BodyText"/>
        <w:spacing w:before="162"/>
        <w:ind w:right="86"/>
      </w:pPr>
      <w:r>
        <w:t>OIS is akin to the concept of the required sample size in individual clinical trials. If the total number of patients included in a systematic review</w:t>
      </w:r>
      <w:r>
        <w:rPr>
          <w:spacing w:val="-1"/>
        </w:rPr>
        <w:t xml:space="preserve"> </w:t>
      </w:r>
      <w:r>
        <w:t>is less than</w:t>
      </w:r>
      <w:r>
        <w:rPr>
          <w:spacing w:val="-2"/>
        </w:rPr>
        <w:t xml:space="preserve"> </w:t>
      </w:r>
      <w:r>
        <w:t>the number of</w:t>
      </w:r>
      <w:r>
        <w:rPr>
          <w:spacing w:val="-2"/>
        </w:rPr>
        <w:t xml:space="preserve"> </w:t>
      </w:r>
      <w:r>
        <w:t>patients</w:t>
      </w:r>
      <w:r>
        <w:rPr>
          <w:spacing w:val="-1"/>
        </w:rPr>
        <w:t xml:space="preserve"> </w:t>
      </w:r>
      <w:r>
        <w:t>generated by a conventional 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adequately</w:t>
      </w:r>
      <w:r>
        <w:rPr>
          <w:spacing w:val="-5"/>
        </w:rPr>
        <w:t xml:space="preserve"> </w:t>
      </w:r>
      <w:r>
        <w:t>powered</w:t>
      </w:r>
      <w:r>
        <w:rPr>
          <w:spacing w:val="-6"/>
        </w:rPr>
        <w:t xml:space="preserve"> </w:t>
      </w:r>
      <w:r>
        <w:t>trial,</w:t>
      </w:r>
      <w:r>
        <w:rPr>
          <w:spacing w:val="-2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the certainty of evidence for imprecision.</w:t>
      </w:r>
      <w:r>
        <w:rPr>
          <w:vertAlign w:val="superscript"/>
        </w:rPr>
        <w:t>1</w:t>
      </w:r>
    </w:p>
    <w:p w14:paraId="3C5A811D" w14:textId="77777777" w:rsidR="003A60C9" w:rsidRDefault="00000000">
      <w:pPr>
        <w:pStyle w:val="BodyText"/>
        <w:spacing w:before="160"/>
        <w:ind w:right="86"/>
      </w:pPr>
      <w:r>
        <w:t>Example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Consider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systematic</w:t>
      </w:r>
      <w:r>
        <w:rPr>
          <w:spacing w:val="-7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randomized</w:t>
      </w:r>
      <w:r>
        <w:rPr>
          <w:spacing w:val="-7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trials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compared</w:t>
      </w:r>
      <w:r>
        <w:rPr>
          <w:spacing w:val="-7"/>
        </w:rPr>
        <w:t xml:space="preserve"> </w:t>
      </w:r>
      <w:r>
        <w:t>Lactated</w:t>
      </w:r>
      <w:r>
        <w:rPr>
          <w:spacing w:val="-9"/>
        </w:rPr>
        <w:t xml:space="preserve"> </w:t>
      </w:r>
      <w:r>
        <w:t>Ringer’s</w:t>
      </w:r>
      <w:r>
        <w:rPr>
          <w:spacing w:val="-8"/>
        </w:rPr>
        <w:t xml:space="preserve"> </w:t>
      </w:r>
      <w:r>
        <w:t>(LR) versus Normal Saline (NS) fluid resuscitation in patients with acute pancreatitis.</w:t>
      </w:r>
      <w:r>
        <w:rPr>
          <w:vertAlign w:val="superscript"/>
        </w:rPr>
        <w:t>2</w:t>
      </w:r>
      <w:r>
        <w:t xml:space="preserve"> The meta-analysis of three randomized controlled trials concluded that compared to those who received NS,</w:t>
      </w:r>
      <w:r>
        <w:rPr>
          <w:spacing w:val="-1"/>
        </w:rPr>
        <w:t xml:space="preserve"> </w:t>
      </w:r>
      <w:r>
        <w:t>patients resuscitated with LR were less likely to require ICU admission (OR 0.33; 95 % CI 0.13-0.81). (Appendix 5 Figure 1)</w:t>
      </w:r>
    </w:p>
    <w:p w14:paraId="77181404" w14:textId="77777777" w:rsidR="003A60C9" w:rsidRDefault="00000000">
      <w:pPr>
        <w:pStyle w:val="BodyText"/>
        <w:spacing w:before="159"/>
        <w:ind w:right="86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20FC175C" wp14:editId="0218E696">
            <wp:simplePos x="0" y="0"/>
            <wp:positionH relativeFrom="page">
              <wp:posOffset>685800</wp:posOffset>
            </wp:positionH>
            <wp:positionV relativeFrom="paragraph">
              <wp:posOffset>456419</wp:posOffset>
            </wp:positionV>
            <wp:extent cx="5744165" cy="11489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165" cy="114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Figure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1</w:t>
      </w:r>
      <w:r>
        <w:t>.</w:t>
      </w:r>
      <w:r>
        <w:rPr>
          <w:spacing w:val="-7"/>
        </w:rPr>
        <w:t xml:space="preserve"> </w:t>
      </w:r>
      <w:r>
        <w:t>Meta-analysis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randomized</w:t>
      </w:r>
      <w:r>
        <w:rPr>
          <w:spacing w:val="-5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trials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Lactated</w:t>
      </w:r>
      <w:r>
        <w:rPr>
          <w:spacing w:val="-5"/>
        </w:rPr>
        <w:t xml:space="preserve"> </w:t>
      </w:r>
      <w:r>
        <w:t>Ringer’s</w:t>
      </w:r>
      <w:r>
        <w:rPr>
          <w:spacing w:val="-5"/>
        </w:rPr>
        <w:t xml:space="preserve"> </w:t>
      </w:r>
      <w:r>
        <w:t>(LR)</w:t>
      </w:r>
      <w:r>
        <w:rPr>
          <w:spacing w:val="-6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Saline</w:t>
      </w:r>
      <w:r>
        <w:rPr>
          <w:spacing w:val="-6"/>
        </w:rPr>
        <w:t xml:space="preserve"> </w:t>
      </w:r>
      <w:r>
        <w:t>(NS) fluid resuscitation for ICU admission in patients with acute pancreatitis</w:t>
      </w:r>
    </w:p>
    <w:p w14:paraId="71C4DF87" w14:textId="77777777" w:rsidR="003A60C9" w:rsidRDefault="00000000">
      <w:pPr>
        <w:pStyle w:val="BodyText"/>
        <w:spacing w:before="118"/>
        <w:ind w:right="183"/>
      </w:pPr>
      <w:r>
        <w:t>Let us assess the imprecision of the pooled effect with the null threshold. While the pooled effect of this meta-analysis appears sufficiently precise, the large effect (67% odds reduction) in the context of only 26 events overall (7/99 in LR versus 19/102 in NS) raises questions about the plausibility of the pooled effect and thus the possible desirability of rating down for imprecision. In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words,</w:t>
      </w:r>
      <w:r>
        <w:rPr>
          <w:spacing w:val="-1"/>
        </w:rPr>
        <w:t xml:space="preserve"> </w:t>
      </w:r>
      <w:r>
        <w:t>the large effect (in</w:t>
      </w:r>
      <w:r>
        <w:rPr>
          <w:spacing w:val="-2"/>
        </w:rPr>
        <w:t xml:space="preserve"> </w:t>
      </w:r>
      <w:r>
        <w:t>relative terms for binary outcomes) in the context of limited sample size and number of events triggers the need to address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OIS.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ways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issue.</w:t>
      </w:r>
      <w:r>
        <w:rPr>
          <w:vertAlign w:val="superscript"/>
        </w:rPr>
        <w:t>1</w:t>
      </w:r>
    </w:p>
    <w:p w14:paraId="28C02479" w14:textId="77777777" w:rsidR="003A60C9" w:rsidRDefault="00000000">
      <w:pPr>
        <w:spacing w:line="167" w:lineRule="exact"/>
        <w:ind w:left="87"/>
        <w:rPr>
          <w:sz w:val="14"/>
        </w:rPr>
      </w:pPr>
      <w:r>
        <w:rPr>
          <w:sz w:val="14"/>
        </w:rPr>
        <w:t>3</w:t>
      </w:r>
      <w:r>
        <w:rPr>
          <w:spacing w:val="-3"/>
          <w:sz w:val="14"/>
        </w:rPr>
        <w:t xml:space="preserve"> </w:t>
      </w:r>
      <w:r>
        <w:rPr>
          <w:spacing w:val="-10"/>
          <w:sz w:val="14"/>
        </w:rPr>
        <w:t>4</w:t>
      </w:r>
    </w:p>
    <w:p w14:paraId="6E43F51E" w14:textId="77777777" w:rsidR="003A60C9" w:rsidRDefault="003A60C9">
      <w:pPr>
        <w:pStyle w:val="BodyText"/>
        <w:ind w:left="0"/>
        <w:rPr>
          <w:sz w:val="14"/>
        </w:rPr>
      </w:pPr>
    </w:p>
    <w:p w14:paraId="401F84D2" w14:textId="77777777" w:rsidR="003A60C9" w:rsidRDefault="003A60C9">
      <w:pPr>
        <w:pStyle w:val="BodyText"/>
        <w:ind w:left="0"/>
        <w:rPr>
          <w:sz w:val="14"/>
        </w:rPr>
      </w:pPr>
    </w:p>
    <w:p w14:paraId="14374F1F" w14:textId="77777777" w:rsidR="003A60C9" w:rsidRDefault="003A60C9">
      <w:pPr>
        <w:pStyle w:val="BodyText"/>
        <w:spacing w:before="15"/>
        <w:ind w:left="0"/>
        <w:rPr>
          <w:sz w:val="14"/>
        </w:rPr>
      </w:pPr>
    </w:p>
    <w:p w14:paraId="28E32225" w14:textId="77777777" w:rsidR="003A60C9" w:rsidRDefault="00000000">
      <w:pPr>
        <w:pStyle w:val="Heading1"/>
        <w:spacing w:before="0"/>
      </w:pPr>
      <w:r>
        <w:t>Option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hypothesis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rPr>
          <w:spacing w:val="-5"/>
        </w:rPr>
        <w:t>OIS</w:t>
      </w:r>
    </w:p>
    <w:p w14:paraId="2CA19CAA" w14:textId="77777777" w:rsidR="003A60C9" w:rsidRDefault="00000000">
      <w:pPr>
        <w:pStyle w:val="BodyText"/>
      </w:pPr>
      <w:r>
        <w:t>OIS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steps:</w:t>
      </w:r>
    </w:p>
    <w:p w14:paraId="4F03FA93" w14:textId="77777777" w:rsidR="003A60C9" w:rsidRDefault="00000000">
      <w:pPr>
        <w:pStyle w:val="BodyText"/>
        <w:spacing w:before="1"/>
      </w:pPr>
      <w:r>
        <w:t>Step</w:t>
      </w:r>
      <w:r>
        <w:rPr>
          <w:spacing w:val="-9"/>
        </w:rPr>
        <w:t xml:space="preserve"> </w:t>
      </w:r>
      <w:r>
        <w:t>1.</w:t>
      </w:r>
      <w:r>
        <w:rPr>
          <w:spacing w:val="-9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size:</w:t>
      </w:r>
      <w:r>
        <w:rPr>
          <w:spacing w:val="-8"/>
        </w:rPr>
        <w:t xml:space="preserve"> </w:t>
      </w:r>
      <w:r>
        <w:t>Estimate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plausible</w:t>
      </w:r>
      <w:r>
        <w:rPr>
          <w:spacing w:val="-7"/>
        </w:rPr>
        <w:t xml:space="preserve"> </w:t>
      </w:r>
      <w:r>
        <w:t>magnitude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14:paraId="66B0CAEB" w14:textId="77777777" w:rsidR="003A60C9" w:rsidRDefault="00000000">
      <w:pPr>
        <w:pStyle w:val="BodyText"/>
        <w:spacing w:before="1"/>
        <w:ind w:right="183"/>
      </w:pPr>
      <w:r>
        <w:t>intervention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anticipated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have.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OIS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typically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relative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reductions</w:t>
      </w:r>
      <w:r>
        <w:rPr>
          <w:spacing w:val="-3"/>
        </w:rPr>
        <w:t xml:space="preserve"> </w:t>
      </w:r>
      <w:r>
        <w:t>(RRR)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25%</w:t>
      </w:r>
      <w:r>
        <w:rPr>
          <w:spacing w:val="-2"/>
        </w:rPr>
        <w:t xml:space="preserve"> </w:t>
      </w:r>
      <w:r>
        <w:t>as the expected effect size.</w:t>
      </w:r>
    </w:p>
    <w:p w14:paraId="27657A55" w14:textId="77777777" w:rsidR="003A60C9" w:rsidRDefault="00000000">
      <w:pPr>
        <w:pStyle w:val="BodyText"/>
        <w:spacing w:before="161"/>
        <w:ind w:right="86"/>
      </w:pPr>
      <w:r>
        <w:t>Step</w:t>
      </w:r>
      <w:r>
        <w:rPr>
          <w:spacing w:val="-4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desired</w:t>
      </w:r>
      <w:r>
        <w:rPr>
          <w:spacing w:val="-7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significance</w:t>
      </w:r>
      <w:r>
        <w:rPr>
          <w:spacing w:val="-4"/>
        </w:rPr>
        <w:t xml:space="preserve"> </w:t>
      </w:r>
      <w:r>
        <w:t>level:</w:t>
      </w:r>
      <w:r>
        <w:rPr>
          <w:spacing w:val="-6"/>
        </w:rPr>
        <w:t xml:space="preserve"> </w:t>
      </w:r>
      <w:r>
        <w:t>Typically,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80%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significance</w:t>
      </w:r>
      <w:r>
        <w:rPr>
          <w:spacing w:val="-4"/>
        </w:rPr>
        <w:t xml:space="preserve"> </w:t>
      </w:r>
      <w:r>
        <w:t>level of 5%.</w:t>
      </w:r>
    </w:p>
    <w:p w14:paraId="7B12C400" w14:textId="77777777" w:rsidR="003A60C9" w:rsidRDefault="00000000">
      <w:pPr>
        <w:pStyle w:val="BodyText"/>
        <w:spacing w:before="159"/>
        <w:ind w:right="86"/>
      </w:pPr>
      <w:r>
        <w:t>Step 3.</w:t>
      </w:r>
      <w:r>
        <w:rPr>
          <w:spacing w:val="-2"/>
        </w:rPr>
        <w:t xml:space="preserve"> </w:t>
      </w:r>
      <w:r>
        <w:t>Use standard sample size formulas:</w:t>
      </w:r>
      <w:r>
        <w:rPr>
          <w:spacing w:val="-1"/>
        </w:rPr>
        <w:t xml:space="preserve"> </w:t>
      </w:r>
      <w:r>
        <w:t>Employ standard formulas for calculating sample size based</w:t>
      </w:r>
      <w:r>
        <w:rPr>
          <w:spacing w:val="-2"/>
        </w:rPr>
        <w:t xml:space="preserve"> </w:t>
      </w:r>
      <w:r>
        <w:t>on the</w:t>
      </w:r>
      <w:r>
        <w:rPr>
          <w:spacing w:val="-6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t>measure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binary,</w:t>
      </w:r>
      <w:r>
        <w:rPr>
          <w:spacing w:val="-6"/>
        </w:rPr>
        <w:t xml:space="preserve"> </w:t>
      </w:r>
      <w:r>
        <w:t>continuous).</w:t>
      </w:r>
      <w:r>
        <w:rPr>
          <w:spacing w:val="-6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calculators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t>size</w:t>
      </w:r>
      <w:r>
        <w:rPr>
          <w:spacing w:val="-6"/>
        </w:rPr>
        <w:t xml:space="preserve"> </w:t>
      </w:r>
      <w:r>
        <w:t>calculation</w:t>
      </w:r>
    </w:p>
    <w:p w14:paraId="19F62BE3" w14:textId="77777777" w:rsidR="003A60C9" w:rsidRDefault="00000000">
      <w:pPr>
        <w:pStyle w:val="BodyText"/>
      </w:pPr>
      <w:r>
        <w:t>are</w:t>
      </w:r>
      <w:r>
        <w:rPr>
          <w:spacing w:val="-9"/>
        </w:rPr>
        <w:t xml:space="preserve"> </w:t>
      </w:r>
      <w:r>
        <w:t>available.</w:t>
      </w:r>
      <w:r>
        <w:rPr>
          <w:spacing w:val="-5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at</w:t>
      </w:r>
      <w:r>
        <w:rPr>
          <w:spacing w:val="-8"/>
        </w:rPr>
        <w:t xml:space="preserve"> </w:t>
      </w:r>
      <w:hyperlink r:id="rId6">
        <w:r w:rsidR="003A60C9">
          <w:rPr>
            <w:color w:val="0462C1"/>
            <w:spacing w:val="-2"/>
            <w:u w:val="single" w:color="0462C1"/>
          </w:rPr>
          <w:t>https://www.openepi.com/SampleSize/SSCohort.htm</w:t>
        </w:r>
        <w:r w:rsidR="003A60C9">
          <w:rPr>
            <w:spacing w:val="-2"/>
          </w:rPr>
          <w:t>.</w:t>
        </w:r>
      </w:hyperlink>
    </w:p>
    <w:p w14:paraId="13FE6EEC" w14:textId="77777777" w:rsidR="003A60C9" w:rsidRDefault="00000000">
      <w:pPr>
        <w:pStyle w:val="BodyText"/>
        <w:spacing w:before="159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systematic</w:t>
      </w:r>
      <w:r>
        <w:rPr>
          <w:spacing w:val="-7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RL</w:t>
      </w:r>
      <w:r>
        <w:rPr>
          <w:spacing w:val="-6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NS,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OIS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t>ICU</w:t>
      </w:r>
      <w:r>
        <w:rPr>
          <w:spacing w:val="-6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22F203D7" w14:textId="77777777" w:rsidR="003A60C9" w:rsidRDefault="00000000">
      <w:pPr>
        <w:pStyle w:val="BodyText"/>
        <w:ind w:right="86"/>
      </w:pPr>
      <w:r>
        <w:t>RRR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size,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proportions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outcome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intervention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arm</w:t>
      </w:r>
      <w:r>
        <w:rPr>
          <w:spacing w:val="-4"/>
        </w:rPr>
        <w:t xml:space="preserve"> </w:t>
      </w:r>
      <w:r>
        <w:t>as 9% and 12% respectively. The OIS using these assumptions would be a total of 3406 (1703 in each arm), which was very far from being met in the meta-analysis (total number of patients across all trials 201). This would prompt authors to rate down for imprecision in the GRADE assessments.</w:t>
      </w:r>
    </w:p>
    <w:p w14:paraId="398A1A1C" w14:textId="77777777" w:rsidR="003A60C9" w:rsidRDefault="003A60C9">
      <w:pPr>
        <w:pStyle w:val="BodyText"/>
        <w:sectPr w:rsidR="003A60C9">
          <w:type w:val="continuous"/>
          <w:pgSz w:w="11910" w:h="16840"/>
          <w:pgMar w:top="1380" w:right="992" w:bottom="280" w:left="992" w:header="720" w:footer="720" w:gutter="0"/>
          <w:cols w:space="720"/>
        </w:sectPr>
      </w:pPr>
    </w:p>
    <w:p w14:paraId="02187732" w14:textId="77777777" w:rsidR="003A60C9" w:rsidRDefault="00000000">
      <w:pPr>
        <w:pStyle w:val="Heading1"/>
      </w:pPr>
      <w:r>
        <w:lastRenderedPageBreak/>
        <w:t>Option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figures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OIS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events</w:t>
      </w:r>
    </w:p>
    <w:p w14:paraId="7FA17687" w14:textId="77777777" w:rsidR="003A60C9" w:rsidRDefault="00000000">
      <w:pPr>
        <w:pStyle w:val="BodyText"/>
        <w:ind w:right="86"/>
      </w:pPr>
      <w:r>
        <w:t>As an alternative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calculating the OIS,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guideline authors can</w:t>
      </w:r>
      <w:r>
        <w:rPr>
          <w:spacing w:val="-4"/>
        </w:rPr>
        <w:t xml:space="preserve"> </w:t>
      </w:r>
      <w:r>
        <w:t>refer to a figure to determine</w:t>
      </w:r>
      <w:r>
        <w:rPr>
          <w:spacing w:val="-1"/>
        </w:rPr>
        <w:t xml:space="preserve"> </w:t>
      </w:r>
      <w:r>
        <w:t>the OIS.</w:t>
      </w:r>
      <w:r>
        <w:rPr>
          <w:vertAlign w:val="superscript"/>
        </w:rPr>
        <w:t>3</w:t>
      </w:r>
      <w:r>
        <w:t xml:space="preserve"> Appendix 4 Figure 2 shows the required sample size (assuming an alpha of 0.05 and a beta of 0.2) for relative risk reductions (RRR) of 20%, 25%, and 30% across various control event rates. In the pancreatitis example,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estimated</w:t>
      </w:r>
      <w:r>
        <w:rPr>
          <w:spacing w:val="-6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0.12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RRR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25%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specified,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OIS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approximately 3500</w:t>
      </w:r>
      <w:r>
        <w:rPr>
          <w:spacing w:val="-4"/>
        </w:rPr>
        <w:t xml:space="preserve"> </w:t>
      </w:r>
      <w:r>
        <w:t>patients.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rate,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RRR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20%,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approximately 6400,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 RRR of 30%, the OIS is approximately 2500. Given that the total number of patients across all trials in the pancreatitis meta-analysis was only 201, which is way below the OIS indicated by these figures, authors would be urged to rate down for imprecision in the GRADE assessments.</w:t>
      </w:r>
    </w:p>
    <w:p w14:paraId="704D102E" w14:textId="77777777" w:rsidR="003A60C9" w:rsidRDefault="00000000">
      <w:pPr>
        <w:pStyle w:val="BodyText"/>
        <w:spacing w:before="161"/>
        <w:ind w:right="86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052CAE2" wp14:editId="533DF108">
            <wp:simplePos x="0" y="0"/>
            <wp:positionH relativeFrom="page">
              <wp:posOffset>800429</wp:posOffset>
            </wp:positionH>
            <wp:positionV relativeFrom="paragraph">
              <wp:posOffset>466817</wp:posOffset>
            </wp:positionV>
            <wp:extent cx="3622614" cy="2039112"/>
            <wp:effectExtent l="0" t="0" r="0" b="0"/>
            <wp:wrapTopAndBottom/>
            <wp:docPr id="2" name="Image 2" descr="A graph of a group even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graph of a group event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2614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Figure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2.</w:t>
      </w:r>
      <w:r>
        <w:rPr>
          <w:b/>
          <w:spacing w:val="-4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0.05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0.2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varying</w:t>
      </w:r>
      <w:r>
        <w:rPr>
          <w:spacing w:val="-5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relative </w:t>
      </w:r>
      <w:r>
        <w:rPr>
          <w:spacing w:val="-2"/>
        </w:rPr>
        <w:t>risks.</w:t>
      </w:r>
      <w:r>
        <w:rPr>
          <w:spacing w:val="-2"/>
          <w:vertAlign w:val="superscript"/>
        </w:rPr>
        <w:t>3</w:t>
      </w:r>
    </w:p>
    <w:p w14:paraId="57729E49" w14:textId="77777777" w:rsidR="003A60C9" w:rsidRDefault="00000000">
      <w:pPr>
        <w:pStyle w:val="BodyText"/>
        <w:spacing w:before="60"/>
        <w:ind w:right="183"/>
      </w:pPr>
      <w:r>
        <w:t>However,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closely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to sample</w:t>
      </w:r>
      <w:r>
        <w:rPr>
          <w:spacing w:val="-3"/>
        </w:rPr>
        <w:t xml:space="preserve"> </w:t>
      </w:r>
      <w:r>
        <w:t>size.</w:t>
      </w:r>
      <w:r>
        <w:rPr>
          <w:spacing w:val="-1"/>
        </w:rPr>
        <w:t xml:space="preserve"> </w:t>
      </w:r>
      <w:r>
        <w:t>Appendix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3 illustrates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studies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treatment and control groups</w:t>
      </w:r>
      <w:r>
        <w:rPr>
          <w:spacing w:val="-1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 the total number of patients. Keeping the same assumptions as in the prior paragraph (control event rate 0.12 and RRR 25%), one requires approximately 360 events to meet OIS</w:t>
      </w:r>
    </w:p>
    <w:p w14:paraId="632F2DCF" w14:textId="77777777" w:rsidR="003A60C9" w:rsidRDefault="00000000">
      <w:pPr>
        <w:pStyle w:val="BodyText"/>
        <w:spacing w:line="267" w:lineRule="exact"/>
      </w:pPr>
      <w:r>
        <w:t>criteria.</w:t>
      </w:r>
      <w:r>
        <w:rPr>
          <w:spacing w:val="-9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keeping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events</w:t>
      </w:r>
      <w:r>
        <w:rPr>
          <w:spacing w:val="-8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0.12,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RRR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20%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30%</w:t>
      </w:r>
      <w:r>
        <w:rPr>
          <w:spacing w:val="-8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rPr>
          <w:spacing w:val="-2"/>
        </w:rPr>
        <w:t>require</w:t>
      </w:r>
    </w:p>
    <w:p w14:paraId="23FD4F7E" w14:textId="77777777" w:rsidR="003A60C9" w:rsidRDefault="00000000">
      <w:pPr>
        <w:pStyle w:val="BodyText"/>
        <w:ind w:right="86"/>
      </w:pPr>
      <w:r>
        <w:t>approximately 630 and</w:t>
      </w:r>
      <w:r>
        <w:rPr>
          <w:spacing w:val="-1"/>
        </w:rPr>
        <w:t xml:space="preserve"> </w:t>
      </w:r>
      <w:r>
        <w:t>250 events respectively to meet OIS criteria. The total number of events across all trials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pancreatitis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26,</w:t>
      </w:r>
      <w:r>
        <w:rPr>
          <w:spacing w:val="-4"/>
        </w:rPr>
        <w:t xml:space="preserve"> </w:t>
      </w:r>
      <w:r>
        <w:t>far</w:t>
      </w:r>
      <w:r>
        <w:rPr>
          <w:spacing w:val="-7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OIS.</w:t>
      </w:r>
      <w:r>
        <w:rPr>
          <w:spacing w:val="-4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authors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 xml:space="preserve">for </w:t>
      </w:r>
      <w:r>
        <w:rPr>
          <w:spacing w:val="-2"/>
        </w:rPr>
        <w:t>imprecision.</w:t>
      </w:r>
    </w:p>
    <w:p w14:paraId="47DF60D3" w14:textId="77777777" w:rsidR="003A60C9" w:rsidRDefault="00000000">
      <w:pPr>
        <w:pStyle w:val="BodyText"/>
        <w:spacing w:before="162"/>
        <w:ind w:right="86"/>
      </w:pPr>
      <w:r>
        <w:rPr>
          <w:b/>
          <w:u w:val="single"/>
        </w:rPr>
        <w:t>Figure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3.</w:t>
      </w:r>
      <w:r>
        <w:rPr>
          <w:b/>
          <w:spacing w:val="-3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0.05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0.20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varying control event rates and RRR of 20%, 25% and 30%. Abbreviation: RRR, relative risk reduction.</w:t>
      </w:r>
      <w:r>
        <w:rPr>
          <w:vertAlign w:val="superscript"/>
        </w:rPr>
        <w:t>3</w:t>
      </w:r>
    </w:p>
    <w:p w14:paraId="5F926680" w14:textId="77777777" w:rsidR="003A60C9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0A54A1D7" wp14:editId="6BD17817">
            <wp:simplePos x="0" y="0"/>
            <wp:positionH relativeFrom="page">
              <wp:posOffset>896924</wp:posOffset>
            </wp:positionH>
            <wp:positionV relativeFrom="paragraph">
              <wp:posOffset>115392</wp:posOffset>
            </wp:positionV>
            <wp:extent cx="4180953" cy="1981200"/>
            <wp:effectExtent l="0" t="0" r="0" b="0"/>
            <wp:wrapTopAndBottom/>
            <wp:docPr id="3" name="Image 3" descr="A graph of events and group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graph of events and groups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953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33344" w14:textId="77777777" w:rsidR="003A60C9" w:rsidRDefault="003A60C9">
      <w:pPr>
        <w:pStyle w:val="BodyText"/>
        <w:rPr>
          <w:sz w:val="12"/>
        </w:rPr>
        <w:sectPr w:rsidR="003A60C9">
          <w:pgSz w:w="11910" w:h="16840"/>
          <w:pgMar w:top="1380" w:right="992" w:bottom="280" w:left="992" w:header="720" w:footer="720" w:gutter="0"/>
          <w:cols w:space="720"/>
        </w:sectPr>
      </w:pPr>
    </w:p>
    <w:p w14:paraId="7482675B" w14:textId="77777777" w:rsidR="003A60C9" w:rsidRDefault="00000000">
      <w:pPr>
        <w:pStyle w:val="Heading1"/>
        <w:ind w:right="23"/>
      </w:pPr>
      <w:r>
        <w:lastRenderedPageBreak/>
        <w:t>Option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Assessing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boundary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odds</w:t>
      </w:r>
      <w:r>
        <w:rPr>
          <w:spacing w:val="-4"/>
        </w:rPr>
        <w:t xml:space="preserve"> </w:t>
      </w:r>
      <w:r>
        <w:t>ratio (OR) or 3 for Risk Ratio (RR)</w:t>
      </w:r>
    </w:p>
    <w:p w14:paraId="49C3FBFA" w14:textId="77777777" w:rsidR="003A60C9" w:rsidRDefault="00000000">
      <w:pPr>
        <w:pStyle w:val="BodyText"/>
        <w:spacing w:before="1"/>
        <w:ind w:right="23"/>
      </w:pPr>
      <w:r>
        <w:t>The ratio of upper and lower boundary of the CI may indicate if the sample size in the meta-analysis is less than the OIS if it is greater than 2.5 for OR and 3 for RR.</w:t>
      </w:r>
      <w:r>
        <w:rPr>
          <w:vertAlign w:val="superscript"/>
        </w:rPr>
        <w:t>4</w:t>
      </w:r>
      <w:r>
        <w:t xml:space="preserve"> This may in fact preclude the need to carry out a calculation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OIS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meta-analysis.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above,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relative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67%</w:t>
      </w:r>
      <w:r>
        <w:rPr>
          <w:spacing w:val="-3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odds</w:t>
      </w:r>
      <w:r>
        <w:rPr>
          <w:spacing w:val="-6"/>
        </w:rPr>
        <w:t xml:space="preserve"> </w:t>
      </w:r>
      <w:r>
        <w:t>of patients requiring ICU admission represents a large, probably implausible effect with a small sample size of 201 (number of events=26), and systematic reviewers and guideline developers would therefore want to determine whether the OIS is met.</w:t>
      </w:r>
    </w:p>
    <w:p w14:paraId="7EA691A3" w14:textId="77777777" w:rsidR="003A60C9" w:rsidRDefault="00000000">
      <w:pPr>
        <w:pStyle w:val="BodyText"/>
        <w:spacing w:before="159"/>
        <w:ind w:right="86"/>
      </w:pPr>
      <w:r>
        <w:t>When, as in this situation, the sample size or number of events is far lower than the OIS, Core GRADE users should</w:t>
      </w:r>
      <w:r>
        <w:rPr>
          <w:spacing w:val="-5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imprecisions.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criterion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 ratio of the upper CI boundary to the lower CI boundary: if that ratio is larger than 2.5, we suggest to rate down twice.</w:t>
      </w:r>
      <w:r>
        <w:rPr>
          <w:spacing w:val="-18"/>
        </w:rPr>
        <w:t xml:space="preserve"> </w:t>
      </w:r>
      <w:r>
        <w:rPr>
          <w:vertAlign w:val="superscript"/>
        </w:rPr>
        <w:t>1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 case</w:t>
      </w:r>
      <w:r>
        <w:rPr>
          <w:spacing w:val="-2"/>
        </w:rPr>
        <w:t xml:space="preserve"> </w:t>
      </w:r>
      <w:r>
        <w:t>the number of events</w:t>
      </w:r>
      <w:r>
        <w:rPr>
          <w:spacing w:val="-2"/>
        </w:rPr>
        <w:t xml:space="preserve"> </w:t>
      </w:r>
      <w:r>
        <w:t>is almost an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 magnitude less than</w:t>
      </w:r>
      <w:r>
        <w:rPr>
          <w:spacing w:val="-4"/>
        </w:rPr>
        <w:t xml:space="preserve"> </w:t>
      </w:r>
      <w:r>
        <w:t>the OIS,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of the upper boundary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 (0.81)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lower CI</w:t>
      </w:r>
      <w:r>
        <w:rPr>
          <w:spacing w:val="-3"/>
        </w:rPr>
        <w:t xml:space="preserve"> </w:t>
      </w:r>
      <w:r>
        <w:t>boundary (0.13) for the OR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6.2 which</w:t>
      </w:r>
      <w:r>
        <w:rPr>
          <w:spacing w:val="-2"/>
        </w:rPr>
        <w:t xml:space="preserve"> </w:t>
      </w:r>
      <w:r>
        <w:t>is larger than</w:t>
      </w:r>
      <w:r>
        <w:rPr>
          <w:spacing w:val="-4"/>
        </w:rPr>
        <w:t xml:space="preserve"> </w:t>
      </w:r>
      <w:r>
        <w:t>2.5. This suggests the appropriateness of rating down two levels for imprecision.</w:t>
      </w:r>
    </w:p>
    <w:p w14:paraId="572E2907" w14:textId="77777777" w:rsidR="003A60C9" w:rsidRDefault="00000000">
      <w:pPr>
        <w:pStyle w:val="BodyText"/>
        <w:spacing w:before="161"/>
        <w:ind w:right="86"/>
      </w:pPr>
      <w:r>
        <w:t>Example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Consider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systematic</w:t>
      </w:r>
      <w:r>
        <w:rPr>
          <w:spacing w:val="-6"/>
        </w:rPr>
        <w:t xml:space="preserve"> </w:t>
      </w:r>
      <w:r>
        <w:t>review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randomized</w:t>
      </w:r>
      <w:r>
        <w:rPr>
          <w:spacing w:val="-6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trials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stem</w:t>
      </w:r>
      <w:r>
        <w:rPr>
          <w:spacing w:val="-8"/>
        </w:rPr>
        <w:t xml:space="preserve"> </w:t>
      </w:r>
      <w:r>
        <w:t>cell</w:t>
      </w:r>
      <w:r>
        <w:rPr>
          <w:spacing w:val="-6"/>
        </w:rPr>
        <w:t xml:space="preserve"> </w:t>
      </w:r>
      <w:r>
        <w:t>therapy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chronic</w:t>
      </w:r>
      <w:r>
        <w:rPr>
          <w:spacing w:val="-6"/>
        </w:rPr>
        <w:t xml:space="preserve"> </w:t>
      </w:r>
      <w:r>
        <w:t>liver disease.</w:t>
      </w:r>
      <w:r>
        <w:rPr>
          <w:vertAlign w:val="superscript"/>
        </w:rPr>
        <w:t>5</w:t>
      </w:r>
      <w:r>
        <w:t xml:space="preserve"> Appendix 4 Figure 4 depicts the results of the meta-analysis for the outcome MELD score MELD</w:t>
      </w:r>
    </w:p>
    <w:p w14:paraId="20E8D37A" w14:textId="77777777" w:rsidR="003A60C9" w:rsidRDefault="00000000">
      <w:pPr>
        <w:pStyle w:val="BodyText"/>
        <w:spacing w:before="2" w:line="237" w:lineRule="auto"/>
        <w:ind w:right="183"/>
      </w:pPr>
      <w:r>
        <w:t>(Model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End-Stage</w:t>
      </w:r>
      <w:r>
        <w:rPr>
          <w:spacing w:val="-5"/>
        </w:rPr>
        <w:t xml:space="preserve"> </w:t>
      </w:r>
      <w:r>
        <w:t>Liver</w:t>
      </w:r>
      <w:r>
        <w:rPr>
          <w:spacing w:val="-5"/>
        </w:rPr>
        <w:t xml:space="preserve"> </w:t>
      </w:r>
      <w:r>
        <w:t>Disease)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weeks,</w:t>
      </w:r>
      <w:r>
        <w:rPr>
          <w:spacing w:val="-4"/>
        </w:rPr>
        <w:t xml:space="preserve"> </w:t>
      </w:r>
      <w:r>
        <w:t>arising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trials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248</w:t>
      </w:r>
      <w:r>
        <w:rPr>
          <w:spacing w:val="-4"/>
        </w:rPr>
        <w:t xml:space="preserve"> </w:t>
      </w:r>
      <w:r>
        <w:t>participants studying</w:t>
      </w:r>
      <w:r>
        <w:rPr>
          <w:spacing w:val="-7"/>
        </w:rPr>
        <w:t xml:space="preserve"> </w:t>
      </w:r>
      <w:r>
        <w:t>stem</w:t>
      </w:r>
      <w:r>
        <w:rPr>
          <w:spacing w:val="-8"/>
        </w:rPr>
        <w:t xml:space="preserve"> </w:t>
      </w:r>
      <w:r>
        <w:t>cell</w:t>
      </w:r>
      <w:r>
        <w:rPr>
          <w:spacing w:val="-7"/>
        </w:rPr>
        <w:t xml:space="preserve"> </w:t>
      </w:r>
      <w:r>
        <w:t>therapies</w:t>
      </w:r>
      <w:r>
        <w:rPr>
          <w:spacing w:val="-5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care.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1F05B24F" w14:textId="77777777" w:rsidR="003A60C9" w:rsidRDefault="00000000">
      <w:pPr>
        <w:pStyle w:val="BodyText"/>
        <w:spacing w:before="2"/>
        <w:ind w:right="112"/>
      </w:pPr>
      <w:r>
        <w:t>severity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chronic</w:t>
      </w:r>
      <w:r>
        <w:rPr>
          <w:spacing w:val="-5"/>
        </w:rPr>
        <w:t xml:space="preserve"> </w:t>
      </w:r>
      <w:r>
        <w:t>liver</w:t>
      </w:r>
      <w:r>
        <w:rPr>
          <w:spacing w:val="-6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prioritize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liver</w:t>
      </w:r>
      <w:r>
        <w:rPr>
          <w:spacing w:val="-6"/>
        </w:rPr>
        <w:t xml:space="preserve"> </w:t>
      </w:r>
      <w:r>
        <w:t>transplantation,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indicating a more severe liver disease and a greater urgency for liver transplantation. For dichotomous outcomes, it is recommended</w:t>
      </w:r>
      <w:r>
        <w:rPr>
          <w:spacing w:val="-1"/>
        </w:rPr>
        <w:t xml:space="preserve"> </w:t>
      </w:r>
      <w:r>
        <w:t>to rate down two levels</w:t>
      </w:r>
      <w:r>
        <w:rPr>
          <w:spacing w:val="-1"/>
        </w:rPr>
        <w:t xml:space="preserve"> </w:t>
      </w:r>
      <w:r>
        <w:t>if the upper-to-lower CI ratio exceeds</w:t>
      </w:r>
      <w:r>
        <w:rPr>
          <w:spacing w:val="-1"/>
        </w:rPr>
        <w:t xml:space="preserve"> </w:t>
      </w:r>
      <w:r>
        <w:t>2.5 for odds ratios or 3 for</w:t>
      </w:r>
      <w:r>
        <w:rPr>
          <w:spacing w:val="-1"/>
        </w:rPr>
        <w:t xml:space="preserve"> </w:t>
      </w:r>
      <w:r>
        <w:t>risk ratios. For continuous outcomes, rate down two levels if the total sample size is less than 30–50% of the</w:t>
      </w:r>
    </w:p>
    <w:p w14:paraId="38964303" w14:textId="77777777" w:rsidR="003A60C9" w:rsidRDefault="00000000">
      <w:pPr>
        <w:pStyle w:val="BodyText"/>
        <w:spacing w:before="1"/>
      </w:pPr>
      <w:r>
        <w:t>optimal</w:t>
      </w:r>
      <w:r>
        <w:rPr>
          <w:spacing w:val="-8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size.</w:t>
      </w:r>
      <w:r>
        <w:rPr>
          <w:spacing w:val="-6"/>
        </w:rPr>
        <w:t xml:space="preserve"> </w:t>
      </w:r>
      <w:r>
        <w:rPr>
          <w:spacing w:val="-10"/>
          <w:vertAlign w:val="superscript"/>
        </w:rPr>
        <w:t>1</w:t>
      </w:r>
    </w:p>
    <w:p w14:paraId="77959A69" w14:textId="77777777" w:rsidR="003A60C9" w:rsidRDefault="00000000">
      <w:pPr>
        <w:pStyle w:val="BodyText"/>
        <w:spacing w:before="163" w:line="237" w:lineRule="auto"/>
        <w:ind w:right="23"/>
      </w:pPr>
      <w:r>
        <w:t>Let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assess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imprecision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pooled</w:t>
      </w:r>
      <w:r>
        <w:rPr>
          <w:spacing w:val="-5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threshold</w:t>
      </w:r>
      <w:r>
        <w:rPr>
          <w:spacing w:val="-4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 interval (-2.45 to -1.05) seems sufficiently precise with respect to this threshold. If we would rate the</w:t>
      </w:r>
    </w:p>
    <w:p w14:paraId="4151A38F" w14:textId="77777777" w:rsidR="003A60C9" w:rsidRDefault="00000000">
      <w:pPr>
        <w:pStyle w:val="BodyText"/>
        <w:spacing w:before="2"/>
        <w:ind w:right="183"/>
      </w:pPr>
      <w:r>
        <w:t>certainty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stem</w:t>
      </w:r>
      <w:r>
        <w:rPr>
          <w:spacing w:val="-7"/>
        </w:rPr>
        <w:t xml:space="preserve"> </w:t>
      </w:r>
      <w:r>
        <w:t>cell</w:t>
      </w:r>
      <w:r>
        <w:rPr>
          <w:spacing w:val="-6"/>
        </w:rPr>
        <w:t xml:space="preserve"> </w:t>
      </w:r>
      <w:r>
        <w:t>therapy</w:t>
      </w:r>
      <w:r>
        <w:rPr>
          <w:spacing w:val="-4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reduction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MELD</w:t>
      </w:r>
      <w:r>
        <w:rPr>
          <w:spacing w:val="-5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(i.e.,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certainty rating), we would not rate down for imprecision.</w:t>
      </w:r>
    </w:p>
    <w:p w14:paraId="73FC70B3" w14:textId="77777777" w:rsidR="003A60C9" w:rsidRDefault="00000000">
      <w:pPr>
        <w:pStyle w:val="BodyText"/>
        <w:spacing w:before="161"/>
        <w:ind w:right="86"/>
      </w:pPr>
      <w:r>
        <w:t>One can make a calculation</w:t>
      </w:r>
      <w:r>
        <w:rPr>
          <w:spacing w:val="-1"/>
        </w:rPr>
        <w:t xml:space="preserve"> </w:t>
      </w:r>
      <w:r>
        <w:t>of OIS for this outcome by specifying the MID and the</w:t>
      </w:r>
      <w:r>
        <w:rPr>
          <w:spacing w:val="-1"/>
        </w:rPr>
        <w:t xml:space="preserve"> </w:t>
      </w:r>
      <w:r>
        <w:t>standard deviation from one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studies.</w:t>
      </w:r>
      <w:r>
        <w:rPr>
          <w:spacing w:val="-7"/>
        </w:rPr>
        <w:t xml:space="preserve"> </w:t>
      </w:r>
      <w:r>
        <w:t>Alternatively,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thumb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rate</w:t>
      </w:r>
      <w:r>
        <w:rPr>
          <w:spacing w:val="-5"/>
        </w:rPr>
        <w:t xml:space="preserve"> </w:t>
      </w:r>
      <w:r>
        <w:t>down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imprecision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there are a minimum of 400 patients per group (i.e., a total of 800 patients). Since the given meta-analysis has a total of only 248 patients across all trials, this would prompt us to rate down for imprecision using these</w:t>
      </w:r>
    </w:p>
    <w:p w14:paraId="367C755E" w14:textId="77777777" w:rsidR="003A60C9" w:rsidRDefault="00000000">
      <w:pPr>
        <w:pStyle w:val="BodyText"/>
        <w:spacing w:line="267" w:lineRule="exact"/>
      </w:pPr>
      <w:r>
        <w:rPr>
          <w:spacing w:val="-2"/>
        </w:rPr>
        <w:t>criteria.</w:t>
      </w:r>
    </w:p>
    <w:p w14:paraId="5FAF782E" w14:textId="77777777" w:rsidR="003A60C9" w:rsidRDefault="00000000">
      <w:pPr>
        <w:pStyle w:val="BodyText"/>
        <w:spacing w:before="161"/>
        <w:ind w:right="23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DF8F307" wp14:editId="32904A4E">
            <wp:simplePos x="0" y="0"/>
            <wp:positionH relativeFrom="page">
              <wp:posOffset>685800</wp:posOffset>
            </wp:positionH>
            <wp:positionV relativeFrom="paragraph">
              <wp:posOffset>453451</wp:posOffset>
            </wp:positionV>
            <wp:extent cx="5687924" cy="1021556"/>
            <wp:effectExtent l="0" t="0" r="0" b="0"/>
            <wp:wrapTopAndBottom/>
            <wp:docPr id="4" name="Image 4" descr="A table with numbers and symbol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table with numbers and symbols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24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u w:val="single"/>
        </w:rPr>
        <w:t>Figure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4.</w:t>
      </w:r>
      <w:r>
        <w:rPr>
          <w:b/>
          <w:spacing w:val="-5"/>
        </w:rPr>
        <w:t xml:space="preserve"> </w:t>
      </w:r>
      <w:r>
        <w:t>Meta-analysis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randomized</w:t>
      </w:r>
      <w:r>
        <w:rPr>
          <w:spacing w:val="-5"/>
        </w:rPr>
        <w:t xml:space="preserve"> </w:t>
      </w:r>
      <w:r>
        <w:t>controlled</w:t>
      </w:r>
      <w:r>
        <w:rPr>
          <w:spacing w:val="-5"/>
        </w:rPr>
        <w:t xml:space="preserve"> </w:t>
      </w:r>
      <w:r>
        <w:t>trials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stem</w:t>
      </w:r>
      <w:r>
        <w:rPr>
          <w:spacing w:val="-6"/>
        </w:rPr>
        <w:t xml:space="preserve"> </w:t>
      </w:r>
      <w:r>
        <w:t>cell</w:t>
      </w:r>
      <w:r>
        <w:rPr>
          <w:spacing w:val="-5"/>
        </w:rPr>
        <w:t xml:space="preserve"> </w:t>
      </w:r>
      <w:r>
        <w:t>therapy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MELD</w:t>
      </w:r>
      <w:r>
        <w:rPr>
          <w:spacing w:val="-4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in chronic liver disease</w:t>
      </w:r>
    </w:p>
    <w:p w14:paraId="69A25F2A" w14:textId="77777777" w:rsidR="003A60C9" w:rsidRDefault="003A60C9">
      <w:pPr>
        <w:pStyle w:val="BodyText"/>
        <w:sectPr w:rsidR="003A60C9">
          <w:pgSz w:w="11910" w:h="16840"/>
          <w:pgMar w:top="1380" w:right="992" w:bottom="280" w:left="992" w:header="720" w:footer="720" w:gutter="0"/>
          <w:cols w:space="720"/>
        </w:sectPr>
      </w:pPr>
    </w:p>
    <w:p w14:paraId="1529C206" w14:textId="77777777" w:rsidR="003A60C9" w:rsidRDefault="00000000">
      <w:pPr>
        <w:pStyle w:val="Heading1"/>
      </w:pPr>
      <w:r>
        <w:rPr>
          <w:spacing w:val="-2"/>
        </w:rPr>
        <w:lastRenderedPageBreak/>
        <w:t>References</w:t>
      </w:r>
    </w:p>
    <w:p w14:paraId="7E052C01" w14:textId="77777777" w:rsidR="003A60C9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808"/>
        </w:tabs>
        <w:ind w:right="504" w:hanging="721"/>
      </w:pPr>
      <w:r>
        <w:t>Zeng</w:t>
      </w:r>
      <w:r>
        <w:rPr>
          <w:spacing w:val="-6"/>
        </w:rPr>
        <w:t xml:space="preserve"> </w:t>
      </w:r>
      <w:r>
        <w:t>L,</w:t>
      </w:r>
      <w:r>
        <w:rPr>
          <w:spacing w:val="-5"/>
        </w:rPr>
        <w:t xml:space="preserve"> </w:t>
      </w:r>
      <w:r>
        <w:t>Brignardello-Petersen</w:t>
      </w:r>
      <w:r>
        <w:rPr>
          <w:spacing w:val="-5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Hultcrantz</w:t>
      </w:r>
      <w:r>
        <w:rPr>
          <w:spacing w:val="-8"/>
        </w:rPr>
        <w:t xml:space="preserve"> </w:t>
      </w:r>
      <w:r>
        <w:t>M,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-8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t>34:</w:t>
      </w:r>
      <w:r>
        <w:rPr>
          <w:spacing w:val="-5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 xml:space="preserve">imprecision using a minimally contextualized approach. </w:t>
      </w:r>
      <w:r>
        <w:rPr>
          <w:i/>
        </w:rPr>
        <w:t xml:space="preserve">J Clin Epidemiol </w:t>
      </w:r>
      <w:r>
        <w:t xml:space="preserve">2022;150:216-24. </w:t>
      </w:r>
      <w:proofErr w:type="spellStart"/>
      <w:r>
        <w:t>doi</w:t>
      </w:r>
      <w:proofErr w:type="spellEnd"/>
      <w:r>
        <w:t>:</w:t>
      </w:r>
    </w:p>
    <w:p w14:paraId="27761BAD" w14:textId="77777777" w:rsidR="003A60C9" w:rsidRDefault="00000000">
      <w:pPr>
        <w:pStyle w:val="BodyText"/>
        <w:spacing w:before="1" w:line="267" w:lineRule="exact"/>
        <w:ind w:left="808"/>
      </w:pPr>
      <w:r>
        <w:t>10.1016/j.jclinepi.2022.07.014</w:t>
      </w:r>
      <w:r>
        <w:rPr>
          <w:spacing w:val="-11"/>
        </w:rPr>
        <w:t xml:space="preserve"> </w:t>
      </w:r>
      <w:r>
        <w:t>[published</w:t>
      </w:r>
      <w:r>
        <w:rPr>
          <w:spacing w:val="-12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First:</w:t>
      </w:r>
      <w:r>
        <w:rPr>
          <w:spacing w:val="-12"/>
        </w:rPr>
        <w:t xml:space="preserve"> </w:t>
      </w:r>
      <w:r>
        <w:rPr>
          <w:spacing w:val="-2"/>
        </w:rPr>
        <w:t>20220804]</w:t>
      </w:r>
    </w:p>
    <w:p w14:paraId="79107251" w14:textId="77777777" w:rsidR="003A60C9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line="267" w:lineRule="exact"/>
        <w:ind w:left="304" w:hanging="217"/>
      </w:pPr>
      <w:r>
        <w:t>Zhou</w:t>
      </w:r>
      <w:r>
        <w:rPr>
          <w:spacing w:val="-9"/>
        </w:rPr>
        <w:t xml:space="preserve"> </w:t>
      </w:r>
      <w:r>
        <w:t>S,</w:t>
      </w:r>
      <w:r>
        <w:rPr>
          <w:spacing w:val="-8"/>
        </w:rPr>
        <w:t xml:space="preserve"> </w:t>
      </w:r>
      <w:r>
        <w:t>Buitrago</w:t>
      </w:r>
      <w:r>
        <w:rPr>
          <w:spacing w:val="-6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Foong</w:t>
      </w:r>
      <w:r>
        <w:rPr>
          <w:spacing w:val="-7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</w:t>
      </w:r>
      <w:r>
        <w:rPr>
          <w:spacing w:val="-8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meta-analysis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randomized</w:t>
      </w:r>
      <w:r>
        <w:rPr>
          <w:spacing w:val="-6"/>
        </w:rPr>
        <w:t xml:space="preserve"> </w:t>
      </w:r>
      <w:r>
        <w:t>controlled</w:t>
      </w:r>
      <w:r>
        <w:rPr>
          <w:spacing w:val="-8"/>
        </w:rPr>
        <w:t xml:space="preserve"> </w:t>
      </w:r>
      <w:r>
        <w:t>trials</w:t>
      </w:r>
      <w:r>
        <w:rPr>
          <w:spacing w:val="-7"/>
        </w:rPr>
        <w:t xml:space="preserve"> </w:t>
      </w:r>
      <w:r>
        <w:rPr>
          <w:spacing w:val="-5"/>
        </w:rPr>
        <w:t>of</w:t>
      </w:r>
    </w:p>
    <w:p w14:paraId="06FE8FA8" w14:textId="77777777" w:rsidR="003A60C9" w:rsidRDefault="00000000">
      <w:pPr>
        <w:pStyle w:val="BodyText"/>
        <w:ind w:left="808" w:right="189"/>
      </w:pPr>
      <w:r>
        <w:t>Lactated</w:t>
      </w:r>
      <w:r>
        <w:rPr>
          <w:spacing w:val="-7"/>
        </w:rPr>
        <w:t xml:space="preserve"> </w:t>
      </w:r>
      <w:r>
        <w:t>Ringer's</w:t>
      </w:r>
      <w:r>
        <w:rPr>
          <w:spacing w:val="-10"/>
        </w:rPr>
        <w:t xml:space="preserve"> </w:t>
      </w:r>
      <w:r>
        <w:t>versus</w:t>
      </w:r>
      <w:r>
        <w:rPr>
          <w:spacing w:val="-7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>Saline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acute</w:t>
      </w:r>
      <w:r>
        <w:rPr>
          <w:spacing w:val="-9"/>
        </w:rPr>
        <w:t xml:space="preserve"> </w:t>
      </w:r>
      <w:r>
        <w:t>pancreatitis.</w:t>
      </w:r>
      <w:r>
        <w:rPr>
          <w:spacing w:val="-4"/>
        </w:rPr>
        <w:t xml:space="preserve"> </w:t>
      </w:r>
      <w:r>
        <w:rPr>
          <w:i/>
        </w:rPr>
        <w:t>Pancreatology</w:t>
      </w:r>
      <w:r>
        <w:rPr>
          <w:i/>
          <w:spacing w:val="-9"/>
        </w:rPr>
        <w:t xml:space="preserve"> </w:t>
      </w:r>
      <w:r>
        <w:t xml:space="preserve">2021;21(8):1405-10. </w:t>
      </w:r>
      <w:proofErr w:type="spellStart"/>
      <w:r>
        <w:t>doi</w:t>
      </w:r>
      <w:proofErr w:type="spellEnd"/>
      <w:r>
        <w:t>: 10.1016/j.pan.2021.07.003 [published Online First: 20210726]</w:t>
      </w:r>
    </w:p>
    <w:p w14:paraId="6ED9C7D1" w14:textId="77777777" w:rsidR="003A60C9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808"/>
        </w:tabs>
        <w:ind w:right="101" w:hanging="721"/>
      </w:pPr>
      <w:r>
        <w:t>Guyatt</w:t>
      </w:r>
      <w:r>
        <w:rPr>
          <w:spacing w:val="-5"/>
        </w:rPr>
        <w:t xml:space="preserve"> </w:t>
      </w:r>
      <w:r>
        <w:t>GH,</w:t>
      </w:r>
      <w:r>
        <w:rPr>
          <w:spacing w:val="-3"/>
        </w:rPr>
        <w:t xml:space="preserve"> </w:t>
      </w:r>
      <w:r>
        <w:t>Oxman</w:t>
      </w:r>
      <w:r>
        <w:rPr>
          <w:spacing w:val="-4"/>
        </w:rPr>
        <w:t xml:space="preserve"> </w:t>
      </w:r>
      <w:r>
        <w:t>AD,</w:t>
      </w:r>
      <w:r>
        <w:rPr>
          <w:spacing w:val="-6"/>
        </w:rPr>
        <w:t xml:space="preserve"> </w:t>
      </w:r>
      <w:r>
        <w:t>Kunz</w:t>
      </w:r>
      <w:r>
        <w:rPr>
          <w:spacing w:val="-4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</w:t>
      </w:r>
      <w:r>
        <w:rPr>
          <w:spacing w:val="-4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guidelines</w:t>
      </w:r>
      <w:r>
        <w:rPr>
          <w:spacing w:val="-2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evidence--imprecision.</w:t>
      </w:r>
      <w:r>
        <w:rPr>
          <w:spacing w:val="-3"/>
        </w:rPr>
        <w:t xml:space="preserve"> </w:t>
      </w:r>
      <w:r>
        <w:rPr>
          <w:i/>
        </w:rPr>
        <w:t>J</w:t>
      </w:r>
      <w:r>
        <w:rPr>
          <w:i/>
          <w:spacing w:val="-4"/>
        </w:rPr>
        <w:t xml:space="preserve"> </w:t>
      </w:r>
      <w:r>
        <w:rPr>
          <w:i/>
        </w:rPr>
        <w:t xml:space="preserve">Clin Epidemiol </w:t>
      </w:r>
      <w:r>
        <w:t xml:space="preserve">2011;64(12):1283-93. </w:t>
      </w:r>
      <w:proofErr w:type="spellStart"/>
      <w:r>
        <w:t>doi</w:t>
      </w:r>
      <w:proofErr w:type="spellEnd"/>
      <w:r>
        <w:t xml:space="preserve">: 10.1016/j.jclinepi.2011.01.012 [published Online First: </w:t>
      </w:r>
      <w:r>
        <w:rPr>
          <w:spacing w:val="-2"/>
        </w:rPr>
        <w:t>20110811]</w:t>
      </w:r>
    </w:p>
    <w:p w14:paraId="33D38813" w14:textId="77777777" w:rsidR="003A60C9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808"/>
        </w:tabs>
        <w:spacing w:before="1"/>
        <w:ind w:right="343" w:hanging="721"/>
      </w:pPr>
      <w:r>
        <w:t>Brignardello-Petersen</w:t>
      </w:r>
      <w:r>
        <w:rPr>
          <w:spacing w:val="-4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Guyatt</w:t>
      </w:r>
      <w:r>
        <w:rPr>
          <w:spacing w:val="-4"/>
        </w:rPr>
        <w:t xml:space="preserve"> </w:t>
      </w:r>
      <w:r>
        <w:t>GH,</w:t>
      </w:r>
      <w:r>
        <w:rPr>
          <w:spacing w:val="-6"/>
        </w:rPr>
        <w:t xml:space="preserve"> </w:t>
      </w:r>
      <w:r>
        <w:t>Mustafa</w:t>
      </w:r>
      <w:r>
        <w:rPr>
          <w:spacing w:val="-6"/>
        </w:rPr>
        <w:t xml:space="preserve"> </w:t>
      </w:r>
      <w:r>
        <w:t>RA,</w:t>
      </w:r>
      <w:r>
        <w:rPr>
          <w:spacing w:val="-4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</w:t>
      </w:r>
      <w:r>
        <w:rPr>
          <w:spacing w:val="-5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guidelines</w:t>
      </w:r>
      <w:r>
        <w:rPr>
          <w:spacing w:val="-6"/>
        </w:rPr>
        <w:t xml:space="preserve"> </w:t>
      </w:r>
      <w:r>
        <w:t>33:</w:t>
      </w:r>
      <w:r>
        <w:rPr>
          <w:spacing w:val="-4"/>
        </w:rPr>
        <w:t xml:space="preserve"> </w:t>
      </w:r>
      <w:r>
        <w:t>Addressing</w:t>
      </w:r>
      <w:r>
        <w:rPr>
          <w:spacing w:val="-6"/>
        </w:rPr>
        <w:t xml:space="preserve"> </w:t>
      </w:r>
      <w:r>
        <w:t>imprecision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a network meta-analysis. </w:t>
      </w:r>
      <w:r>
        <w:rPr>
          <w:i/>
        </w:rPr>
        <w:t xml:space="preserve">J Clin Epidemiol </w:t>
      </w:r>
      <w:r>
        <w:t xml:space="preserve">2021;139:49-56. </w:t>
      </w:r>
      <w:proofErr w:type="spellStart"/>
      <w:r>
        <w:t>doi</w:t>
      </w:r>
      <w:proofErr w:type="spellEnd"/>
      <w:r>
        <w:t>: 10.1016/j.jclinepi.2021.07.011</w:t>
      </w:r>
    </w:p>
    <w:p w14:paraId="55181126" w14:textId="77777777" w:rsidR="003A60C9" w:rsidRDefault="00000000">
      <w:pPr>
        <w:pStyle w:val="BodyText"/>
        <w:spacing w:before="1"/>
        <w:ind w:left="808"/>
      </w:pPr>
      <w:r>
        <w:t>[published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First:</w:t>
      </w:r>
      <w:r>
        <w:rPr>
          <w:spacing w:val="-8"/>
        </w:rPr>
        <w:t xml:space="preserve"> </w:t>
      </w:r>
      <w:r>
        <w:rPr>
          <w:spacing w:val="-2"/>
        </w:rPr>
        <w:t>20210719]</w:t>
      </w:r>
    </w:p>
    <w:p w14:paraId="1756CD40" w14:textId="77777777" w:rsidR="003A60C9" w:rsidRDefault="00000000">
      <w:pPr>
        <w:pStyle w:val="ListParagraph"/>
        <w:numPr>
          <w:ilvl w:val="0"/>
          <w:numId w:val="1"/>
        </w:numPr>
        <w:tabs>
          <w:tab w:val="left" w:pos="304"/>
          <w:tab w:val="left" w:pos="808"/>
        </w:tabs>
        <w:spacing w:before="3" w:line="237" w:lineRule="auto"/>
        <w:ind w:right="214" w:hanging="721"/>
        <w:rPr>
          <w:i/>
        </w:rPr>
      </w:pPr>
      <w:r>
        <w:t>Zhou</w:t>
      </w:r>
      <w:r>
        <w:rPr>
          <w:spacing w:val="-10"/>
        </w:rPr>
        <w:t xml:space="preserve"> </w:t>
      </w:r>
      <w:r>
        <w:t>GP,</w:t>
      </w:r>
      <w:r>
        <w:rPr>
          <w:spacing w:val="-8"/>
        </w:rPr>
        <w:t xml:space="preserve"> </w:t>
      </w:r>
      <w:r>
        <w:t>Jiang</w:t>
      </w:r>
      <w:r>
        <w:rPr>
          <w:spacing w:val="-9"/>
        </w:rPr>
        <w:t xml:space="preserve"> </w:t>
      </w:r>
      <w:r>
        <w:t>YZ,</w:t>
      </w:r>
      <w:r>
        <w:rPr>
          <w:spacing w:val="-8"/>
        </w:rPr>
        <w:t xml:space="preserve"> </w:t>
      </w:r>
      <w:r>
        <w:t>Sun</w:t>
      </w:r>
      <w:r>
        <w:rPr>
          <w:spacing w:val="-9"/>
        </w:rPr>
        <w:t xml:space="preserve"> </w:t>
      </w:r>
      <w:r>
        <w:t>LY,</w:t>
      </w:r>
      <w:r>
        <w:rPr>
          <w:spacing w:val="-10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</w:t>
      </w:r>
      <w:r>
        <w:rPr>
          <w:spacing w:val="-9"/>
        </w:rPr>
        <w:t xml:space="preserve"> </w:t>
      </w:r>
      <w:r>
        <w:t>Therapeutic</w:t>
      </w:r>
      <w:r>
        <w:rPr>
          <w:spacing w:val="-8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safety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stem</w:t>
      </w:r>
      <w:r>
        <w:rPr>
          <w:spacing w:val="-9"/>
        </w:rPr>
        <w:t xml:space="preserve"> </w:t>
      </w:r>
      <w:r>
        <w:t>cell</w:t>
      </w:r>
      <w:r>
        <w:rPr>
          <w:spacing w:val="-8"/>
        </w:rPr>
        <w:t xml:space="preserve"> </w:t>
      </w:r>
      <w:r>
        <w:t>therapy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chronic</w:t>
      </w:r>
      <w:r>
        <w:rPr>
          <w:spacing w:val="-8"/>
        </w:rPr>
        <w:t xml:space="preserve"> </w:t>
      </w:r>
      <w:r>
        <w:t>liver</w:t>
      </w:r>
      <w:r>
        <w:rPr>
          <w:spacing w:val="-8"/>
        </w:rPr>
        <w:t xml:space="preserve"> </w:t>
      </w:r>
      <w:r>
        <w:t xml:space="preserve">disease: a systematic review and meta-analysis of randomized controlled trials. </w:t>
      </w:r>
      <w:r>
        <w:rPr>
          <w:i/>
        </w:rPr>
        <w:t>Stem Cell Res Ther</w:t>
      </w:r>
    </w:p>
    <w:p w14:paraId="780CE00C" w14:textId="77777777" w:rsidR="003A60C9" w:rsidRDefault="00000000">
      <w:pPr>
        <w:pStyle w:val="BodyText"/>
        <w:spacing w:before="1"/>
        <w:ind w:left="808"/>
      </w:pPr>
      <w:r>
        <w:t>2020;11(1):419.</w:t>
      </w:r>
      <w:r>
        <w:rPr>
          <w:spacing w:val="-13"/>
        </w:rPr>
        <w:t xml:space="preserve"> </w:t>
      </w:r>
      <w:proofErr w:type="spellStart"/>
      <w:r>
        <w:t>doi</w:t>
      </w:r>
      <w:proofErr w:type="spellEnd"/>
      <w:r>
        <w:t>:</w:t>
      </w:r>
      <w:r>
        <w:rPr>
          <w:spacing w:val="-12"/>
        </w:rPr>
        <w:t xml:space="preserve"> </w:t>
      </w:r>
      <w:r>
        <w:t>10.1186/s13287-020-01935-w</w:t>
      </w:r>
      <w:r>
        <w:rPr>
          <w:spacing w:val="-9"/>
        </w:rPr>
        <w:t xml:space="preserve"> </w:t>
      </w:r>
      <w:r>
        <w:t>[published</w:t>
      </w:r>
      <w:r>
        <w:rPr>
          <w:spacing w:val="-11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First:</w:t>
      </w:r>
      <w:r>
        <w:rPr>
          <w:spacing w:val="-11"/>
        </w:rPr>
        <w:t xml:space="preserve"> </w:t>
      </w:r>
      <w:r>
        <w:rPr>
          <w:spacing w:val="-2"/>
        </w:rPr>
        <w:t>20200925]</w:t>
      </w:r>
    </w:p>
    <w:sectPr w:rsidR="003A60C9">
      <w:pgSz w:w="11910" w:h="16840"/>
      <w:pgMar w:top="13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913BB"/>
    <w:multiLevelType w:val="hybridMultilevel"/>
    <w:tmpl w:val="5A3AE38C"/>
    <w:lvl w:ilvl="0" w:tplc="0FDA74EC">
      <w:start w:val="1"/>
      <w:numFmt w:val="decimal"/>
      <w:lvlText w:val="%1."/>
      <w:lvlJc w:val="left"/>
      <w:pPr>
        <w:ind w:left="808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E6D018">
      <w:numFmt w:val="bullet"/>
      <w:lvlText w:val="•"/>
      <w:lvlJc w:val="left"/>
      <w:pPr>
        <w:ind w:left="1712" w:hanging="219"/>
      </w:pPr>
      <w:rPr>
        <w:rFonts w:hint="default"/>
        <w:lang w:val="en-US" w:eastAsia="en-US" w:bidi="ar-SA"/>
      </w:rPr>
    </w:lvl>
    <w:lvl w:ilvl="2" w:tplc="E8C0A0B2">
      <w:numFmt w:val="bullet"/>
      <w:lvlText w:val="•"/>
      <w:lvlJc w:val="left"/>
      <w:pPr>
        <w:ind w:left="2624" w:hanging="219"/>
      </w:pPr>
      <w:rPr>
        <w:rFonts w:hint="default"/>
        <w:lang w:val="en-US" w:eastAsia="en-US" w:bidi="ar-SA"/>
      </w:rPr>
    </w:lvl>
    <w:lvl w:ilvl="3" w:tplc="389E5BFA">
      <w:numFmt w:val="bullet"/>
      <w:lvlText w:val="•"/>
      <w:lvlJc w:val="left"/>
      <w:pPr>
        <w:ind w:left="3536" w:hanging="219"/>
      </w:pPr>
      <w:rPr>
        <w:rFonts w:hint="default"/>
        <w:lang w:val="en-US" w:eastAsia="en-US" w:bidi="ar-SA"/>
      </w:rPr>
    </w:lvl>
    <w:lvl w:ilvl="4" w:tplc="FCDC0BB0">
      <w:numFmt w:val="bullet"/>
      <w:lvlText w:val="•"/>
      <w:lvlJc w:val="left"/>
      <w:pPr>
        <w:ind w:left="4448" w:hanging="219"/>
      </w:pPr>
      <w:rPr>
        <w:rFonts w:hint="default"/>
        <w:lang w:val="en-US" w:eastAsia="en-US" w:bidi="ar-SA"/>
      </w:rPr>
    </w:lvl>
    <w:lvl w:ilvl="5" w:tplc="AC42DA20">
      <w:numFmt w:val="bullet"/>
      <w:lvlText w:val="•"/>
      <w:lvlJc w:val="left"/>
      <w:pPr>
        <w:ind w:left="5361" w:hanging="219"/>
      </w:pPr>
      <w:rPr>
        <w:rFonts w:hint="default"/>
        <w:lang w:val="en-US" w:eastAsia="en-US" w:bidi="ar-SA"/>
      </w:rPr>
    </w:lvl>
    <w:lvl w:ilvl="6" w:tplc="7A9C2052">
      <w:numFmt w:val="bullet"/>
      <w:lvlText w:val="•"/>
      <w:lvlJc w:val="left"/>
      <w:pPr>
        <w:ind w:left="6273" w:hanging="219"/>
      </w:pPr>
      <w:rPr>
        <w:rFonts w:hint="default"/>
        <w:lang w:val="en-US" w:eastAsia="en-US" w:bidi="ar-SA"/>
      </w:rPr>
    </w:lvl>
    <w:lvl w:ilvl="7" w:tplc="526081B2">
      <w:numFmt w:val="bullet"/>
      <w:lvlText w:val="•"/>
      <w:lvlJc w:val="left"/>
      <w:pPr>
        <w:ind w:left="7185" w:hanging="219"/>
      </w:pPr>
      <w:rPr>
        <w:rFonts w:hint="default"/>
        <w:lang w:val="en-US" w:eastAsia="en-US" w:bidi="ar-SA"/>
      </w:rPr>
    </w:lvl>
    <w:lvl w:ilvl="8" w:tplc="05F62B0E">
      <w:numFmt w:val="bullet"/>
      <w:lvlText w:val="•"/>
      <w:lvlJc w:val="left"/>
      <w:pPr>
        <w:ind w:left="8097" w:hanging="219"/>
      </w:pPr>
      <w:rPr>
        <w:rFonts w:hint="default"/>
        <w:lang w:val="en-US" w:eastAsia="en-US" w:bidi="ar-SA"/>
      </w:rPr>
    </w:lvl>
  </w:abstractNum>
  <w:num w:numId="1" w16cid:durableId="1711028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C9"/>
    <w:rsid w:val="000029A5"/>
    <w:rsid w:val="003A60C9"/>
    <w:rsid w:val="004F757F"/>
    <w:rsid w:val="006C2F76"/>
    <w:rsid w:val="0073590A"/>
    <w:rsid w:val="00A41ABA"/>
    <w:rsid w:val="00C322BF"/>
    <w:rsid w:val="00C934B8"/>
    <w:rsid w:val="00D03FBC"/>
    <w:rsid w:val="00F9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8623"/>
  <w15:docId w15:val="{9DB18DA1-1667-46D5-8F5C-E9CE6EAF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1"/>
      <w:ind w:left="8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"/>
    </w:pPr>
  </w:style>
  <w:style w:type="paragraph" w:styleId="ListParagraph">
    <w:name w:val="List Paragraph"/>
    <w:basedOn w:val="Normal"/>
    <w:uiPriority w:val="1"/>
    <w:qFormat/>
    <w:pPr>
      <w:ind w:left="808" w:hanging="7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epi.com/SampleSize/SSCohort.ht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Linan Zeng</dc:creator>
  <cp:lastModifiedBy>Guyatt, Gordon</cp:lastModifiedBy>
  <cp:revision>2</cp:revision>
  <dcterms:created xsi:type="dcterms:W3CDTF">2026-05-02T13:33:00Z</dcterms:created>
  <dcterms:modified xsi:type="dcterms:W3CDTF">2026-05-02T13:33:00Z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