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2136B" w14:textId="1475DC9A" w:rsidR="00563994" w:rsidRDefault="00F9703B">
      <w:pPr>
        <w:pStyle w:val="Heading1"/>
      </w:pPr>
      <w:r>
        <w:t>Three visual criteria</w:t>
      </w:r>
      <w:r w:rsidR="00000000">
        <w:t>.</w:t>
      </w:r>
      <w:r w:rsidR="00000000">
        <w:rPr>
          <w:spacing w:val="-4"/>
        </w:rPr>
        <w:t xml:space="preserve"> </w:t>
      </w:r>
      <w:r w:rsidR="00000000">
        <w:t>Generating</w:t>
      </w:r>
      <w:r w:rsidR="00000000">
        <w:rPr>
          <w:spacing w:val="-1"/>
        </w:rPr>
        <w:t xml:space="preserve"> </w:t>
      </w:r>
      <w:r w:rsidR="00000000">
        <w:t>an</w:t>
      </w:r>
      <w:r w:rsidR="00000000">
        <w:rPr>
          <w:spacing w:val="-5"/>
        </w:rPr>
        <w:t xml:space="preserve"> </w:t>
      </w:r>
      <w:r w:rsidR="00000000">
        <w:t>MID</w:t>
      </w:r>
      <w:r w:rsidR="00000000">
        <w:rPr>
          <w:spacing w:val="-5"/>
        </w:rPr>
        <w:t xml:space="preserve"> </w:t>
      </w:r>
      <w:r w:rsidR="00000000">
        <w:t>relative</w:t>
      </w:r>
      <w:r w:rsidR="00000000">
        <w:rPr>
          <w:spacing w:val="-5"/>
        </w:rPr>
        <w:t xml:space="preserve"> </w:t>
      </w:r>
      <w:r w:rsidR="00000000">
        <w:t>risk</w:t>
      </w:r>
      <w:r w:rsidR="00000000">
        <w:rPr>
          <w:spacing w:val="-4"/>
        </w:rPr>
        <w:t xml:space="preserve"> </w:t>
      </w:r>
      <w:r w:rsidR="00000000">
        <w:rPr>
          <w:spacing w:val="-2"/>
        </w:rPr>
        <w:t>threshold</w:t>
      </w:r>
    </w:p>
    <w:p w14:paraId="5E8FC0A4" w14:textId="77777777" w:rsidR="00563994" w:rsidRDefault="00000000">
      <w:pPr>
        <w:pStyle w:val="BodyText"/>
        <w:spacing w:before="202" w:line="278" w:lineRule="auto"/>
        <w:ind w:right="195"/>
      </w:pPr>
      <w:r>
        <w:t>Core GRADE users will, when outcomes are binary, typically judge inconsistency by examining forest plots presenting</w:t>
      </w:r>
      <w:r>
        <w:rPr>
          <w:spacing w:val="-6"/>
        </w:rPr>
        <w:t xml:space="preserve"> </w:t>
      </w:r>
      <w:r>
        <w:t>relative</w:t>
      </w:r>
      <w:r>
        <w:rPr>
          <w:spacing w:val="-5"/>
        </w:rPr>
        <w:t xml:space="preserve"> </w:t>
      </w:r>
      <w:r>
        <w:t>risks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considering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similarity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point</w:t>
      </w:r>
      <w:r>
        <w:rPr>
          <w:spacing w:val="-5"/>
        </w:rPr>
        <w:t xml:space="preserve"> </w:t>
      </w:r>
      <w:r>
        <w:t>estimates</w:t>
      </w:r>
      <w:r>
        <w:rPr>
          <w:spacing w:val="-5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extent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which</w:t>
      </w:r>
      <w:r>
        <w:rPr>
          <w:spacing w:val="-6"/>
        </w:rPr>
        <w:t xml:space="preserve"> </w:t>
      </w:r>
      <w:r>
        <w:t>confidence intervals</w:t>
      </w:r>
      <w:r>
        <w:rPr>
          <w:spacing w:val="-7"/>
        </w:rPr>
        <w:t xml:space="preserve"> </w:t>
      </w:r>
      <w:r>
        <w:t>overlap.</w:t>
      </w:r>
      <w:r>
        <w:rPr>
          <w:spacing w:val="-6"/>
        </w:rPr>
        <w:t xml:space="preserve"> </w:t>
      </w:r>
      <w:r>
        <w:t>When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threshold</w:t>
      </w:r>
      <w:r>
        <w:rPr>
          <w:spacing w:val="-7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MID,</w:t>
      </w:r>
      <w:r>
        <w:rPr>
          <w:spacing w:val="-7"/>
        </w:rPr>
        <w:t xml:space="preserve"> </w:t>
      </w:r>
      <w:r>
        <w:t>however,</w:t>
      </w:r>
      <w:r>
        <w:rPr>
          <w:spacing w:val="-7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absolute</w:t>
      </w:r>
      <w:r>
        <w:rPr>
          <w:spacing w:val="-7"/>
        </w:rPr>
        <w:t xml:space="preserve"> </w:t>
      </w:r>
      <w:r>
        <w:t>rather</w:t>
      </w:r>
      <w:r>
        <w:rPr>
          <w:spacing w:val="-9"/>
        </w:rPr>
        <w:t xml:space="preserve"> </w:t>
      </w:r>
      <w:r>
        <w:t>than</w:t>
      </w:r>
      <w:r>
        <w:rPr>
          <w:spacing w:val="-9"/>
        </w:rPr>
        <w:t xml:space="preserve"> </w:t>
      </w:r>
      <w:r>
        <w:t>relative</w:t>
      </w:r>
      <w:r>
        <w:rPr>
          <w:spacing w:val="-7"/>
        </w:rPr>
        <w:t xml:space="preserve"> </w:t>
      </w:r>
      <w:r>
        <w:t>differences</w:t>
      </w:r>
      <w:r>
        <w:rPr>
          <w:spacing w:val="-9"/>
        </w:rPr>
        <w:t xml:space="preserve"> </w:t>
      </w:r>
      <w:r>
        <w:t>that determine whether inconsistency is problematic. Making the judgement about problematic inconsistency</w:t>
      </w:r>
    </w:p>
    <w:p w14:paraId="4BDE4C70" w14:textId="77777777" w:rsidR="00563994" w:rsidRDefault="00000000">
      <w:pPr>
        <w:pStyle w:val="BodyText"/>
        <w:spacing w:line="268" w:lineRule="exact"/>
      </w:pPr>
      <w:r>
        <w:t>therefore</w:t>
      </w:r>
      <w:r>
        <w:rPr>
          <w:spacing w:val="-12"/>
        </w:rPr>
        <w:t xml:space="preserve"> </w:t>
      </w:r>
      <w:r>
        <w:t>requires</w:t>
      </w:r>
      <w:r>
        <w:rPr>
          <w:spacing w:val="-10"/>
        </w:rPr>
        <w:t xml:space="preserve"> </w:t>
      </w:r>
      <w:r>
        <w:t>converting</w:t>
      </w:r>
      <w:r>
        <w:rPr>
          <w:spacing w:val="-11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relative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an</w:t>
      </w:r>
      <w:r>
        <w:rPr>
          <w:spacing w:val="-11"/>
        </w:rPr>
        <w:t xml:space="preserve"> </w:t>
      </w:r>
      <w:r>
        <w:t>absolute</w:t>
      </w:r>
      <w:r>
        <w:rPr>
          <w:spacing w:val="-10"/>
        </w:rPr>
        <w:t xml:space="preserve"> </w:t>
      </w:r>
      <w:r>
        <w:rPr>
          <w:spacing w:val="-2"/>
        </w:rPr>
        <w:t>effect.</w:t>
      </w:r>
    </w:p>
    <w:p w14:paraId="2A273E01" w14:textId="77777777" w:rsidR="00563994" w:rsidRDefault="00000000">
      <w:pPr>
        <w:pStyle w:val="BodyText"/>
        <w:spacing w:before="202"/>
      </w:pPr>
      <w:r>
        <w:t>The</w:t>
      </w:r>
      <w:r>
        <w:rPr>
          <w:spacing w:val="-5"/>
        </w:rPr>
        <w:t xml:space="preserve"> </w:t>
      </w:r>
      <w:r>
        <w:t>hypothetical</w:t>
      </w:r>
      <w:r>
        <w:rPr>
          <w:spacing w:val="-5"/>
        </w:rPr>
        <w:t xml:space="preserve"> </w:t>
      </w:r>
      <w:r>
        <w:t>example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Figure</w:t>
      </w:r>
      <w:r>
        <w:rPr>
          <w:spacing w:val="-4"/>
        </w:rPr>
        <w:t xml:space="preserve"> </w:t>
      </w:r>
      <w:r>
        <w:t>3</w:t>
      </w:r>
      <w:r>
        <w:rPr>
          <w:spacing w:val="-5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body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paper</w:t>
      </w:r>
      <w:r>
        <w:rPr>
          <w:spacing w:val="-4"/>
        </w:rPr>
        <w:t xml:space="preserve"> </w:t>
      </w:r>
      <w:r>
        <w:t>addresses</w:t>
      </w:r>
      <w:r>
        <w:rPr>
          <w:spacing w:val="-8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issue.</w:t>
      </w:r>
      <w:r>
        <w:rPr>
          <w:spacing w:val="-5"/>
        </w:rPr>
        <w:t xml:space="preserve"> </w:t>
      </w:r>
      <w:r>
        <w:t>We</w:t>
      </w:r>
      <w:r>
        <w:rPr>
          <w:spacing w:val="-5"/>
        </w:rPr>
        <w:t xml:space="preserve"> </w:t>
      </w:r>
      <w:r>
        <w:t>present</w:t>
      </w:r>
      <w:r>
        <w:rPr>
          <w:spacing w:val="-5"/>
        </w:rPr>
        <w:t xml:space="preserve"> </w:t>
      </w:r>
      <w:r>
        <w:t>how</w:t>
      </w:r>
      <w:r>
        <w:rPr>
          <w:spacing w:val="-3"/>
        </w:rPr>
        <w:t xml:space="preserve"> </w:t>
      </w:r>
      <w:r>
        <w:rPr>
          <w:spacing w:val="-2"/>
        </w:rPr>
        <w:t>authors</w:t>
      </w:r>
    </w:p>
    <w:p w14:paraId="3E82739F" w14:textId="77777777" w:rsidR="00563994" w:rsidRDefault="00000000">
      <w:pPr>
        <w:pStyle w:val="BodyText"/>
        <w:spacing w:before="44" w:line="278" w:lineRule="auto"/>
        <w:ind w:right="195"/>
      </w:pPr>
      <w:r>
        <w:t>might have proceeded. Let us say the outcome in Figure 3 is mortality and the MID in mortality is 10 in 1,000 or 1%.</w:t>
      </w:r>
      <w:r>
        <w:rPr>
          <w:spacing w:val="-3"/>
        </w:rPr>
        <w:t xml:space="preserve"> </w:t>
      </w:r>
      <w:r>
        <w:t>Let</w:t>
      </w:r>
      <w:r>
        <w:rPr>
          <w:spacing w:val="-2"/>
        </w:rPr>
        <w:t xml:space="preserve"> </w:t>
      </w:r>
      <w:r>
        <w:t>us</w:t>
      </w:r>
      <w:r>
        <w:rPr>
          <w:spacing w:val="-2"/>
        </w:rPr>
        <w:t xml:space="preserve"> </w:t>
      </w:r>
      <w:r>
        <w:t>further</w:t>
      </w:r>
      <w:r>
        <w:rPr>
          <w:spacing w:val="-2"/>
        </w:rPr>
        <w:t xml:space="preserve"> </w:t>
      </w:r>
      <w:r>
        <w:t>say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baseline</w:t>
      </w:r>
      <w:r>
        <w:rPr>
          <w:spacing w:val="-4"/>
        </w:rPr>
        <w:t xml:space="preserve"> </w:t>
      </w:r>
      <w:r>
        <w:t>risk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dying</w:t>
      </w:r>
      <w:r>
        <w:rPr>
          <w:spacing w:val="-3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7%.</w:t>
      </w:r>
      <w:r>
        <w:rPr>
          <w:spacing w:val="-2"/>
        </w:rPr>
        <w:t xml:space="preserve"> </w:t>
      </w:r>
      <w:r>
        <w:t>Authors</w:t>
      </w:r>
      <w:r>
        <w:rPr>
          <w:spacing w:val="-2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then</w:t>
      </w:r>
      <w:r>
        <w:rPr>
          <w:spacing w:val="-2"/>
        </w:rPr>
        <w:t xml:space="preserve"> </w:t>
      </w:r>
      <w:r>
        <w:t>ask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question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what</w:t>
      </w:r>
      <w:r>
        <w:rPr>
          <w:spacing w:val="-2"/>
        </w:rPr>
        <w:t xml:space="preserve"> </w:t>
      </w:r>
      <w:r>
        <w:t>relative</w:t>
      </w:r>
      <w:r>
        <w:rPr>
          <w:spacing w:val="-2"/>
        </w:rPr>
        <w:t xml:space="preserve"> </w:t>
      </w:r>
      <w:r>
        <w:t>risk reduction corresponds to the 1% absolute MID.</w:t>
      </w:r>
    </w:p>
    <w:p w14:paraId="2D9A6AA3" w14:textId="77777777" w:rsidR="00563994" w:rsidRDefault="00000000">
      <w:pPr>
        <w:pStyle w:val="BodyText"/>
        <w:spacing w:before="158"/>
      </w:pPr>
      <w:r>
        <w:t>As</w:t>
      </w:r>
      <w:r>
        <w:rPr>
          <w:spacing w:val="-5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turns</w:t>
      </w:r>
      <w:r>
        <w:rPr>
          <w:spacing w:val="-6"/>
        </w:rPr>
        <w:t xml:space="preserve"> </w:t>
      </w:r>
      <w:r>
        <w:t>out,</w:t>
      </w:r>
      <w:r>
        <w:rPr>
          <w:spacing w:val="-7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answer</w:t>
      </w:r>
      <w:r>
        <w:rPr>
          <w:spacing w:val="-7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question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15%</w:t>
      </w:r>
      <w:r>
        <w:rPr>
          <w:spacing w:val="-3"/>
        </w:rPr>
        <w:t xml:space="preserve"> </w:t>
      </w:r>
      <w:r>
        <w:t>relative</w:t>
      </w:r>
      <w:r>
        <w:rPr>
          <w:spacing w:val="-5"/>
        </w:rPr>
        <w:t xml:space="preserve"> </w:t>
      </w:r>
      <w:r>
        <w:t>risk</w:t>
      </w:r>
      <w:r>
        <w:rPr>
          <w:spacing w:val="-7"/>
        </w:rPr>
        <w:t xml:space="preserve"> </w:t>
      </w:r>
      <w:r>
        <w:t>reduction,</w:t>
      </w:r>
      <w:r>
        <w:rPr>
          <w:spacing w:val="-5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illustrated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following:</w:t>
      </w:r>
    </w:p>
    <w:p w14:paraId="17F9BAD2" w14:textId="77777777" w:rsidR="00563994" w:rsidRDefault="00000000">
      <w:pPr>
        <w:pStyle w:val="BodyText"/>
        <w:spacing w:before="201" w:line="278" w:lineRule="auto"/>
      </w:pPr>
      <w:r>
        <w:t>The</w:t>
      </w:r>
      <w:r>
        <w:rPr>
          <w:spacing w:val="-5"/>
        </w:rPr>
        <w:t xml:space="preserve"> </w:t>
      </w:r>
      <w:r>
        <w:t>formula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calculation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relative</w:t>
      </w:r>
      <w:r>
        <w:rPr>
          <w:spacing w:val="-5"/>
        </w:rPr>
        <w:t xml:space="preserve"> </w:t>
      </w:r>
      <w:r>
        <w:t>risk</w:t>
      </w:r>
      <w:r>
        <w:rPr>
          <w:spacing w:val="-3"/>
        </w:rPr>
        <w:t xml:space="preserve"> </w:t>
      </w:r>
      <w:r>
        <w:t>reduction</w:t>
      </w:r>
      <w:r>
        <w:rPr>
          <w:spacing w:val="-7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corresponds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absolute</w:t>
      </w:r>
      <w:r>
        <w:rPr>
          <w:spacing w:val="-7"/>
        </w:rPr>
        <w:t xml:space="preserve"> </w:t>
      </w:r>
      <w:r>
        <w:t>MID</w:t>
      </w:r>
      <w:r>
        <w:rPr>
          <w:spacing w:val="-4"/>
        </w:rPr>
        <w:t xml:space="preserve"> </w:t>
      </w:r>
      <w:r>
        <w:t>is:</w:t>
      </w:r>
      <w:r>
        <w:rPr>
          <w:spacing w:val="-7"/>
        </w:rPr>
        <w:t xml:space="preserve"> </w:t>
      </w:r>
      <w:r>
        <w:t>Absolute</w:t>
      </w:r>
      <w:r>
        <w:rPr>
          <w:spacing w:val="-3"/>
        </w:rPr>
        <w:t xml:space="preserve"> </w:t>
      </w:r>
      <w:r>
        <w:t>MID</w:t>
      </w:r>
      <w:r>
        <w:rPr>
          <w:spacing w:val="-6"/>
        </w:rPr>
        <w:t xml:space="preserve"> </w:t>
      </w:r>
      <w:r>
        <w:t>/ baseline risk</w:t>
      </w:r>
    </w:p>
    <w:p w14:paraId="6280C854" w14:textId="77777777" w:rsidR="00563994" w:rsidRDefault="00000000">
      <w:pPr>
        <w:pStyle w:val="BodyText"/>
        <w:spacing w:before="160" w:line="422" w:lineRule="auto"/>
        <w:ind w:right="1054"/>
      </w:pPr>
      <w:r>
        <w:t>Using</w:t>
      </w:r>
      <w:r>
        <w:rPr>
          <w:spacing w:val="-6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formula</w:t>
      </w:r>
      <w:r>
        <w:rPr>
          <w:spacing w:val="-5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above</w:t>
      </w:r>
      <w:r>
        <w:rPr>
          <w:spacing w:val="-5"/>
        </w:rPr>
        <w:t xml:space="preserve"> </w:t>
      </w:r>
      <w:r>
        <w:t>situation,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relative</w:t>
      </w:r>
      <w:r>
        <w:rPr>
          <w:spacing w:val="-7"/>
        </w:rPr>
        <w:t xml:space="preserve"> </w:t>
      </w:r>
      <w:r>
        <w:t>risk</w:t>
      </w:r>
      <w:r>
        <w:rPr>
          <w:spacing w:val="-5"/>
        </w:rPr>
        <w:t xml:space="preserve"> </w:t>
      </w:r>
      <w:r>
        <w:t>reduction</w:t>
      </w:r>
      <w:r>
        <w:rPr>
          <w:spacing w:val="-4"/>
        </w:rPr>
        <w:t xml:space="preserve"> </w:t>
      </w:r>
      <w:r>
        <w:t>corresponding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MID</w:t>
      </w:r>
      <w:r>
        <w:rPr>
          <w:spacing w:val="-4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follows: 1% / 7% = 0.14 or 14% or approximately 15%.</w:t>
      </w:r>
    </w:p>
    <w:p w14:paraId="019227A5" w14:textId="77777777" w:rsidR="00563994" w:rsidRDefault="00000000">
      <w:pPr>
        <w:pStyle w:val="BodyText"/>
        <w:spacing w:line="266" w:lineRule="exact"/>
      </w:pPr>
      <w:r>
        <w:t>The</w:t>
      </w:r>
      <w:r>
        <w:rPr>
          <w:spacing w:val="-7"/>
        </w:rPr>
        <w:t xml:space="preserve"> </w:t>
      </w:r>
      <w:r>
        <w:t>relative</w:t>
      </w:r>
      <w:r>
        <w:rPr>
          <w:spacing w:val="-9"/>
        </w:rPr>
        <w:t xml:space="preserve"> </w:t>
      </w:r>
      <w:r>
        <w:t>effect</w:t>
      </w:r>
      <w:r>
        <w:rPr>
          <w:spacing w:val="-10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corresponds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MID</w:t>
      </w:r>
      <w:r>
        <w:rPr>
          <w:spacing w:val="-7"/>
        </w:rPr>
        <w:t xml:space="preserve"> </w:t>
      </w:r>
      <w:r>
        <w:t>can</w:t>
      </w:r>
      <w:r>
        <w:rPr>
          <w:spacing w:val="-8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calculated</w:t>
      </w:r>
      <w:r>
        <w:rPr>
          <w:spacing w:val="-7"/>
        </w:rPr>
        <w:t xml:space="preserve"> </w:t>
      </w:r>
      <w:r>
        <w:rPr>
          <w:spacing w:val="-5"/>
        </w:rPr>
        <w:t>as:</w:t>
      </w:r>
    </w:p>
    <w:p w14:paraId="5F079259" w14:textId="77777777" w:rsidR="00563994" w:rsidRDefault="00000000">
      <w:pPr>
        <w:pStyle w:val="BodyText"/>
        <w:spacing w:before="202"/>
      </w:pPr>
      <w:r>
        <w:t>1</w:t>
      </w:r>
      <w:r>
        <w:rPr>
          <w:spacing w:val="-6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relative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reduction=1-</w:t>
      </w:r>
      <w:r>
        <w:rPr>
          <w:spacing w:val="-2"/>
        </w:rPr>
        <w:t>0.15=0.85</w:t>
      </w:r>
    </w:p>
    <w:p w14:paraId="40863D05" w14:textId="77777777" w:rsidR="00563994" w:rsidRDefault="00000000">
      <w:pPr>
        <w:pStyle w:val="BodyText"/>
        <w:spacing w:before="201" w:line="278" w:lineRule="auto"/>
      </w:pPr>
      <w:r>
        <w:t>Having</w:t>
      </w:r>
      <w:r>
        <w:rPr>
          <w:spacing w:val="-5"/>
        </w:rPr>
        <w:t xml:space="preserve"> </w:t>
      </w:r>
      <w:r>
        <w:t>decided,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described,</w:t>
      </w:r>
      <w:r>
        <w:rPr>
          <w:spacing w:val="-4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relative</w:t>
      </w:r>
      <w:r>
        <w:rPr>
          <w:spacing w:val="-4"/>
        </w:rPr>
        <w:t xml:space="preserve"> </w:t>
      </w:r>
      <w:r>
        <w:t>effect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corresponds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MID</w:t>
      </w:r>
      <w:r>
        <w:rPr>
          <w:spacing w:val="-5"/>
        </w:rPr>
        <w:t xml:space="preserve"> </w:t>
      </w:r>
      <w:r>
        <w:t>one</w:t>
      </w:r>
      <w:r>
        <w:rPr>
          <w:spacing w:val="-6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include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vertical</w:t>
      </w:r>
      <w:r>
        <w:rPr>
          <w:spacing w:val="-4"/>
        </w:rPr>
        <w:t xml:space="preserve"> </w:t>
      </w:r>
      <w:r>
        <w:t>line –</w:t>
      </w:r>
      <w:r>
        <w:rPr>
          <w:spacing w:val="-6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 Figure 2 - vividly illustrating the relative effect that corresponds to the absolute MID.</w:t>
      </w:r>
    </w:p>
    <w:sectPr w:rsidR="00563994">
      <w:type w:val="continuous"/>
      <w:pgSz w:w="12240" w:h="15840"/>
      <w:pgMar w:top="14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994"/>
    <w:rsid w:val="000311E0"/>
    <w:rsid w:val="00563994"/>
    <w:rsid w:val="00753A3D"/>
    <w:rsid w:val="00C322BF"/>
    <w:rsid w:val="00C81104"/>
    <w:rsid w:val="00C934B8"/>
    <w:rsid w:val="00DF2AC1"/>
    <w:rsid w:val="00F97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D67AA"/>
  <w15:docId w15:val="{9DB18DA1-1667-46D5-8F5C-E9CE6EAFB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39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245</Words>
  <Characters>1402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Guyatt, Gordon</dc:creator>
  <cp:lastModifiedBy>Guyatt, Gordon</cp:lastModifiedBy>
  <cp:revision>2</cp:revision>
  <dcterms:created xsi:type="dcterms:W3CDTF">2026-05-02T13:39:00Z</dcterms:created>
  <dcterms:modified xsi:type="dcterms:W3CDTF">2026-05-02T13:39:00Z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2026-02-22T00:00:00Z</vt:filetime>
  </property>
  <property fmtid="{D5CDD505-2E9C-101B-9397-08002B2CF9AE}" pid="5" name="Producer">
    <vt:lpwstr>Microsoft® Word for Microsoft 365</vt:lpwstr>
  </property>
</Properties>
</file>