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F2B648">
      <w:pPr>
        <w:rPr>
          <w:rFonts w:hint="default" w:ascii="Times New Roman" w:hAnsi="Times New Roman" w:eastAsia="Noto Sans SC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Noto Sans SC" w:cs="Times New Roman"/>
          <w:i w:val="0"/>
          <w:iCs w:val="0"/>
          <w:caps w:val="0"/>
          <w:color w:val="000000"/>
          <w:spacing w:val="0"/>
          <w:sz w:val="24"/>
          <w:szCs w:val="24"/>
        </w:rPr>
        <w:t>Table 1</w:t>
      </w:r>
    </w:p>
    <w:p w14:paraId="70811140">
      <w:pPr>
        <w:rPr>
          <w:rFonts w:hint="default" w:ascii="Times New Roman" w:hAnsi="Times New Roman" w:eastAsia="Noto Sans SC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Noto Sans SC" w:cs="Times New Roman"/>
          <w:i w:val="0"/>
          <w:iCs w:val="0"/>
          <w:caps w:val="0"/>
          <w:color w:val="000000"/>
          <w:spacing w:val="0"/>
          <w:sz w:val="24"/>
          <w:szCs w:val="24"/>
        </w:rPr>
        <w:t>Formulating the PICO question for using nirmatrelvir-ritonavir in patients with non-severe covid-19, including differences in both baseline risks and relative risks between patient groups. Adapted from World Health Organization</w:t>
      </w:r>
      <w:r>
        <w:rPr>
          <w:rFonts w:hint="default" w:ascii="Times New Roman" w:hAnsi="Times New Roman" w:eastAsia="Noto Sans SC" w:cs="Times New Roman"/>
          <w:i w:val="0"/>
          <w:iCs w:val="0"/>
          <w:caps w:val="0"/>
          <w:color w:val="000000"/>
          <w:spacing w:val="0"/>
          <w:sz w:val="24"/>
          <w:szCs w:val="24"/>
          <w:vertAlign w:val="superscript"/>
        </w:rPr>
        <w:t>14</w:t>
      </w:r>
    </w:p>
    <w:p w14:paraId="61C4CD5C">
      <w:pPr>
        <w:rPr>
          <w:rFonts w:hint="default" w:ascii="Times New Roman" w:hAnsi="Times New Roman" w:eastAsia="Noto Sans SC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bookmarkStart w:id="0" w:name="_GoBack"/>
      <w:bookmarkEnd w:id="0"/>
    </w:p>
    <w:tbl>
      <w:tblPr>
        <w:tblStyle w:val="3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06"/>
        <w:gridCol w:w="9768"/>
      </w:tblGrid>
      <w:tr w14:paraId="73CB00B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2"/>
            <w:tcBorders>
              <w:bottom w:val="single" w:color="auto" w:sz="4" w:space="0"/>
            </w:tcBorders>
          </w:tcPr>
          <w:p w14:paraId="54BD7C25">
            <w:pP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</w:rPr>
              <w:t>PICO and group specification</w:t>
            </w:r>
          </w:p>
        </w:tc>
      </w:tr>
      <w:tr w14:paraId="5017EA9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6" w:type="dxa"/>
            <w:tcBorders>
              <w:top w:val="single" w:color="auto" w:sz="4" w:space="0"/>
            </w:tcBorders>
          </w:tcPr>
          <w:p w14:paraId="04DF28E8">
            <w:pP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Population</w:t>
            </w:r>
          </w:p>
        </w:tc>
        <w:tc>
          <w:tcPr>
            <w:tcW w:w="9768" w:type="dxa"/>
            <w:tcBorders>
              <w:top w:val="single" w:color="auto" w:sz="4" w:space="0"/>
            </w:tcBorders>
          </w:tcPr>
          <w:p w14:paraId="7C4719F3">
            <w:pP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Patients with non-severe confirmed covid-19 (according to WHO severity definitions)</w:t>
            </w:r>
          </w:p>
        </w:tc>
      </w:tr>
      <w:tr w14:paraId="10FEFC5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6" w:type="dxa"/>
          </w:tcPr>
          <w:p w14:paraId="4EE83BA6">
            <w:pP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Intervention</w:t>
            </w:r>
          </w:p>
        </w:tc>
        <w:tc>
          <w:tcPr>
            <w:tcW w:w="9768" w:type="dxa"/>
          </w:tcPr>
          <w:p w14:paraId="726EF01F">
            <w:pP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Nirmatrelvir-ritonavir+standard care</w:t>
            </w:r>
          </w:p>
        </w:tc>
      </w:tr>
      <w:tr w14:paraId="3299230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6" w:type="dxa"/>
          </w:tcPr>
          <w:p w14:paraId="09DEDAD2">
            <w:pP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Comparison</w:t>
            </w:r>
          </w:p>
        </w:tc>
        <w:tc>
          <w:tcPr>
            <w:tcW w:w="9768" w:type="dxa"/>
          </w:tcPr>
          <w:p w14:paraId="2CEE8D31">
            <w:pP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Standard care</w:t>
            </w:r>
          </w:p>
        </w:tc>
      </w:tr>
      <w:tr w14:paraId="0C0DE62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6" w:type="dxa"/>
          </w:tcPr>
          <w:p w14:paraId="2B396F96">
            <w:pP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Outcome</w:t>
            </w:r>
          </w:p>
        </w:tc>
        <w:tc>
          <w:tcPr>
            <w:tcW w:w="9768" w:type="dxa"/>
          </w:tcPr>
          <w:p w14:paraId="36811B1E">
            <w:pP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</w:rPr>
              <w:t>Hospital admission, mortality, mechanical ventilation, adverse effects leading to drug discontinuation, time to symptom resolution</w:t>
            </w:r>
          </w:p>
        </w:tc>
      </w:tr>
      <w:tr w14:paraId="0160B47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6" w:type="dxa"/>
          </w:tcPr>
          <w:p w14:paraId="650B8FDC">
            <w:pP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Groups with possible varying baseline risk and thus different absolute effects (prognostic factors expected to lead to differences in baseline risk)</w:t>
            </w:r>
          </w:p>
        </w:tc>
        <w:tc>
          <w:tcPr>
            <w:tcW w:w="9768" w:type="dxa"/>
          </w:tcPr>
          <w:p w14:paraId="00293FCB">
            <w:pP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</w:rPr>
              <w:t>Likely determinants of baseline risk:</w:t>
            </w:r>
          </w:p>
          <w:p w14:paraId="7660A384">
            <w:pP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</w:rPr>
              <w:t>Larger baseline risk and therefore larger beneficial effects of the intervention in immunosuppressed patients or those with chronic disease</w:t>
            </w:r>
          </w:p>
          <w:p w14:paraId="35185F0B">
            <w:pP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</w:rPr>
              <w:t>Larger baseline risk in those with negative serology results</w:t>
            </w:r>
          </w:p>
          <w:p w14:paraId="0D5A2AB9">
            <w:pP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</w:rPr>
              <w:t>Larger baseline risk in unvaccinated people</w:t>
            </w:r>
          </w:p>
        </w:tc>
      </w:tr>
      <w:tr w14:paraId="4ABC794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6" w:type="dxa"/>
            <w:tcBorders>
              <w:bottom w:val="single" w:color="auto" w:sz="4" w:space="0"/>
            </w:tcBorders>
          </w:tcPr>
          <w:p w14:paraId="33B60A9C">
            <w:pP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Groups with possible varying relative risk (differences in effect in different patient groups)</w:t>
            </w:r>
          </w:p>
        </w:tc>
        <w:tc>
          <w:tcPr>
            <w:tcW w:w="9768" w:type="dxa"/>
            <w:tcBorders>
              <w:bottom w:val="single" w:color="auto" w:sz="4" w:space="0"/>
            </w:tcBorders>
          </w:tcPr>
          <w:p w14:paraId="420A6FA0">
            <w:pP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</w:rPr>
              <w:t>Candidate effect modifiers:</w:t>
            </w:r>
          </w:p>
          <w:p w14:paraId="593FF18D">
            <w:pP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</w:rPr>
              <w:t>Larger beneficial relative effects of the intervention in those with shorter time from symptom onset</w:t>
            </w:r>
          </w:p>
          <w:p w14:paraId="03103B89">
            <w:pP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</w:rPr>
              <w:t>Larger beneficial effects in those with negative serology results</w:t>
            </w:r>
          </w:p>
          <w:p w14:paraId="09242A39">
            <w:pP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</w:rPr>
              <w:t>Larger beneficial effects in unvaccinated people</w:t>
            </w:r>
          </w:p>
        </w:tc>
      </w:tr>
      <w:tr w14:paraId="45F61A8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2"/>
            <w:tcBorders>
              <w:top w:val="single" w:color="auto" w:sz="4" w:space="0"/>
              <w:bottom w:val="nil"/>
            </w:tcBorders>
          </w:tcPr>
          <w:p w14:paraId="33A86419">
            <w:pP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Noto Sans SC" w:cs="Times New Roman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PICO=population, intervention, comparison, and outcome.</w:t>
            </w:r>
          </w:p>
        </w:tc>
      </w:tr>
    </w:tbl>
    <w:p w14:paraId="264105CA">
      <w:pPr>
        <w:rPr>
          <w:rFonts w:hint="default" w:ascii="Times New Roman" w:hAnsi="Times New Roman" w:eastAsia="Noto Sans SC" w:cs="Times New Roman"/>
          <w:i w:val="0"/>
          <w:iCs w:val="0"/>
          <w:caps w:val="0"/>
          <w:color w:val="000000"/>
          <w:spacing w:val="0"/>
          <w:sz w:val="24"/>
          <w:szCs w:val="24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2C627D"/>
    <w:rsid w:val="28C654DC"/>
    <w:rsid w:val="4C2155DD"/>
    <w:rsid w:val="77CC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179</Words>
  <Characters>1224</Characters>
  <Lines>0</Lines>
  <Paragraphs>0</Paragraphs>
  <TotalTime>8</TotalTime>
  <ScaleCrop>false</ScaleCrop>
  <LinksUpToDate>false</LinksUpToDate>
  <CharactersWithSpaces>1381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2026-05-11T11:05:00Z</dcterms:created>
  <dc:creator>25422</dc:creator>
  <cp:lastModifiedBy>阿孔</cp:lastModifiedBy>
  <dcterms:modified xsi:type="dcterms:W3CDTF">2026-05-11T11:28:01Z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eyJoZGlkIjoiNmIyOGVmMWIxODdjMjZiOTdhOWRkZGIyNTcwZjZhOTciLCJ1c2VySWQiOiI2Nzc4NTU5ODgifQ==</vt:lpwstr>
  </property>
  <property fmtid="{D5CDD505-2E9C-101B-9397-08002B2CF9AE}" pid="4" name="ICV">
    <vt:lpwstr>035A86E800AF4FE9BD9A3FD311A7A2C4_12</vt:lpwstr>
  </property>
</Properties>
</file>