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CEE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Table 2</w:t>
      </w:r>
      <w:r>
        <w:rPr>
          <w:rFonts w:hint="default" w:ascii="Times New Roman" w:hAnsi="Times New Roman" w:cs="Times New Roman"/>
        </w:rPr>
        <w:t xml:space="preserve"> Summary of indirectness issues</w:t>
      </w:r>
    </w:p>
    <w:p w14:paraId="45728C97">
      <w:pPr>
        <w:rPr>
          <w:rFonts w:hint="default" w:ascii="Times New Roman" w:hAnsi="Times New Roman" w:cs="Times New Roma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638"/>
        <w:gridCol w:w="3409"/>
        <w:gridCol w:w="4397"/>
        <w:gridCol w:w="4730"/>
      </w:tblGrid>
      <w:tr w14:paraId="6C5D8AC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638" w:type="dxa"/>
            <w:tcBorders>
              <w:bottom w:val="single" w:color="auto" w:sz="4" w:space="0"/>
            </w:tcBorders>
          </w:tcPr>
          <w:p w14:paraId="680F9A0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PICO element</w:t>
            </w:r>
          </w:p>
        </w:tc>
        <w:tc>
          <w:tcPr>
            <w:tcW w:w="3409" w:type="dxa"/>
            <w:tcBorders>
              <w:bottom w:val="single" w:color="auto" w:sz="4" w:space="0"/>
            </w:tcBorders>
          </w:tcPr>
          <w:p w14:paraId="763D1C9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Reason for rating down</w:t>
            </w:r>
          </w:p>
        </w:tc>
        <w:tc>
          <w:tcPr>
            <w:tcW w:w="4397" w:type="dxa"/>
            <w:tcBorders>
              <w:bottom w:val="single" w:color="auto" w:sz="4" w:space="0"/>
            </w:tcBorders>
          </w:tcPr>
          <w:p w14:paraId="4F99505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Examples</w:t>
            </w:r>
          </w:p>
        </w:tc>
        <w:tc>
          <w:tcPr>
            <w:tcW w:w="4730" w:type="dxa"/>
            <w:tcBorders>
              <w:bottom w:val="single" w:color="auto" w:sz="4" w:space="0"/>
            </w:tcBorders>
          </w:tcPr>
          <w:p w14:paraId="12564F6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Likelihood of rating down</w:t>
            </w:r>
          </w:p>
        </w:tc>
      </w:tr>
      <w:tr w14:paraId="7EB52C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638" w:type="dxa"/>
            <w:tcBorders>
              <w:top w:val="single" w:color="auto" w:sz="4" w:space="0"/>
            </w:tcBorders>
          </w:tcPr>
          <w:p w14:paraId="654E44D5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Population</w:t>
            </w:r>
          </w:p>
        </w:tc>
        <w:tc>
          <w:tcPr>
            <w:tcW w:w="3409" w:type="dxa"/>
            <w:tcBorders>
              <w:top w:val="single" w:color="auto" w:sz="4" w:space="0"/>
            </w:tcBorders>
          </w:tcPr>
          <w:p w14:paraId="431C684D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Population differences may interact with magnitude of effect</w:t>
            </w:r>
          </w:p>
        </w:tc>
        <w:tc>
          <w:tcPr>
            <w:tcW w:w="4397" w:type="dxa"/>
            <w:tcBorders>
              <w:top w:val="single" w:color="auto" w:sz="4" w:space="0"/>
            </w:tcBorders>
          </w:tcPr>
          <w:p w14:paraId="7EDA053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Adult versus paediatric</w:t>
            </w:r>
          </w:p>
          <w:p w14:paraId="6654DF3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Changes in virus antigens</w:t>
            </w:r>
          </w:p>
          <w:p w14:paraId="6CE89C0A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Comorbidity (diabetes, renal disease)</w:t>
            </w:r>
          </w:p>
        </w:tc>
        <w:tc>
          <w:tcPr>
            <w:tcW w:w="4730" w:type="dxa"/>
            <w:tcBorders>
              <w:top w:val="single" w:color="auto" w:sz="4" w:space="0"/>
            </w:tcBorders>
          </w:tcPr>
          <w:p w14:paraId="06E2732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Low likelihood because relative effects are typically similar across populations</w:t>
            </w:r>
          </w:p>
        </w:tc>
      </w:tr>
      <w:tr w14:paraId="0FEA376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638" w:type="dxa"/>
          </w:tcPr>
          <w:p w14:paraId="1C4813AC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Intervention</w:t>
            </w:r>
          </w:p>
        </w:tc>
        <w:tc>
          <w:tcPr>
            <w:tcW w:w="3409" w:type="dxa"/>
          </w:tcPr>
          <w:p w14:paraId="700B693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Interventions often differ in dose, duration, or subclass</w:t>
            </w:r>
          </w:p>
        </w:tc>
        <w:tc>
          <w:tcPr>
            <w:tcW w:w="4397" w:type="dxa"/>
          </w:tcPr>
          <w:p w14:paraId="67E7387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Drugs within a class</w:t>
            </w:r>
          </w:p>
          <w:p w14:paraId="4679672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Dose of drug</w:t>
            </w:r>
          </w:p>
          <w:p w14:paraId="44AD51A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Non-adherence</w:t>
            </w:r>
          </w:p>
          <w:p w14:paraId="630E69A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Switching versus non-switching of treatments within a treatment strategy</w:t>
            </w:r>
          </w:p>
          <w:p w14:paraId="724B4E79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Advances in technology</w:t>
            </w:r>
          </w:p>
        </w:tc>
        <w:tc>
          <w:tcPr>
            <w:tcW w:w="4730" w:type="dxa"/>
          </w:tcPr>
          <w:p w14:paraId="2BAD32F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Intermediate likelihood depending on underlying biology and on magnitude of issues such as non-adherence and frequency of switching</w:t>
            </w:r>
          </w:p>
        </w:tc>
      </w:tr>
      <w:tr w14:paraId="068368E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638" w:type="dxa"/>
          </w:tcPr>
          <w:p w14:paraId="6E48DC22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Comparison</w:t>
            </w:r>
          </w:p>
        </w:tc>
        <w:tc>
          <w:tcPr>
            <w:tcW w:w="3409" w:type="dxa"/>
          </w:tcPr>
          <w:p w14:paraId="2FFD5CA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Different comparators may have different effects on target outcomes</w:t>
            </w:r>
          </w:p>
        </w:tc>
        <w:tc>
          <w:tcPr>
            <w:tcW w:w="4397" w:type="dxa"/>
          </w:tcPr>
          <w:p w14:paraId="5C27CC5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Use of placebos versus unblinded standard treatment or alternative intervention</w:t>
            </w:r>
          </w:p>
          <w:p w14:paraId="22483EF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Inferior older alternatives in trials of new drug</w:t>
            </w:r>
          </w:p>
          <w:p w14:paraId="08D2E240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Suboptimal doses of comparators</w:t>
            </w:r>
          </w:p>
        </w:tc>
        <w:tc>
          <w:tcPr>
            <w:tcW w:w="4730" w:type="dxa"/>
          </w:tcPr>
          <w:p w14:paraId="2BD74DDB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Substantial likelihood in trials of new agents when an effective treatment already exists, particularly more than one effective treatment</w:t>
            </w:r>
          </w:p>
        </w:tc>
      </w:tr>
      <w:tr w14:paraId="475777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638" w:type="dxa"/>
          </w:tcPr>
          <w:p w14:paraId="5F1307D5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Outcome</w:t>
            </w:r>
          </w:p>
        </w:tc>
        <w:tc>
          <w:tcPr>
            <w:tcW w:w="3409" w:type="dxa"/>
          </w:tcPr>
          <w:p w14:paraId="271DD587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Impact on surrogates often fails to translate into improvement in patient important outcomes</w:t>
            </w:r>
          </w:p>
        </w:tc>
        <w:tc>
          <w:tcPr>
            <w:tcW w:w="4397" w:type="dxa"/>
          </w:tcPr>
          <w:p w14:paraId="3AAC0F8E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Cardiac function versus mortality in heart failure</w:t>
            </w:r>
          </w:p>
          <w:p w14:paraId="06A5D6C5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Bone density versus fractures in osteoporosis</w:t>
            </w:r>
          </w:p>
          <w:p w14:paraId="46DF431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Test performance versus function in dementia</w:t>
            </w:r>
          </w:p>
          <w:p w14:paraId="561F87A1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Blood glucose verus microvascular and macrovascular morbidity and mortality in diabetes</w:t>
            </w:r>
          </w:p>
        </w:tc>
        <w:tc>
          <w:tcPr>
            <w:tcW w:w="4730" w:type="dxa"/>
          </w:tcPr>
          <w:p w14:paraId="669BB963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High likelihood because of frequent disappointing results in randomised controlled trials examining examining patient important outcomes</w:t>
            </w:r>
          </w:p>
        </w:tc>
      </w:tr>
    </w:tbl>
    <w:p w14:paraId="368A4883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26A32"/>
    <w:rsid w:val="69B8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2026-05-11T13:24:08Z</dcterms:created>
  <dc:creator>25422</dc:creator>
  <cp:lastModifiedBy>阿孔</cp:lastModifiedBy>
  <dcterms:modified xsi:type="dcterms:W3CDTF">2026-05-11T13:29:45Z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eyJoZGlkIjoiNmIyOGVmMWIxODdjMjZiOTdhOWRkZGIyNTcwZjZhOTciLCJ1c2VySWQiOiI2Nzc4NTU5ODgifQ==</vt:lpwstr>
  </property>
  <property fmtid="{D5CDD505-2E9C-101B-9397-08002B2CF9AE}" pid="4" name="ICV">
    <vt:lpwstr>75CDC123B3544CF881184B6209F083CA_12</vt:lpwstr>
  </property>
</Properties>
</file>