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85B47">
      <w:pPr>
        <w:rPr>
          <w:rFonts w:hint="default" w:ascii="Times New Roman" w:hAnsi="Times New Roman" w:cs="Times New Roman"/>
          <w:sz w:val="15"/>
          <w:szCs w:val="15"/>
        </w:rPr>
      </w:pPr>
      <w:r>
        <w:rPr>
          <w:rFonts w:hint="default" w:ascii="Times New Roman" w:hAnsi="Times New Roman" w:cs="Times New Roman"/>
          <w:b/>
          <w:bCs/>
          <w:sz w:val="15"/>
          <w:szCs w:val="15"/>
        </w:rPr>
        <w:t>Table 1</w:t>
      </w:r>
      <w:r>
        <w:rPr>
          <w:rFonts w:hint="default" w:ascii="Times New Roman" w:hAnsi="Times New Roman" w:cs="Times New Roman"/>
          <w:sz w:val="15"/>
          <w:szCs w:val="15"/>
        </w:rPr>
        <w:t xml:space="preserve"> Summary of findings table comparing effects of intensive versus less intensive antileukaemic treatment in older adults with acute myeloid leukaemia. Adapted from Sekeres et al</w:t>
      </w:r>
      <w:r>
        <w:rPr>
          <w:rFonts w:hint="default" w:ascii="Times New Roman" w:hAnsi="Times New Roman" w:cs="Times New Roman"/>
          <w:sz w:val="15"/>
          <w:szCs w:val="15"/>
          <w:vertAlign w:val="superscript"/>
        </w:rPr>
        <w:t>6</w:t>
      </w:r>
    </w:p>
    <w:tbl>
      <w:tblPr>
        <w:tblStyle w:val="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1"/>
        <w:gridCol w:w="1771"/>
        <w:gridCol w:w="1772"/>
        <w:gridCol w:w="1772"/>
        <w:gridCol w:w="1772"/>
        <w:gridCol w:w="1772"/>
        <w:gridCol w:w="1772"/>
        <w:gridCol w:w="1772"/>
      </w:tblGrid>
      <w:tr w14:paraId="6E9BF4B8">
        <w:tc>
          <w:tcPr>
            <w:tcW w:w="1771" w:type="dxa"/>
            <w:vMerge w:val="restart"/>
            <w:tcBorders>
              <w:bottom w:val="single" w:color="auto" w:sz="4" w:space="0"/>
            </w:tcBorders>
          </w:tcPr>
          <w:p w14:paraId="2B2BB456">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Outcome and follow-up</w:t>
            </w:r>
          </w:p>
        </w:tc>
        <w:tc>
          <w:tcPr>
            <w:tcW w:w="1771" w:type="dxa"/>
            <w:vMerge w:val="restart"/>
            <w:tcBorders>
              <w:bottom w:val="single" w:color="auto" w:sz="4" w:space="0"/>
            </w:tcBorders>
          </w:tcPr>
          <w:p w14:paraId="0ED5DD2F">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No of participants (No of studies and type)</w:t>
            </w:r>
          </w:p>
        </w:tc>
        <w:tc>
          <w:tcPr>
            <w:tcW w:w="1772" w:type="dxa"/>
            <w:vMerge w:val="restart"/>
            <w:tcBorders>
              <w:bottom w:val="single" w:color="auto" w:sz="4" w:space="0"/>
            </w:tcBorders>
          </w:tcPr>
          <w:p w14:paraId="45D716E9">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Relative effect (95% CI)</w:t>
            </w:r>
          </w:p>
        </w:tc>
        <w:tc>
          <w:tcPr>
            <w:tcW w:w="5316" w:type="dxa"/>
            <w:gridSpan w:val="3"/>
            <w:tcBorders>
              <w:bottom w:val="single" w:color="auto" w:sz="4" w:space="0"/>
            </w:tcBorders>
          </w:tcPr>
          <w:p w14:paraId="31F9950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Absolute effects (95% CI)</w:t>
            </w:r>
          </w:p>
        </w:tc>
        <w:tc>
          <w:tcPr>
            <w:tcW w:w="1772" w:type="dxa"/>
            <w:vMerge w:val="restart"/>
            <w:tcBorders>
              <w:bottom w:val="single" w:color="auto" w:sz="4" w:space="0"/>
            </w:tcBorders>
          </w:tcPr>
          <w:p w14:paraId="051579D1">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Certainty of evidence (quality of evidence)</w:t>
            </w:r>
          </w:p>
        </w:tc>
        <w:tc>
          <w:tcPr>
            <w:tcW w:w="1772" w:type="dxa"/>
            <w:vMerge w:val="restart"/>
            <w:tcBorders>
              <w:bottom w:val="single" w:color="auto" w:sz="4" w:space="0"/>
            </w:tcBorders>
          </w:tcPr>
          <w:p w14:paraId="62F59FA6">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Plain language summary</w:t>
            </w:r>
          </w:p>
        </w:tc>
      </w:tr>
      <w:tr w14:paraId="3C4E0C10">
        <w:tc>
          <w:tcPr>
            <w:tcW w:w="1771" w:type="dxa"/>
            <w:vMerge w:val="continue"/>
            <w:tcBorders>
              <w:top w:val="single" w:color="auto" w:sz="4" w:space="0"/>
              <w:bottom w:val="single" w:color="auto" w:sz="4" w:space="0"/>
            </w:tcBorders>
          </w:tcPr>
          <w:p w14:paraId="38422614">
            <w:pPr>
              <w:rPr>
                <w:rFonts w:hint="default" w:ascii="Times New Roman" w:hAnsi="Times New Roman" w:cs="Times New Roman"/>
                <w:sz w:val="15"/>
                <w:szCs w:val="15"/>
                <w:vertAlign w:val="baseline"/>
              </w:rPr>
            </w:pPr>
          </w:p>
        </w:tc>
        <w:tc>
          <w:tcPr>
            <w:tcW w:w="1771" w:type="dxa"/>
            <w:vMerge w:val="continue"/>
            <w:tcBorders>
              <w:top w:val="single" w:color="auto" w:sz="4" w:space="0"/>
              <w:bottom w:val="single" w:color="auto" w:sz="4" w:space="0"/>
            </w:tcBorders>
          </w:tcPr>
          <w:p w14:paraId="60A78B25">
            <w:pPr>
              <w:rPr>
                <w:rFonts w:hint="default" w:ascii="Times New Roman" w:hAnsi="Times New Roman" w:cs="Times New Roman"/>
                <w:sz w:val="15"/>
                <w:szCs w:val="15"/>
                <w:vertAlign w:val="baseline"/>
              </w:rPr>
            </w:pPr>
          </w:p>
        </w:tc>
        <w:tc>
          <w:tcPr>
            <w:tcW w:w="1772" w:type="dxa"/>
            <w:vMerge w:val="continue"/>
            <w:tcBorders>
              <w:top w:val="single" w:color="auto" w:sz="4" w:space="0"/>
              <w:bottom w:val="single" w:color="auto" w:sz="4" w:space="0"/>
            </w:tcBorders>
          </w:tcPr>
          <w:p w14:paraId="2321BB3C">
            <w:pPr>
              <w:rPr>
                <w:rFonts w:hint="default" w:ascii="Times New Roman" w:hAnsi="Times New Roman" w:cs="Times New Roman"/>
                <w:sz w:val="15"/>
                <w:szCs w:val="15"/>
                <w:vertAlign w:val="baseline"/>
              </w:rPr>
            </w:pPr>
          </w:p>
        </w:tc>
        <w:tc>
          <w:tcPr>
            <w:tcW w:w="1772" w:type="dxa"/>
            <w:tcBorders>
              <w:top w:val="single" w:color="auto" w:sz="4" w:space="0"/>
              <w:bottom w:val="single" w:color="auto" w:sz="4" w:space="0"/>
            </w:tcBorders>
          </w:tcPr>
          <w:p w14:paraId="77CB18E4">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Less intensive antileukaemic treatment</w:t>
            </w:r>
          </w:p>
        </w:tc>
        <w:tc>
          <w:tcPr>
            <w:tcW w:w="1772" w:type="dxa"/>
            <w:tcBorders>
              <w:top w:val="single" w:color="auto" w:sz="4" w:space="0"/>
              <w:bottom w:val="single" w:color="auto" w:sz="4" w:space="0"/>
            </w:tcBorders>
          </w:tcPr>
          <w:p w14:paraId="79D76A3C">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Intensive antileukaemic treatment</w:t>
            </w:r>
          </w:p>
        </w:tc>
        <w:tc>
          <w:tcPr>
            <w:tcW w:w="1772" w:type="dxa"/>
            <w:tcBorders>
              <w:top w:val="single" w:color="auto" w:sz="4" w:space="0"/>
              <w:bottom w:val="single" w:color="auto" w:sz="4" w:space="0"/>
            </w:tcBorders>
          </w:tcPr>
          <w:p w14:paraId="430EF09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Difference</w:t>
            </w:r>
          </w:p>
        </w:tc>
        <w:tc>
          <w:tcPr>
            <w:tcW w:w="1772" w:type="dxa"/>
            <w:vMerge w:val="continue"/>
            <w:tcBorders>
              <w:top w:val="single" w:color="auto" w:sz="4" w:space="0"/>
              <w:bottom w:val="single" w:color="auto" w:sz="4" w:space="0"/>
            </w:tcBorders>
          </w:tcPr>
          <w:p w14:paraId="2290C67B">
            <w:pPr>
              <w:rPr>
                <w:rFonts w:hint="default" w:ascii="Times New Roman" w:hAnsi="Times New Roman" w:cs="Times New Roman"/>
                <w:sz w:val="15"/>
                <w:szCs w:val="15"/>
                <w:vertAlign w:val="baseline"/>
              </w:rPr>
            </w:pPr>
          </w:p>
        </w:tc>
        <w:tc>
          <w:tcPr>
            <w:tcW w:w="1772" w:type="dxa"/>
            <w:vMerge w:val="continue"/>
            <w:tcBorders>
              <w:top w:val="single" w:color="auto" w:sz="4" w:space="0"/>
              <w:bottom w:val="single" w:color="auto" w:sz="4" w:space="0"/>
            </w:tcBorders>
          </w:tcPr>
          <w:p w14:paraId="6BF533C8">
            <w:pPr>
              <w:rPr>
                <w:rFonts w:hint="default" w:ascii="Times New Roman" w:hAnsi="Times New Roman" w:cs="Times New Roman"/>
                <w:sz w:val="15"/>
                <w:szCs w:val="15"/>
                <w:vertAlign w:val="baseline"/>
              </w:rPr>
            </w:pPr>
          </w:p>
        </w:tc>
      </w:tr>
      <w:tr w14:paraId="5C7A1F75">
        <w:tc>
          <w:tcPr>
            <w:tcW w:w="1771" w:type="dxa"/>
            <w:vMerge w:val="restart"/>
            <w:tcBorders>
              <w:top w:val="single" w:color="auto" w:sz="4" w:space="0"/>
              <w:bottom w:val="nil"/>
            </w:tcBorders>
          </w:tcPr>
          <w:p w14:paraId="6E65273C">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Mortality</w:t>
            </w:r>
          </w:p>
          <w:p w14:paraId="37B23A89">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Risk of death</w:t>
            </w:r>
          </w:p>
          <w:p w14:paraId="59F23AA1">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Follow-up: longest, range 7.7-60 months</w:t>
            </w:r>
          </w:p>
        </w:tc>
        <w:tc>
          <w:tcPr>
            <w:tcW w:w="1771" w:type="dxa"/>
            <w:vMerge w:val="restart"/>
            <w:tcBorders>
              <w:top w:val="single" w:color="auto" w:sz="4" w:space="0"/>
              <w:bottom w:val="nil"/>
            </w:tcBorders>
          </w:tcPr>
          <w:p w14:paraId="17200B51">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1821 (11 non-randomised studies)</w:t>
            </w:r>
          </w:p>
        </w:tc>
        <w:tc>
          <w:tcPr>
            <w:tcW w:w="1772" w:type="dxa"/>
            <w:vMerge w:val="restart"/>
            <w:tcBorders>
              <w:top w:val="single" w:color="auto" w:sz="4" w:space="0"/>
              <w:bottom w:val="nil"/>
            </w:tcBorders>
          </w:tcPr>
          <w:p w14:paraId="41310986">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Hazard ratio 0.78 (0.69 to 0.89)</w:t>
            </w:r>
          </w:p>
        </w:tc>
        <w:tc>
          <w:tcPr>
            <w:tcW w:w="5316" w:type="dxa"/>
            <w:gridSpan w:val="3"/>
            <w:tcBorders>
              <w:top w:val="single" w:color="auto" w:sz="4" w:space="0"/>
            </w:tcBorders>
          </w:tcPr>
          <w:p w14:paraId="4CEEC7EC">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One year risk of dying</w:t>
            </w:r>
          </w:p>
        </w:tc>
        <w:tc>
          <w:tcPr>
            <w:tcW w:w="1772" w:type="dxa"/>
            <w:vMerge w:val="restart"/>
            <w:tcBorders>
              <w:top w:val="single" w:color="auto" w:sz="4" w:space="0"/>
            </w:tcBorders>
          </w:tcPr>
          <w:p w14:paraId="1B54BA0B">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Low†</w:t>
            </w:r>
          </w:p>
          <w:p w14:paraId="0ECE92D2">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Due to non-randomised studies</w:t>
            </w:r>
          </w:p>
        </w:tc>
        <w:tc>
          <w:tcPr>
            <w:tcW w:w="1772" w:type="dxa"/>
            <w:vMerge w:val="restart"/>
            <w:tcBorders>
              <w:top w:val="single" w:color="auto" w:sz="4" w:space="0"/>
            </w:tcBorders>
          </w:tcPr>
          <w:p w14:paraId="11B25BE2">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Intensive antileukaemic treatment may decrease mortality</w:t>
            </w:r>
          </w:p>
        </w:tc>
      </w:tr>
      <w:tr w14:paraId="7BBCBDFE">
        <w:tc>
          <w:tcPr>
            <w:tcW w:w="1771" w:type="dxa"/>
            <w:vMerge w:val="continue"/>
            <w:tcBorders>
              <w:top w:val="nil"/>
              <w:bottom w:val="nil"/>
            </w:tcBorders>
          </w:tcPr>
          <w:p w14:paraId="57C4804D">
            <w:pPr>
              <w:rPr>
                <w:rFonts w:hint="default" w:ascii="Times New Roman" w:hAnsi="Times New Roman" w:cs="Times New Roman"/>
                <w:sz w:val="15"/>
                <w:szCs w:val="15"/>
                <w:vertAlign w:val="baseline"/>
              </w:rPr>
            </w:pPr>
          </w:p>
        </w:tc>
        <w:tc>
          <w:tcPr>
            <w:tcW w:w="1771" w:type="dxa"/>
            <w:vMerge w:val="continue"/>
            <w:tcBorders>
              <w:top w:val="nil"/>
              <w:bottom w:val="nil"/>
            </w:tcBorders>
          </w:tcPr>
          <w:p w14:paraId="3E3BB3A1">
            <w:pPr>
              <w:rPr>
                <w:rFonts w:hint="default" w:ascii="Times New Roman" w:hAnsi="Times New Roman" w:cs="Times New Roman"/>
                <w:sz w:val="15"/>
                <w:szCs w:val="15"/>
                <w:vertAlign w:val="baseline"/>
              </w:rPr>
            </w:pPr>
          </w:p>
        </w:tc>
        <w:tc>
          <w:tcPr>
            <w:tcW w:w="1772" w:type="dxa"/>
            <w:vMerge w:val="continue"/>
            <w:tcBorders>
              <w:top w:val="nil"/>
              <w:bottom w:val="nil"/>
            </w:tcBorders>
          </w:tcPr>
          <w:p w14:paraId="727A4107">
            <w:pPr>
              <w:rPr>
                <w:rFonts w:hint="default" w:ascii="Times New Roman" w:hAnsi="Times New Roman" w:cs="Times New Roman"/>
                <w:sz w:val="15"/>
                <w:szCs w:val="15"/>
                <w:vertAlign w:val="baseline"/>
              </w:rPr>
            </w:pPr>
          </w:p>
        </w:tc>
        <w:tc>
          <w:tcPr>
            <w:tcW w:w="1772" w:type="dxa"/>
          </w:tcPr>
          <w:p w14:paraId="3B364EA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578 per 1000*</w:t>
            </w:r>
          </w:p>
        </w:tc>
        <w:tc>
          <w:tcPr>
            <w:tcW w:w="1772" w:type="dxa"/>
          </w:tcPr>
          <w:p w14:paraId="7F1FBBF7">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490 per 1000</w:t>
            </w:r>
          </w:p>
        </w:tc>
        <w:tc>
          <w:tcPr>
            <w:tcW w:w="1772" w:type="dxa"/>
          </w:tcPr>
          <w:p w14:paraId="5FFFD0A4">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88 fewer per 1000 (129 fewer to 42 fewer)</w:t>
            </w:r>
          </w:p>
        </w:tc>
        <w:tc>
          <w:tcPr>
            <w:tcW w:w="1772" w:type="dxa"/>
            <w:vMerge w:val="continue"/>
          </w:tcPr>
          <w:p w14:paraId="2215B751">
            <w:pPr>
              <w:rPr>
                <w:rFonts w:hint="default" w:ascii="Times New Roman" w:hAnsi="Times New Roman" w:cs="Times New Roman"/>
                <w:sz w:val="15"/>
                <w:szCs w:val="15"/>
                <w:vertAlign w:val="baseline"/>
              </w:rPr>
            </w:pPr>
          </w:p>
        </w:tc>
        <w:tc>
          <w:tcPr>
            <w:tcW w:w="1772" w:type="dxa"/>
            <w:vMerge w:val="continue"/>
          </w:tcPr>
          <w:p w14:paraId="00BCA8B8">
            <w:pPr>
              <w:rPr>
                <w:rFonts w:hint="default" w:ascii="Times New Roman" w:hAnsi="Times New Roman" w:cs="Times New Roman"/>
                <w:sz w:val="15"/>
                <w:szCs w:val="15"/>
                <w:vertAlign w:val="baseline"/>
              </w:rPr>
            </w:pPr>
          </w:p>
        </w:tc>
      </w:tr>
      <w:tr w14:paraId="64DF592A">
        <w:tc>
          <w:tcPr>
            <w:tcW w:w="1771" w:type="dxa"/>
            <w:tcBorders>
              <w:top w:val="nil"/>
            </w:tcBorders>
          </w:tcPr>
          <w:p w14:paraId="04D4B3F9">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Mortality</w:t>
            </w:r>
          </w:p>
          <w:p w14:paraId="5C1C00A1">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Proportion of people who died</w:t>
            </w:r>
          </w:p>
          <w:p w14:paraId="4D5B76D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Follow-up: one year</w:t>
            </w:r>
          </w:p>
        </w:tc>
        <w:tc>
          <w:tcPr>
            <w:tcW w:w="1771" w:type="dxa"/>
            <w:tcBorders>
              <w:top w:val="nil"/>
            </w:tcBorders>
          </w:tcPr>
          <w:p w14:paraId="43A4E3B3">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87 (one randomised controlled trial)</w:t>
            </w:r>
          </w:p>
        </w:tc>
        <w:tc>
          <w:tcPr>
            <w:tcW w:w="1772" w:type="dxa"/>
            <w:tcBorders>
              <w:top w:val="nil"/>
            </w:tcBorders>
          </w:tcPr>
          <w:p w14:paraId="264348FE">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Risk ratio 0.83 (0.61 to 1.13)</w:t>
            </w:r>
          </w:p>
        </w:tc>
        <w:tc>
          <w:tcPr>
            <w:tcW w:w="1772" w:type="dxa"/>
          </w:tcPr>
          <w:p w14:paraId="5A831E60">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558 per 1000</w:t>
            </w:r>
          </w:p>
        </w:tc>
        <w:tc>
          <w:tcPr>
            <w:tcW w:w="1772" w:type="dxa"/>
          </w:tcPr>
          <w:p w14:paraId="67397F73">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463 per 1000</w:t>
            </w:r>
          </w:p>
        </w:tc>
        <w:tc>
          <w:tcPr>
            <w:tcW w:w="1772" w:type="dxa"/>
          </w:tcPr>
          <w:p w14:paraId="496F1CE3">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95 fewer per 1000 (218 fewer to 73 more)</w:t>
            </w:r>
          </w:p>
        </w:tc>
        <w:tc>
          <w:tcPr>
            <w:tcW w:w="1772" w:type="dxa"/>
          </w:tcPr>
          <w:p w14:paraId="4D3C00BE">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Low</w:t>
            </w:r>
          </w:p>
          <w:p w14:paraId="4081D8D3">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Due to very serious imprecision‡</w:t>
            </w:r>
          </w:p>
        </w:tc>
        <w:tc>
          <w:tcPr>
            <w:tcW w:w="1772" w:type="dxa"/>
          </w:tcPr>
          <w:p w14:paraId="7D40DF7C">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Intensive antileukaemic treatment may decrease mortality</w:t>
            </w:r>
          </w:p>
        </w:tc>
      </w:tr>
      <w:tr w14:paraId="69A9FAC0">
        <w:tc>
          <w:tcPr>
            <w:tcW w:w="1771" w:type="dxa"/>
          </w:tcPr>
          <w:p w14:paraId="7E497914">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Complete remission duration in months (or time to relapse)</w:t>
            </w:r>
          </w:p>
          <w:p w14:paraId="2D008692">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Follow-up: longest, range 13.3-60 months</w:t>
            </w:r>
          </w:p>
        </w:tc>
        <w:tc>
          <w:tcPr>
            <w:tcW w:w="1771" w:type="dxa"/>
          </w:tcPr>
          <w:p w14:paraId="52057B3A">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593 (four non-randomised studies)</w:t>
            </w:r>
          </w:p>
        </w:tc>
        <w:tc>
          <w:tcPr>
            <w:tcW w:w="7088" w:type="dxa"/>
            <w:gridSpan w:val="4"/>
          </w:tcPr>
          <w:p w14:paraId="658BAAF5">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Four studies reported this outcome. three of the four reported a shorter remission with intensive treatment. The difference in duration ranged from 3.1 months shorter to 0.03 months longer when patients received more intensive versus less intensive treatment</w:t>
            </w:r>
          </w:p>
        </w:tc>
        <w:tc>
          <w:tcPr>
            <w:tcW w:w="1772" w:type="dxa"/>
          </w:tcPr>
          <w:p w14:paraId="5B1439B9">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Very low</w:t>
            </w:r>
          </w:p>
          <w:p w14:paraId="260E381A">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Due to serious imprecision†§</w:t>
            </w:r>
          </w:p>
        </w:tc>
        <w:tc>
          <w:tcPr>
            <w:tcW w:w="1772" w:type="dxa"/>
          </w:tcPr>
          <w:p w14:paraId="248995EA">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We are very uncertain about the effect of intensive antileukaemic treatment on complete remission</w:t>
            </w:r>
          </w:p>
        </w:tc>
      </w:tr>
      <w:tr w14:paraId="69425E31">
        <w:tc>
          <w:tcPr>
            <w:tcW w:w="1771" w:type="dxa"/>
          </w:tcPr>
          <w:p w14:paraId="4D629B3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Serious adverse events</w:t>
            </w:r>
          </w:p>
          <w:p w14:paraId="2C91F9A3">
            <w:pPr>
              <w:ind w:firstLine="402" w:firstLineChars="0"/>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Proportion of people who had treatment emergent adverse events</w:t>
            </w:r>
          </w:p>
          <w:p w14:paraId="5E1D47E5">
            <w:pPr>
              <w:ind w:firstLine="402" w:firstLineChars="0"/>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Follow-up: longest, median 5 years</w:t>
            </w:r>
          </w:p>
        </w:tc>
        <w:tc>
          <w:tcPr>
            <w:tcW w:w="1771" w:type="dxa"/>
          </w:tcPr>
          <w:p w14:paraId="79543955">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190 (one non-randomised study)</w:t>
            </w:r>
          </w:p>
        </w:tc>
        <w:tc>
          <w:tcPr>
            <w:tcW w:w="1772" w:type="dxa"/>
          </w:tcPr>
          <w:p w14:paraId="6D9B121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Risk ratio 1.34 (1.03 to 1.75)</w:t>
            </w:r>
          </w:p>
        </w:tc>
        <w:tc>
          <w:tcPr>
            <w:tcW w:w="1772" w:type="dxa"/>
          </w:tcPr>
          <w:p w14:paraId="2CD8AB5B">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463 per 1000</w:t>
            </w:r>
          </w:p>
        </w:tc>
        <w:tc>
          <w:tcPr>
            <w:tcW w:w="1772" w:type="dxa"/>
          </w:tcPr>
          <w:p w14:paraId="518DCC6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621 per 1000</w:t>
            </w:r>
          </w:p>
        </w:tc>
        <w:tc>
          <w:tcPr>
            <w:tcW w:w="1772" w:type="dxa"/>
          </w:tcPr>
          <w:p w14:paraId="5A99E358">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157 more per 1000 (14 more to 347 more)</w:t>
            </w:r>
          </w:p>
        </w:tc>
        <w:tc>
          <w:tcPr>
            <w:tcW w:w="1772" w:type="dxa"/>
          </w:tcPr>
          <w:p w14:paraId="3864FEB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Very low</w:t>
            </w:r>
          </w:p>
          <w:p w14:paraId="4AAAE717">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Due to serious risk of bias and imprecision†¶**</w:t>
            </w:r>
          </w:p>
        </w:tc>
        <w:tc>
          <w:tcPr>
            <w:tcW w:w="1772" w:type="dxa"/>
          </w:tcPr>
          <w:p w14:paraId="5A2CDA82">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We are very uncertain about the effect of intensive antileukaemic treatment on serious adverse events</w:t>
            </w:r>
          </w:p>
        </w:tc>
      </w:tr>
      <w:tr w14:paraId="69C534A5">
        <w:tc>
          <w:tcPr>
            <w:tcW w:w="1771" w:type="dxa"/>
          </w:tcPr>
          <w:p w14:paraId="6A35442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Duration of hospital stay</w:t>
            </w:r>
          </w:p>
          <w:p w14:paraId="028910B6">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Follow-up: longest, range 20-60 months</w:t>
            </w:r>
          </w:p>
        </w:tc>
        <w:tc>
          <w:tcPr>
            <w:tcW w:w="1771" w:type="dxa"/>
          </w:tcPr>
          <w:p w14:paraId="1F420C04">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370 (three non-randomised studies)</w:t>
            </w:r>
          </w:p>
        </w:tc>
        <w:tc>
          <w:tcPr>
            <w:tcW w:w="1772" w:type="dxa"/>
          </w:tcPr>
          <w:p w14:paraId="5F3751F0">
            <w:pPr>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t>
            </w:r>
          </w:p>
        </w:tc>
        <w:tc>
          <w:tcPr>
            <w:tcW w:w="1772" w:type="dxa"/>
          </w:tcPr>
          <w:p w14:paraId="7875E86A">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24.36 days</w:t>
            </w:r>
          </w:p>
        </w:tc>
        <w:tc>
          <w:tcPr>
            <w:tcW w:w="1772" w:type="dxa"/>
          </w:tcPr>
          <w:p w14:paraId="7E383CFA">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37.32 days</w:t>
            </w:r>
          </w:p>
        </w:tc>
        <w:tc>
          <w:tcPr>
            <w:tcW w:w="1772" w:type="dxa"/>
          </w:tcPr>
          <w:p w14:paraId="3090A43B">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12.96 more days (16.23 fewer to 42.15 more)</w:t>
            </w:r>
          </w:p>
        </w:tc>
        <w:tc>
          <w:tcPr>
            <w:tcW w:w="1772" w:type="dxa"/>
          </w:tcPr>
          <w:p w14:paraId="6A4F718D">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Very low</w:t>
            </w:r>
          </w:p>
          <w:p w14:paraId="7B9B4FA8">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Due to very serious inconsistency and very serious imprecision† †† ‡‡</w:t>
            </w:r>
          </w:p>
        </w:tc>
        <w:tc>
          <w:tcPr>
            <w:tcW w:w="1772" w:type="dxa"/>
          </w:tcPr>
          <w:p w14:paraId="788D86DE">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We are very uncertain about the effect of intensive antileukaemic treatment on duration of hospital stay</w:t>
            </w:r>
          </w:p>
        </w:tc>
      </w:tr>
      <w:tr w14:paraId="7AEE64E7">
        <w:tc>
          <w:tcPr>
            <w:tcW w:w="1771" w:type="dxa"/>
          </w:tcPr>
          <w:p w14:paraId="5266F7EE">
            <w:pP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Quality of life impairment—not reported</w:t>
            </w:r>
          </w:p>
        </w:tc>
        <w:tc>
          <w:tcPr>
            <w:tcW w:w="1771" w:type="dxa"/>
          </w:tcPr>
          <w:p w14:paraId="000056DD">
            <w:pPr>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t>
            </w:r>
          </w:p>
        </w:tc>
        <w:tc>
          <w:tcPr>
            <w:tcW w:w="1772" w:type="dxa"/>
          </w:tcPr>
          <w:p w14:paraId="0EA8950F">
            <w:pPr>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t>
            </w:r>
          </w:p>
        </w:tc>
        <w:tc>
          <w:tcPr>
            <w:tcW w:w="1772" w:type="dxa"/>
          </w:tcPr>
          <w:p w14:paraId="45A59FF8">
            <w:pPr>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t>
            </w:r>
          </w:p>
        </w:tc>
        <w:tc>
          <w:tcPr>
            <w:tcW w:w="1772" w:type="dxa"/>
          </w:tcPr>
          <w:p w14:paraId="5A6DAA37">
            <w:pPr>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t>
            </w:r>
          </w:p>
        </w:tc>
        <w:tc>
          <w:tcPr>
            <w:tcW w:w="1772" w:type="dxa"/>
          </w:tcPr>
          <w:p w14:paraId="399A27F2">
            <w:pPr>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t>
            </w:r>
          </w:p>
        </w:tc>
        <w:tc>
          <w:tcPr>
            <w:tcW w:w="1772" w:type="dxa"/>
          </w:tcPr>
          <w:p w14:paraId="52CBBC58">
            <w:pPr>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t>
            </w:r>
          </w:p>
        </w:tc>
        <w:tc>
          <w:tcPr>
            <w:tcW w:w="1772" w:type="dxa"/>
          </w:tcPr>
          <w:p w14:paraId="6AD1D4B8">
            <w:pPr>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rPr>
              <w:t>–</w:t>
            </w:r>
          </w:p>
        </w:tc>
      </w:tr>
    </w:tbl>
    <w:p w14:paraId="162AE52C">
      <w:pPr>
        <w:rPr>
          <w:rFonts w:hint="default" w:ascii="Times New Roman" w:hAnsi="Times New Roman" w:cs="Times New Roman"/>
          <w:sz w:val="15"/>
          <w:szCs w:val="15"/>
        </w:rPr>
      </w:pPr>
    </w:p>
    <w:p w14:paraId="580FA3DB">
      <w:pPr>
        <w:rPr>
          <w:rFonts w:hint="default" w:ascii="Times New Roman" w:hAnsi="Times New Roman" w:cs="Times New Roman"/>
          <w:sz w:val="15"/>
          <w:szCs w:val="15"/>
        </w:rPr>
      </w:pPr>
      <w:r>
        <w:rPr>
          <w:rFonts w:hint="default" w:ascii="Times New Roman" w:hAnsi="Times New Roman" w:cs="Times New Roman"/>
          <w:sz w:val="15"/>
          <w:szCs w:val="15"/>
        </w:rPr>
        <w:t>CI=confidence interval; MID=minimal important difference</w:t>
      </w:r>
    </w:p>
    <w:p w14:paraId="01BDB019">
      <w:pPr>
        <w:rPr>
          <w:rFonts w:hint="default" w:ascii="Times New Roman" w:hAnsi="Times New Roman" w:cs="Times New Roman"/>
          <w:sz w:val="15"/>
          <w:szCs w:val="15"/>
        </w:rPr>
      </w:pPr>
      <w:r>
        <w:rPr>
          <w:rFonts w:hint="default" w:ascii="Times New Roman" w:hAnsi="Times New Roman" w:cs="Times New Roman"/>
          <w:sz w:val="15"/>
          <w:szCs w:val="15"/>
        </w:rPr>
        <w:t>* Event rate from one year mortality was used for less intensive treatment (from non-randomised studies).</w:t>
      </w:r>
    </w:p>
    <w:p w14:paraId="49948179">
      <w:pPr>
        <w:rPr>
          <w:rFonts w:hint="default" w:ascii="Times New Roman" w:hAnsi="Times New Roman" w:cs="Times New Roman"/>
          <w:sz w:val="15"/>
          <w:szCs w:val="15"/>
        </w:rPr>
      </w:pPr>
      <w:r>
        <w:rPr>
          <w:rFonts w:hint="default" w:ascii="Times New Roman" w:hAnsi="Times New Roman" w:cs="Times New Roman"/>
          <w:sz w:val="15"/>
          <w:szCs w:val="15"/>
        </w:rPr>
        <w:t>† Body of evidence is from non-randomised studies—assessment of certainty of evidence started at low.</w:t>
      </w:r>
    </w:p>
    <w:p w14:paraId="2152671A">
      <w:pPr>
        <w:rPr>
          <w:rFonts w:hint="default" w:ascii="Times New Roman" w:hAnsi="Times New Roman" w:cs="Times New Roman"/>
          <w:sz w:val="15"/>
          <w:szCs w:val="15"/>
        </w:rPr>
      </w:pPr>
      <w:r>
        <w:rPr>
          <w:rFonts w:hint="default" w:ascii="Times New Roman" w:hAnsi="Times New Roman" w:cs="Times New Roman"/>
          <w:sz w:val="15"/>
          <w:szCs w:val="15"/>
        </w:rPr>
        <w:t>‡ Using an MID of 50 per 1000, the 95% CI suggests the possibility of an important benefit and an important harm, thus rating down two levels for imprecision.</w:t>
      </w:r>
    </w:p>
    <w:p w14:paraId="7C86D3E0">
      <w:pPr>
        <w:rPr>
          <w:rFonts w:hint="default" w:ascii="Times New Roman" w:hAnsi="Times New Roman" w:cs="Times New Roman"/>
          <w:sz w:val="15"/>
          <w:szCs w:val="15"/>
        </w:rPr>
      </w:pPr>
      <w:r>
        <w:rPr>
          <w:rFonts w:hint="default" w:ascii="Times New Roman" w:hAnsi="Times New Roman" w:cs="Times New Roman"/>
          <w:sz w:val="15"/>
          <w:szCs w:val="15"/>
        </w:rPr>
        <w:t>§ Meta-analysis was not possible, but it is likely that the pooled estimate would have crossed the null.</w:t>
      </w:r>
    </w:p>
    <w:p w14:paraId="449A85BD">
      <w:pPr>
        <w:rPr>
          <w:rFonts w:hint="default" w:ascii="Times New Roman" w:hAnsi="Times New Roman" w:cs="Times New Roman"/>
          <w:sz w:val="15"/>
          <w:szCs w:val="15"/>
        </w:rPr>
      </w:pPr>
      <w:r>
        <w:rPr>
          <w:rFonts w:hint="default" w:ascii="Times New Roman" w:hAnsi="Times New Roman" w:cs="Times New Roman"/>
          <w:sz w:val="15"/>
          <w:szCs w:val="15"/>
        </w:rPr>
        <w:t>¶ The study was at serious risk of bias due to confounding and at moderate risk of bias due to deviation from intended interventions, thus rating down two levels for risk of bias.</w:t>
      </w:r>
    </w:p>
    <w:p w14:paraId="7645D195">
      <w:pPr>
        <w:rPr>
          <w:rFonts w:hint="default" w:ascii="Times New Roman" w:hAnsi="Times New Roman" w:cs="Times New Roman"/>
          <w:sz w:val="15"/>
          <w:szCs w:val="15"/>
        </w:rPr>
      </w:pPr>
      <w:r>
        <w:rPr>
          <w:rFonts w:hint="default" w:ascii="Times New Roman" w:hAnsi="Times New Roman" w:cs="Times New Roman"/>
          <w:sz w:val="15"/>
          <w:szCs w:val="15"/>
        </w:rPr>
        <w:t>** Using an MID of 10%, the 95% CI suggests the possibility of trivial and important harm.</w:t>
      </w:r>
    </w:p>
    <w:p w14:paraId="00943F22">
      <w:pPr>
        <w:rPr>
          <w:rFonts w:hint="default" w:ascii="Times New Roman" w:hAnsi="Times New Roman" w:cs="Times New Roman"/>
          <w:sz w:val="15"/>
          <w:szCs w:val="15"/>
        </w:rPr>
      </w:pPr>
      <w:r>
        <w:rPr>
          <w:rFonts w:hint="default" w:ascii="Times New Roman" w:hAnsi="Times New Roman" w:cs="Times New Roman"/>
          <w:sz w:val="15"/>
          <w:szCs w:val="15"/>
        </w:rPr>
        <w:t>†† Not all CIs of the studies overlap, and the statistical heterogeneity is high (I2=99%).</w:t>
      </w:r>
      <w:bookmarkStart w:id="0" w:name="_GoBack"/>
      <w:bookmarkEnd w:id="0"/>
    </w:p>
    <w:p w14:paraId="52F8EDA5">
      <w:pPr>
        <w:rPr>
          <w:rFonts w:hint="default" w:ascii="Times New Roman" w:hAnsi="Times New Roman" w:cs="Times New Roman"/>
          <w:sz w:val="15"/>
          <w:szCs w:val="15"/>
        </w:rPr>
      </w:pPr>
      <w:r>
        <w:rPr>
          <w:rFonts w:hint="default" w:ascii="Times New Roman" w:hAnsi="Times New Roman" w:cs="Times New Roman"/>
          <w:sz w:val="15"/>
          <w:szCs w:val="15"/>
        </w:rPr>
        <w:t>‡‡ Using an MID of five days, the 95% CI suggests important benefit and important harm.</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767D55"/>
    <w:rsid w:val="FFFE1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2026-05-11T21:34:00Z</dcterms:created>
  <dc:creator>25422</dc:creator>
  <cp:lastModifiedBy>王明明</cp:lastModifiedBy>
  <dcterms:modified xsi:type="dcterms:W3CDTF">2026-05-12T20:33:47Z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KSOTemplateDocerSaveRecord">
    <vt:lpwstr>eyJoZGlkIjoiNmIyOGVmMWIxODdjMjZiOTdhOWRkZGIyNTcwZjZhOTciLCJ1c2VySWQiOiI2Nzc4NTU5ODgifQ==</vt:lpwstr>
  </property>
  <property fmtid="{D5CDD505-2E9C-101B-9397-08002B2CF9AE}" pid="4" name="ICV">
    <vt:lpwstr>DCDE1E7710D54657B40ABE14010D983D_12</vt:lpwstr>
  </property>
</Properties>
</file>