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B5A21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Table 2</w:t>
      </w:r>
      <w:r>
        <w:rPr>
          <w:rFonts w:hint="default" w:ascii="Times New Roman" w:hAnsi="Times New Roman" w:cs="Times New Roman"/>
          <w:sz w:val="18"/>
          <w:szCs w:val="18"/>
        </w:rPr>
        <w:t xml:space="preserve"> Summary of findings table comparing effects of SGLT-2 inhibitors versus standard care in people with type 2 diabetes. Adapted from Li et al</w:t>
      </w:r>
      <w:bookmarkStart w:id="0" w:name="_GoBack"/>
      <w:r>
        <w:rPr>
          <w:rFonts w:hint="default" w:ascii="Times New Roman" w:hAnsi="Times New Roman" w:cs="Times New Roman"/>
          <w:sz w:val="18"/>
          <w:szCs w:val="18"/>
          <w:vertAlign w:val="superscript"/>
        </w:rPr>
        <w:t>19</w:t>
      </w:r>
      <w:bookmarkEnd w:id="0"/>
      <w:r>
        <w:rPr>
          <w:rFonts w:hint="default" w:ascii="Times New Roman" w:hAnsi="Times New Roman" w:cs="Times New Roman"/>
          <w:sz w:val="18"/>
          <w:szCs w:val="18"/>
        </w:rPr>
        <w:t xml:space="preserve"> and Palmer et al</w:t>
      </w:r>
      <w:r>
        <w:rPr>
          <w:rFonts w:hint="default" w:ascii="Times New Roman" w:hAnsi="Times New Roman" w:cs="Times New Roman"/>
          <w:sz w:val="18"/>
          <w:szCs w:val="18"/>
          <w:vertAlign w:val="superscript"/>
        </w:rPr>
        <w:t>20</w:t>
      </w:r>
      <w:r>
        <w:rPr>
          <w:rFonts w:hint="default" w:ascii="Times New Roman" w:hAnsi="Times New Roman" w:cs="Times New Roman"/>
          <w:sz w:val="18"/>
          <w:szCs w:val="18"/>
        </w:rPr>
        <w:t xml:space="preserve"> to show only outcomes of interest</w:t>
      </w:r>
    </w:p>
    <w:p w14:paraId="573D43A4">
      <w:pPr>
        <w:rPr>
          <w:rFonts w:hint="default"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794"/>
        <w:gridCol w:w="1397"/>
        <w:gridCol w:w="2729"/>
        <w:gridCol w:w="1996"/>
        <w:gridCol w:w="2363"/>
      </w:tblGrid>
      <w:tr w14:paraId="6DB068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Merge w:val="restart"/>
            <w:tcBorders>
              <w:bottom w:val="single" w:color="auto" w:sz="4" w:space="0"/>
            </w:tcBorders>
          </w:tcPr>
          <w:p w14:paraId="233CACFF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Outcome</w:t>
            </w:r>
          </w:p>
          <w:p w14:paraId="6280343F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Time frame five years</w:t>
            </w:r>
          </w:p>
        </w:tc>
        <w:tc>
          <w:tcPr>
            <w:tcW w:w="2794" w:type="dxa"/>
            <w:vMerge w:val="restart"/>
            <w:tcBorders>
              <w:bottom w:val="single" w:color="auto" w:sz="4" w:space="0"/>
            </w:tcBorders>
          </w:tcPr>
          <w:p w14:paraId="246406BD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Study results and measurements</w:t>
            </w:r>
          </w:p>
        </w:tc>
        <w:tc>
          <w:tcPr>
            <w:tcW w:w="4126" w:type="dxa"/>
            <w:gridSpan w:val="2"/>
            <w:tcBorders>
              <w:bottom w:val="single" w:color="auto" w:sz="4" w:space="0"/>
            </w:tcBorders>
          </w:tcPr>
          <w:p w14:paraId="73DB1594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Absolute effect estimates</w:t>
            </w:r>
          </w:p>
        </w:tc>
        <w:tc>
          <w:tcPr>
            <w:tcW w:w="1996" w:type="dxa"/>
            <w:vMerge w:val="restart"/>
            <w:tcBorders>
              <w:bottom w:val="single" w:color="auto" w:sz="4" w:space="0"/>
            </w:tcBorders>
          </w:tcPr>
          <w:p w14:paraId="3C10FA76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Certainty of evidence (quality of evidence)</w:t>
            </w:r>
          </w:p>
        </w:tc>
        <w:tc>
          <w:tcPr>
            <w:tcW w:w="2363" w:type="dxa"/>
            <w:vMerge w:val="restart"/>
            <w:tcBorders>
              <w:bottom w:val="single" w:color="auto" w:sz="4" w:space="0"/>
            </w:tcBorders>
          </w:tcPr>
          <w:p w14:paraId="39B3DD9D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Plain language summary</w:t>
            </w:r>
          </w:p>
        </w:tc>
      </w:tr>
      <w:tr w14:paraId="183576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895" w:type="dxa"/>
            <w:vMerge w:val="continue"/>
            <w:tcBorders>
              <w:top w:val="single" w:color="auto" w:sz="4" w:space="0"/>
              <w:bottom w:val="single" w:color="auto" w:sz="4" w:space="0"/>
            </w:tcBorders>
          </w:tcPr>
          <w:p w14:paraId="76FD7E25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2794" w:type="dxa"/>
            <w:vMerge w:val="continue"/>
            <w:tcBorders>
              <w:top w:val="single" w:color="auto" w:sz="4" w:space="0"/>
              <w:bottom w:val="single" w:color="auto" w:sz="4" w:space="0"/>
            </w:tcBorders>
          </w:tcPr>
          <w:p w14:paraId="072BBE28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1397" w:type="dxa"/>
            <w:tcBorders>
              <w:top w:val="single" w:color="auto" w:sz="4" w:space="0"/>
              <w:bottom w:val="single" w:color="auto" w:sz="4" w:space="0"/>
            </w:tcBorders>
          </w:tcPr>
          <w:p w14:paraId="494197A1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Standard care</w:t>
            </w:r>
          </w:p>
        </w:tc>
        <w:tc>
          <w:tcPr>
            <w:tcW w:w="2729" w:type="dxa"/>
            <w:tcBorders>
              <w:top w:val="single" w:color="auto" w:sz="4" w:space="0"/>
              <w:bottom w:val="single" w:color="auto" w:sz="4" w:space="0"/>
            </w:tcBorders>
          </w:tcPr>
          <w:p w14:paraId="1F144AA6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SGLT-2 inhibitors</w:t>
            </w:r>
          </w:p>
        </w:tc>
        <w:tc>
          <w:tcPr>
            <w:tcW w:w="1996" w:type="dxa"/>
            <w:vMerge w:val="continue"/>
            <w:tcBorders>
              <w:top w:val="single" w:color="auto" w:sz="4" w:space="0"/>
              <w:bottom w:val="single" w:color="auto" w:sz="4" w:space="0"/>
            </w:tcBorders>
          </w:tcPr>
          <w:p w14:paraId="551873D0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2363" w:type="dxa"/>
            <w:vMerge w:val="continue"/>
            <w:tcBorders>
              <w:top w:val="single" w:color="auto" w:sz="4" w:space="0"/>
              <w:bottom w:val="single" w:color="auto" w:sz="4" w:space="0"/>
            </w:tcBorders>
          </w:tcPr>
          <w:p w14:paraId="47599E9B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</w:tr>
      <w:tr w14:paraId="3E289A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Merge w:val="restart"/>
            <w:tcBorders>
              <w:top w:val="single" w:color="auto" w:sz="4" w:space="0"/>
            </w:tcBorders>
          </w:tcPr>
          <w:p w14:paraId="5846CF03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All cause mortality (very low risk: adults with ≤3 risk factors and no underlying cardiovascular disease or chronic kidney disease)</w:t>
            </w:r>
          </w:p>
        </w:tc>
        <w:tc>
          <w:tcPr>
            <w:tcW w:w="2794" w:type="dxa"/>
            <w:vMerge w:val="restart"/>
            <w:tcBorders>
              <w:top w:val="single" w:color="auto" w:sz="4" w:space="0"/>
            </w:tcBorders>
          </w:tcPr>
          <w:p w14:paraId="08C1CA16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Odds ratio 0.77 (95% CI 0.71 to 0.83)</w:t>
            </w:r>
          </w:p>
          <w:p w14:paraId="696272A5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Based on data from 282 704 participants in 225 studies</w:t>
            </w:r>
          </w:p>
        </w:tc>
        <w:tc>
          <w:tcPr>
            <w:tcW w:w="1397" w:type="dxa"/>
            <w:tcBorders>
              <w:top w:val="single" w:color="auto" w:sz="4" w:space="0"/>
            </w:tcBorders>
          </w:tcPr>
          <w:p w14:paraId="2A8B7B29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20 per 1000</w:t>
            </w:r>
          </w:p>
        </w:tc>
        <w:tc>
          <w:tcPr>
            <w:tcW w:w="2729" w:type="dxa"/>
            <w:tcBorders>
              <w:top w:val="single" w:color="auto" w:sz="4" w:space="0"/>
            </w:tcBorders>
          </w:tcPr>
          <w:p w14:paraId="038A9C81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15 per 1000</w:t>
            </w:r>
          </w:p>
        </w:tc>
        <w:tc>
          <w:tcPr>
            <w:tcW w:w="1996" w:type="dxa"/>
            <w:vMerge w:val="restart"/>
            <w:tcBorders>
              <w:top w:val="single" w:color="auto" w:sz="4" w:space="0"/>
            </w:tcBorders>
          </w:tcPr>
          <w:p w14:paraId="76C32F9D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High</w:t>
            </w:r>
          </w:p>
        </w:tc>
        <w:tc>
          <w:tcPr>
            <w:tcW w:w="2363" w:type="dxa"/>
            <w:vMerge w:val="restart"/>
            <w:tcBorders>
              <w:top w:val="single" w:color="auto" w:sz="4" w:space="0"/>
            </w:tcBorders>
          </w:tcPr>
          <w:p w14:paraId="0876A6DC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There is no important difference between SGLT-2 inhibitors and standard care</w:t>
            </w:r>
          </w:p>
        </w:tc>
      </w:tr>
      <w:tr w14:paraId="27B152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Merge w:val="continue"/>
          </w:tcPr>
          <w:p w14:paraId="41D598BA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2794" w:type="dxa"/>
            <w:vMerge w:val="continue"/>
          </w:tcPr>
          <w:p w14:paraId="5A824B90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4126" w:type="dxa"/>
            <w:gridSpan w:val="2"/>
          </w:tcPr>
          <w:p w14:paraId="7ACDCA7A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Difference 5 fewer per 1000 (95% CI 6 fewer to 3 fewer)</w:t>
            </w:r>
          </w:p>
        </w:tc>
        <w:tc>
          <w:tcPr>
            <w:tcW w:w="1996" w:type="dxa"/>
            <w:vMerge w:val="continue"/>
          </w:tcPr>
          <w:p w14:paraId="1F092710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2363" w:type="dxa"/>
            <w:vMerge w:val="continue"/>
          </w:tcPr>
          <w:p w14:paraId="785FCE28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</w:tr>
      <w:tr w14:paraId="7C25D6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Merge w:val="restart"/>
          </w:tcPr>
          <w:p w14:paraId="4C183A12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All cause mortality (very high risk: patients with cardiovascular disease and chronic kidney disease)</w:t>
            </w:r>
          </w:p>
        </w:tc>
        <w:tc>
          <w:tcPr>
            <w:tcW w:w="2794" w:type="dxa"/>
            <w:vMerge w:val="restart"/>
          </w:tcPr>
          <w:p w14:paraId="6E1F70C0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Odds ratio 0.77 (95% CI 0.71 to 0.83)</w:t>
            </w:r>
          </w:p>
          <w:p w14:paraId="4647A755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Based on data from 282 704 participants in 225 studies</w:t>
            </w:r>
          </w:p>
        </w:tc>
        <w:tc>
          <w:tcPr>
            <w:tcW w:w="1397" w:type="dxa"/>
          </w:tcPr>
          <w:p w14:paraId="6FFE273C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265 per 1000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ab/>
            </w:r>
          </w:p>
        </w:tc>
        <w:tc>
          <w:tcPr>
            <w:tcW w:w="2729" w:type="dxa"/>
          </w:tcPr>
          <w:p w14:paraId="037F8A48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217 per 1000</w:t>
            </w:r>
          </w:p>
        </w:tc>
        <w:tc>
          <w:tcPr>
            <w:tcW w:w="1996" w:type="dxa"/>
            <w:vMerge w:val="restart"/>
          </w:tcPr>
          <w:p w14:paraId="738584F0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High</w:t>
            </w:r>
          </w:p>
        </w:tc>
        <w:tc>
          <w:tcPr>
            <w:tcW w:w="2363" w:type="dxa"/>
            <w:vMerge w:val="restart"/>
          </w:tcPr>
          <w:p w14:paraId="44884667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SGLT-2 inhibitors reduce the risk of death compared with standard care</w:t>
            </w:r>
          </w:p>
        </w:tc>
      </w:tr>
      <w:tr w14:paraId="31DB86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Merge w:val="continue"/>
          </w:tcPr>
          <w:p w14:paraId="4B66147C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2794" w:type="dxa"/>
            <w:vMerge w:val="continue"/>
          </w:tcPr>
          <w:p w14:paraId="3CAC0F7A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4126" w:type="dxa"/>
            <w:gridSpan w:val="2"/>
          </w:tcPr>
          <w:p w14:paraId="653BE8E1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  <w:t>Difference 48 fewer per 1000 (95% CI 61 fewer to 35 fewer)</w:t>
            </w:r>
          </w:p>
        </w:tc>
        <w:tc>
          <w:tcPr>
            <w:tcW w:w="1996" w:type="dxa"/>
            <w:vMerge w:val="continue"/>
          </w:tcPr>
          <w:p w14:paraId="745E4AD4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2363" w:type="dxa"/>
            <w:vMerge w:val="continue"/>
          </w:tcPr>
          <w:p w14:paraId="095A94CE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</w:rPr>
            </w:pPr>
          </w:p>
        </w:tc>
      </w:tr>
    </w:tbl>
    <w:p w14:paraId="63CE7FE6">
      <w:pPr>
        <w:rPr>
          <w:rFonts w:hint="default" w:ascii="Times New Roman" w:hAnsi="Times New Roman" w:cs="Times New Roman"/>
          <w:sz w:val="18"/>
          <w:szCs w:val="18"/>
        </w:rPr>
      </w:pPr>
    </w:p>
    <w:p w14:paraId="78052949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CI=confidence interval; SGLT-2=sodium-glucose cotransporter-2.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A96D06"/>
    <w:rsid w:val="45B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192</Words>
  <Characters>1003</Characters>
  <Lines>0</Lines>
  <Paragraphs>0</Paragraphs>
  <TotalTime>6</TotalTime>
  <ScaleCrop>false</ScaleCrop>
  <LinksUpToDate>false</LinksUpToDate>
  <CharactersWithSpaces>1170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2026-05-11T13:47:00Z</dcterms:created>
  <dc:creator>25422</dc:creator>
  <cp:lastModifiedBy>阿孔</cp:lastModifiedBy>
  <dcterms:modified xsi:type="dcterms:W3CDTF">2026-05-11T13:58:56Z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eyJoZGlkIjoiNmIyOGVmMWIxODdjMjZiOTdhOWRkZGIyNTcwZjZhOTciLCJ1c2VySWQiOiI2Nzc4NTU5ODgifQ==</vt:lpwstr>
  </property>
  <property fmtid="{D5CDD505-2E9C-101B-9397-08002B2CF9AE}" pid="4" name="ICV">
    <vt:lpwstr>BD4AFD30A12C4BAFA011CD80A1FC4411_12</vt:lpwstr>
  </property>
</Properties>
</file>