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2E39A">
      <w:pPr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b/>
          <w:bCs/>
          <w:sz w:val="15"/>
          <w:szCs w:val="15"/>
        </w:rPr>
        <w:t>Table 3</w:t>
      </w:r>
      <w:r>
        <w:rPr>
          <w:rFonts w:hint="default" w:ascii="Times New Roman" w:hAnsi="Times New Roman" w:cs="Times New Roman"/>
          <w:sz w:val="15"/>
          <w:szCs w:val="15"/>
        </w:rPr>
        <w:t xml:space="preserve"> Summary of findings table comparing effects of knee arthroscopy versus conservative management in people with degenerative knee disease. Adapted from Brignardello-Petersen et al</w:t>
      </w:r>
      <w:r>
        <w:rPr>
          <w:rFonts w:hint="default" w:ascii="Times New Roman" w:hAnsi="Times New Roman" w:cs="Times New Roman"/>
          <w:sz w:val="15"/>
          <w:szCs w:val="15"/>
          <w:vertAlign w:val="superscript"/>
        </w:rPr>
        <w:t>22</w:t>
      </w:r>
      <w:r>
        <w:rPr>
          <w:rFonts w:hint="default" w:ascii="Times New Roman" w:hAnsi="Times New Roman" w:cs="Times New Roman"/>
          <w:sz w:val="15"/>
          <w:szCs w:val="15"/>
        </w:rPr>
        <w:t xml:space="preserve"> and Siemieniuk et al</w:t>
      </w:r>
      <w:r>
        <w:rPr>
          <w:rFonts w:hint="default" w:ascii="Times New Roman" w:hAnsi="Times New Roman" w:cs="Times New Roman"/>
          <w:sz w:val="15"/>
          <w:szCs w:val="15"/>
          <w:vertAlign w:val="superscript"/>
        </w:rPr>
        <w:t>23</w:t>
      </w:r>
      <w:r>
        <w:rPr>
          <w:rFonts w:hint="default" w:ascii="Times New Roman" w:hAnsi="Times New Roman" w:cs="Times New Roman"/>
          <w:sz w:val="15"/>
          <w:szCs w:val="15"/>
        </w:rPr>
        <w:t xml:space="preserve"> to show only pain outcomes measured by different instruments</w:t>
      </w:r>
    </w:p>
    <w:p w14:paraId="186F0FB4">
      <w:pPr>
        <w:rPr>
          <w:rFonts w:hint="default" w:ascii="Times New Roman" w:hAnsi="Times New Roman" w:cs="Times New Roman"/>
          <w:sz w:val="15"/>
          <w:szCs w:val="15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2362"/>
        <w:gridCol w:w="2362"/>
        <w:gridCol w:w="2362"/>
        <w:gridCol w:w="2362"/>
        <w:gridCol w:w="2363"/>
        <w:gridCol w:w="2363"/>
      </w:tblGrid>
      <w:tr w14:paraId="08C2F73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2362" w:type="dxa"/>
            <w:vMerge w:val="restart"/>
          </w:tcPr>
          <w:p w14:paraId="58FF822B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Outcome</w:t>
            </w:r>
          </w:p>
          <w:p w14:paraId="47CC0D50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Time frame</w:t>
            </w:r>
          </w:p>
        </w:tc>
        <w:tc>
          <w:tcPr>
            <w:tcW w:w="2362" w:type="dxa"/>
            <w:vMerge w:val="restart"/>
          </w:tcPr>
          <w:p w14:paraId="78604174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Studies and measurements</w:t>
            </w:r>
          </w:p>
        </w:tc>
        <w:tc>
          <w:tcPr>
            <w:tcW w:w="4724" w:type="dxa"/>
            <w:gridSpan w:val="2"/>
          </w:tcPr>
          <w:p w14:paraId="34909BC4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Absolute effect estimates</w:t>
            </w:r>
          </w:p>
        </w:tc>
        <w:tc>
          <w:tcPr>
            <w:tcW w:w="2363" w:type="dxa"/>
            <w:vMerge w:val="restart"/>
          </w:tcPr>
          <w:p w14:paraId="713CCAAD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Certainty of evidence (quality of evidence)</w:t>
            </w:r>
          </w:p>
        </w:tc>
        <w:tc>
          <w:tcPr>
            <w:tcW w:w="2363" w:type="dxa"/>
            <w:vMerge w:val="restart"/>
          </w:tcPr>
          <w:p w14:paraId="3D7421A4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Plain language summary</w:t>
            </w:r>
          </w:p>
        </w:tc>
      </w:tr>
      <w:tr w14:paraId="4A4FB67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2362" w:type="dxa"/>
            <w:vMerge w:val="continue"/>
            <w:tcBorders>
              <w:bottom w:val="single" w:color="auto" w:sz="4" w:space="0"/>
            </w:tcBorders>
          </w:tcPr>
          <w:p w14:paraId="1B57122A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</w:p>
        </w:tc>
        <w:tc>
          <w:tcPr>
            <w:tcW w:w="2362" w:type="dxa"/>
            <w:vMerge w:val="continue"/>
            <w:tcBorders>
              <w:bottom w:val="single" w:color="auto" w:sz="4" w:space="0"/>
            </w:tcBorders>
          </w:tcPr>
          <w:p w14:paraId="11B690EA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</w:p>
        </w:tc>
        <w:tc>
          <w:tcPr>
            <w:tcW w:w="2362" w:type="dxa"/>
            <w:tcBorders>
              <w:bottom w:val="single" w:color="auto" w:sz="4" w:space="0"/>
            </w:tcBorders>
          </w:tcPr>
          <w:p w14:paraId="1B30A206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Conservative management</w:t>
            </w:r>
          </w:p>
        </w:tc>
        <w:tc>
          <w:tcPr>
            <w:tcW w:w="2362" w:type="dxa"/>
            <w:tcBorders>
              <w:bottom w:val="single" w:color="auto" w:sz="4" w:space="0"/>
            </w:tcBorders>
          </w:tcPr>
          <w:p w14:paraId="4443F018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Arthroscopy</w:t>
            </w:r>
          </w:p>
        </w:tc>
        <w:tc>
          <w:tcPr>
            <w:tcW w:w="2363" w:type="dxa"/>
            <w:vMerge w:val="continue"/>
            <w:tcBorders>
              <w:bottom w:val="single" w:color="auto" w:sz="4" w:space="0"/>
            </w:tcBorders>
          </w:tcPr>
          <w:p w14:paraId="1A04B60C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</w:p>
        </w:tc>
        <w:tc>
          <w:tcPr>
            <w:tcW w:w="2363" w:type="dxa"/>
            <w:vMerge w:val="continue"/>
            <w:tcBorders>
              <w:bottom w:val="single" w:color="auto" w:sz="4" w:space="0"/>
            </w:tcBorders>
          </w:tcPr>
          <w:p w14:paraId="47039EA9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</w:p>
        </w:tc>
      </w:tr>
      <w:tr w14:paraId="5E928A1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2362" w:type="dxa"/>
            <w:vMerge w:val="restart"/>
            <w:tcBorders>
              <w:top w:val="single" w:color="auto" w:sz="4" w:space="0"/>
            </w:tcBorders>
          </w:tcPr>
          <w:p w14:paraId="40E3B16E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Option 1</w:t>
            </w:r>
          </w:p>
          <w:p w14:paraId="4E9C09B8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Pain (difference in change from baseline)</w:t>
            </w:r>
          </w:p>
          <w:p w14:paraId="7824C970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Three months</w:t>
            </w:r>
          </w:p>
        </w:tc>
        <w:tc>
          <w:tcPr>
            <w:tcW w:w="2362" w:type="dxa"/>
            <w:vMerge w:val="restart"/>
            <w:tcBorders>
              <w:top w:val="single" w:color="auto" w:sz="4" w:space="0"/>
            </w:tcBorders>
          </w:tcPr>
          <w:p w14:paraId="00990533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Measured by different instruments converted to scale of index instrument (KOOS pain subscale—MID 12)</w:t>
            </w:r>
          </w:p>
          <w:p w14:paraId="120B9723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Scale 0-100, higher scores better</w:t>
            </w:r>
          </w:p>
          <w:p w14:paraId="2024CAAE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Based on data from 1231 participants in 10 studies</w:t>
            </w:r>
          </w:p>
          <w:p w14:paraId="5A6B8550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Follow-up three months</w:t>
            </w:r>
          </w:p>
        </w:tc>
        <w:tc>
          <w:tcPr>
            <w:tcW w:w="2362" w:type="dxa"/>
            <w:tcBorders>
              <w:top w:val="single" w:color="auto" w:sz="4" w:space="0"/>
            </w:tcBorders>
          </w:tcPr>
          <w:p w14:paraId="37E24F07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Mean 15.00 points</w:t>
            </w:r>
          </w:p>
        </w:tc>
        <w:tc>
          <w:tcPr>
            <w:tcW w:w="2362" w:type="dxa"/>
            <w:tcBorders>
              <w:top w:val="single" w:color="auto" w:sz="4" w:space="0"/>
            </w:tcBorders>
          </w:tcPr>
          <w:p w14:paraId="16B238D3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Mean 20.00 points</w:t>
            </w:r>
          </w:p>
        </w:tc>
        <w:tc>
          <w:tcPr>
            <w:tcW w:w="2363" w:type="dxa"/>
            <w:vMerge w:val="restart"/>
            <w:tcBorders>
              <w:top w:val="single" w:color="auto" w:sz="4" w:space="0"/>
            </w:tcBorders>
          </w:tcPr>
          <w:p w14:paraId="15E80D91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Moderate*†</w:t>
            </w:r>
          </w:p>
          <w:p w14:paraId="4607FB9C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Different pain summary measures suggest different effects</w:t>
            </w:r>
          </w:p>
        </w:tc>
        <w:tc>
          <w:tcPr>
            <w:tcW w:w="2363" w:type="dxa"/>
            <w:vMerge w:val="restart"/>
            <w:tcBorders>
              <w:top w:val="single" w:color="auto" w:sz="4" w:space="0"/>
            </w:tcBorders>
          </w:tcPr>
          <w:p w14:paraId="0F1E572F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Knee arthroscopy probably does not result in an important reduction in pain</w:t>
            </w:r>
          </w:p>
        </w:tc>
      </w:tr>
      <w:tr w14:paraId="6F874DB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2362" w:type="dxa"/>
            <w:vMerge w:val="continue"/>
          </w:tcPr>
          <w:p w14:paraId="4C480A19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</w:p>
        </w:tc>
        <w:tc>
          <w:tcPr>
            <w:tcW w:w="2362" w:type="dxa"/>
            <w:vMerge w:val="continue"/>
          </w:tcPr>
          <w:p w14:paraId="36EF4D55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</w:p>
        </w:tc>
        <w:tc>
          <w:tcPr>
            <w:tcW w:w="4724" w:type="dxa"/>
            <w:gridSpan w:val="2"/>
          </w:tcPr>
          <w:p w14:paraId="2E8CF6D6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Mean difference 5.38 more (95% CI 1.95 more to 8.81 more)</w:t>
            </w:r>
          </w:p>
        </w:tc>
        <w:tc>
          <w:tcPr>
            <w:tcW w:w="2363" w:type="dxa"/>
            <w:vMerge w:val="continue"/>
          </w:tcPr>
          <w:p w14:paraId="2E50C762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</w:p>
        </w:tc>
        <w:tc>
          <w:tcPr>
            <w:tcW w:w="2363" w:type="dxa"/>
            <w:vMerge w:val="continue"/>
          </w:tcPr>
          <w:p w14:paraId="11DA3E5A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</w:p>
        </w:tc>
      </w:tr>
      <w:tr w14:paraId="5E73768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2362" w:type="dxa"/>
            <w:vMerge w:val="restart"/>
          </w:tcPr>
          <w:p w14:paraId="15549032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Option 2</w:t>
            </w:r>
          </w:p>
          <w:p w14:paraId="780B3500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Pain (difference in proportion of patients who achieve a change greater than the MID)</w:t>
            </w:r>
          </w:p>
          <w:p w14:paraId="6770C750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Three months</w:t>
            </w:r>
          </w:p>
        </w:tc>
        <w:tc>
          <w:tcPr>
            <w:tcW w:w="2362" w:type="dxa"/>
            <w:vMerge w:val="restart"/>
          </w:tcPr>
          <w:p w14:paraId="17ABC469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Based on data from 1102 participants in nine studies</w:t>
            </w:r>
          </w:p>
          <w:p w14:paraId="3D040ECA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Follow-up three months‡</w:t>
            </w:r>
          </w:p>
        </w:tc>
        <w:tc>
          <w:tcPr>
            <w:tcW w:w="2362" w:type="dxa"/>
          </w:tcPr>
          <w:p w14:paraId="175027AA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669 per 1000§</w:t>
            </w:r>
          </w:p>
        </w:tc>
        <w:tc>
          <w:tcPr>
            <w:tcW w:w="2362" w:type="dxa"/>
          </w:tcPr>
          <w:p w14:paraId="4E5D5710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793 per 1000</w:t>
            </w:r>
          </w:p>
        </w:tc>
        <w:tc>
          <w:tcPr>
            <w:tcW w:w="2363" w:type="dxa"/>
            <w:vMerge w:val="restart"/>
          </w:tcPr>
          <w:p w14:paraId="3D245AFB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Low†¶</w:t>
            </w:r>
          </w:p>
          <w:p w14:paraId="116DF6A7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Serious imprecision and different pain summary measures suggest different effects</w:t>
            </w:r>
          </w:p>
        </w:tc>
        <w:tc>
          <w:tcPr>
            <w:tcW w:w="2363" w:type="dxa"/>
            <w:vMerge w:val="restart"/>
          </w:tcPr>
          <w:p w14:paraId="61B1095A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Knee arthroscopy possibly increases the number of patients with an important reduction in pain</w:t>
            </w:r>
          </w:p>
        </w:tc>
      </w:tr>
      <w:tr w14:paraId="2BD2CD4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2362" w:type="dxa"/>
            <w:vMerge w:val="continue"/>
          </w:tcPr>
          <w:p w14:paraId="476A5E28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</w:p>
        </w:tc>
        <w:tc>
          <w:tcPr>
            <w:tcW w:w="2362" w:type="dxa"/>
            <w:vMerge w:val="continue"/>
          </w:tcPr>
          <w:p w14:paraId="00622DF6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</w:p>
        </w:tc>
        <w:tc>
          <w:tcPr>
            <w:tcW w:w="4724" w:type="dxa"/>
            <w:gridSpan w:val="2"/>
          </w:tcPr>
          <w:p w14:paraId="77D9759F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Difference 124 more per 1000 (95% CI 44 more to 204 more)</w:t>
            </w:r>
          </w:p>
        </w:tc>
        <w:tc>
          <w:tcPr>
            <w:tcW w:w="2363" w:type="dxa"/>
            <w:vMerge w:val="continue"/>
          </w:tcPr>
          <w:p w14:paraId="67C87688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</w:p>
        </w:tc>
        <w:tc>
          <w:tcPr>
            <w:tcW w:w="2363" w:type="dxa"/>
            <w:vMerge w:val="continue"/>
          </w:tcPr>
          <w:p w14:paraId="60C0DEE8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</w:p>
        </w:tc>
      </w:tr>
      <w:tr w14:paraId="52669D0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1459" w:hRule="atLeast"/>
        </w:trPr>
        <w:tc>
          <w:tcPr>
            <w:tcW w:w="2362" w:type="dxa"/>
            <w:vMerge w:val="restart"/>
          </w:tcPr>
          <w:p w14:paraId="049B02C4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Option 3</w:t>
            </w:r>
          </w:p>
          <w:p w14:paraId="2E7EBC82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Pain (SMD in change from baseline)</w:t>
            </w:r>
          </w:p>
          <w:p w14:paraId="3A2A3315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Three months</w:t>
            </w:r>
          </w:p>
        </w:tc>
        <w:tc>
          <w:tcPr>
            <w:tcW w:w="2362" w:type="dxa"/>
            <w:vMerge w:val="restart"/>
          </w:tcPr>
          <w:p w14:paraId="60AAB730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Measured by different instruments with different scales</w:t>
            </w:r>
          </w:p>
          <w:p w14:paraId="73D5B83B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Scale: Higher scores better (either in original instruments or converted)</w:t>
            </w:r>
          </w:p>
          <w:p w14:paraId="32B91ECD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Based on data from 1231 participants in 10 studies</w:t>
            </w:r>
          </w:p>
          <w:p w14:paraId="518F6215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Follow-up three months</w:t>
            </w:r>
          </w:p>
        </w:tc>
        <w:tc>
          <w:tcPr>
            <w:tcW w:w="2362" w:type="dxa"/>
          </w:tcPr>
          <w:p w14:paraId="2B335A25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Mean 15.00</w:t>
            </w:r>
          </w:p>
        </w:tc>
        <w:tc>
          <w:tcPr>
            <w:tcW w:w="2362" w:type="dxa"/>
          </w:tcPr>
          <w:p w14:paraId="59E4F9ED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Mean 17.04</w:t>
            </w:r>
          </w:p>
        </w:tc>
        <w:tc>
          <w:tcPr>
            <w:tcW w:w="2363" w:type="dxa"/>
            <w:vMerge w:val="restart"/>
          </w:tcPr>
          <w:p w14:paraId="67FC951A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Low†**</w:t>
            </w:r>
          </w:p>
          <w:p w14:paraId="785E4B58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Serious imprecision and different pain summary measures show different effects</w:t>
            </w:r>
          </w:p>
        </w:tc>
        <w:tc>
          <w:tcPr>
            <w:tcW w:w="2363" w:type="dxa"/>
            <w:vMerge w:val="restart"/>
          </w:tcPr>
          <w:p w14:paraId="33B21268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Knee arthroscopy possibly does not result in an important reduction in pain</w:t>
            </w:r>
          </w:p>
        </w:tc>
      </w:tr>
      <w:tr w14:paraId="579F33F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2362" w:type="dxa"/>
            <w:vMerge w:val="continue"/>
          </w:tcPr>
          <w:p w14:paraId="5972E11D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</w:p>
        </w:tc>
        <w:tc>
          <w:tcPr>
            <w:tcW w:w="2362" w:type="dxa"/>
            <w:vMerge w:val="continue"/>
          </w:tcPr>
          <w:p w14:paraId="6C696D1A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</w:p>
        </w:tc>
        <w:tc>
          <w:tcPr>
            <w:tcW w:w="4724" w:type="dxa"/>
            <w:gridSpan w:val="2"/>
          </w:tcPr>
          <w:p w14:paraId="1ECDC60E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  <w:t>SMD 0.16 higher (95% CI 0.03 higher to 0.28 higher)</w:t>
            </w:r>
          </w:p>
        </w:tc>
        <w:tc>
          <w:tcPr>
            <w:tcW w:w="2363" w:type="dxa"/>
            <w:vMerge w:val="continue"/>
          </w:tcPr>
          <w:p w14:paraId="5C2C7BAC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</w:p>
        </w:tc>
        <w:tc>
          <w:tcPr>
            <w:tcW w:w="2363" w:type="dxa"/>
            <w:vMerge w:val="continue"/>
          </w:tcPr>
          <w:p w14:paraId="7D15F5C0">
            <w:pPr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</w:p>
        </w:tc>
      </w:tr>
    </w:tbl>
    <w:p w14:paraId="6728A330">
      <w:pPr>
        <w:rPr>
          <w:rFonts w:hint="default" w:ascii="Times New Roman" w:hAnsi="Times New Roman" w:cs="Times New Roman"/>
          <w:sz w:val="15"/>
          <w:szCs w:val="15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15"/>
          <w:szCs w:val="15"/>
        </w:rPr>
        <w:t>CI=confidence interval; KOOS=Knee injury and Osteoarthritis Outcome Score; MID=minimal important difference; SMD=standardised mean difference.</w:t>
      </w:r>
    </w:p>
    <w:p w14:paraId="12F1AF21">
      <w:pPr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* Although the I2 statistic was high, all point estimates suggested little to no effect and therefore no rating down for inconsistency.</w:t>
      </w:r>
    </w:p>
    <w:p w14:paraId="77BCDBAA">
      <w:pPr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† Some pain summaries suggest small but important differences in pain, whereas others suggest only unimportant differences, warranting rating down for inconsistency.</w:t>
      </w:r>
    </w:p>
    <w:p w14:paraId="249DCCBF">
      <w:pPr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‡ Because one study provided data allowing calculation of the portion of patients who achieved a change greater than the MID, 10 studies were relevant for options 1 and 3 and nine for option 2.</w:t>
      </w:r>
    </w:p>
    <w:p w14:paraId="70DA1A49">
      <w:pPr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§ Baseline risk of 669 per 1000 based on the median of number of people who achieved an improvement of MID or greater in the conservative management groups.</w:t>
      </w:r>
    </w:p>
    <w:p w14:paraId="4149249B">
      <w:pPr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¶ Using an MID of 100 per 1000 patients (10%), the 95% CI crosses this threshold, suggesting the possibility of a trivial benefit and thus warranting rating down for inconsistency.</w:t>
      </w:r>
    </w:p>
    <w:p w14:paraId="239BA8E7">
      <w:pPr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** Using Cohen’s threshold for interpretation of SMD, the 95% CI crosses the MID (small effect threshold) of 0.2, suggesting the possibility of an important benefit and thus warrants rating down for imprecision.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92481E"/>
    <w:rsid w:val="2CBA4A07"/>
    <w:rsid w:val="4D40640B"/>
    <w:rsid w:val="535350EA"/>
    <w:rsid w:val="738C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</Words>
  <Characters>234</Characters>
  <Lines>0</Lines>
  <Paragraphs>0</Paragraphs>
  <TotalTime>8</TotalTime>
  <ScaleCrop>false</ScaleCrop>
  <LinksUpToDate>false</LinksUpToDate>
  <CharactersWithSpaces>271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2026-05-11T13:58:01Z</dcterms:created>
  <dc:creator>25422</dc:creator>
  <cp:lastModifiedBy>阿孔</cp:lastModifiedBy>
  <dcterms:modified xsi:type="dcterms:W3CDTF">2026-05-11T14:07:45Z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eyJoZGlkIjoiNmIyOGVmMWIxODdjMjZiOTdhOWRkZGIyNTcwZjZhOTciLCJ1c2VySWQiOiI2Nzc4NTU5ODgifQ==</vt:lpwstr>
  </property>
  <property fmtid="{D5CDD505-2E9C-101B-9397-08002B2CF9AE}" pid="4" name="ICV">
    <vt:lpwstr>A150BB992E9C470B9F8763F8C3C5CEAC_12</vt:lpwstr>
  </property>
</Properties>
</file>