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Notes 2026.01</w:t>
      </w:r>
    </w:p>
    <w:p>
      <w:r>
        <w:t>This release closes the attachment retention gap.</w:t>
      </w:r>
    </w:p>
    <w:p>
      <w:r>
        <w:t>Originals are now retained for every attachment kind, not only images.</w:t>
      </w:r>
    </w:p>
    <w:p>
      <w:r>
        <w:t>The sandbox probe reports an actionable reason when Docker is unreachable.</w:t>
      </w:r>
    </w:p>
    <w:p>
      <w:pPr>
        <w:pStyle w:val="Heading2"/>
      </w:pPr>
      <w:r>
        <w:t>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Attachments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  <w:tr>
        <w:tc>
          <w:tcPr>
            <w:tcW w:type="dxa" w:w="4320"/>
          </w:tcPr>
          <w:p>
            <w:r>
              <w:t>Sandbox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