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HISTORIA DE USUARIO - ANÁLISIS FUNCIONAL</w:t>
      </w:r>
    </w:p>
    <w:p>
      <w:pPr>
        <w:pStyle w:val="Heading1"/>
      </w:pPr>
      <w:r>
        <w:t>Resumen Funcional</w:t>
      </w:r>
    </w:p>
    <w:p>
      <w:r>
        <w:t>La historia define una transferencia bancaria SINPE Móvil desde Web Banking, orientada a clientes autenticados que desean enviar dinero a un número telefónico afiliado. El flujo incluye selección de cuenta origen, ingreso del teléfono destino, monto, observación, validación de reglas y límites, confirmación con OTP cuando aplica, procesamiento con SINPE, registro de comprobante y auditoría, con control de idempotencia y manejo de errores.</w:t>
      </w:r>
    </w:p>
    <w:p>
      <w:pPr>
        <w:pStyle w:val="Heading1"/>
      </w:pPr>
      <w:r>
        <w:t>Objetivo de Negocio</w:t>
      </w:r>
    </w:p>
    <w:p>
      <w:r>
        <w:t>Permitir transferencias inmediatas mediante SINPE Móvil desde Web Banking, con cumplimiento de límites, validaciones regulatorias, seguridad con OTP, trazabilidad de la transacción y emisión de comprobantes para auditoría y servicio al cliente.</w:t>
      </w:r>
    </w:p>
    <w:p>
      <w:pPr>
        <w:pStyle w:val="Heading1"/>
      </w:pPr>
      <w:r>
        <w:t>Actores</w:t>
      </w:r>
    </w:p>
    <w:p>
      <w:r>
        <w:t>Cliente bancario autenticado: ejecuta la operación desde Web Banking. Sistema Web Banking: valida datos, aplica reglas y presenta confirmación. Servicio SINPE: recibe y procesa la operación remota. Back-end bancario: valida cuenta, auditoría, reversos y consolidación de saldos. Soporte / operación: consulta transacciones y auditoría en caso de incidentes.</w:t>
      </w:r>
    </w:p>
    <w:p>
      <w:pPr>
        <w:pStyle w:val="Heading1"/>
      </w:pPr>
      <w:r>
        <w:t>Dependencias</w:t>
      </w:r>
    </w:p>
    <w:p>
      <w:r>
        <w:t>Cuenta origen activa y habilitada para débitos y transferencias electrónicas. Número telefónico destino con afiliación SINPE válida. Disponibilidad del servicio SINPE y del canal Web Banking. Generación de OTP cuando aplica por monto, riesgo o dispositivo no reconocido. Reloj oficial de Costa Rica para control del límite diario y registros de auditoría. Política de riesgo definida por el banco.</w:t>
      </w:r>
    </w:p>
    <w:p>
      <w:pPr>
        <w:pStyle w:val="Heading1"/>
      </w:pPr>
      <w:r>
        <w:t>Integraciones</w:t>
      </w:r>
    </w:p>
    <w:p>
      <w:r>
        <w:t>Integración con canal Web Banking para capturar datos y presentar comprobante. Integración con servicio SINPE para envío y respuesta de la transacción. Integración con motor de riesgo para validación de OTP y dispositivos no reconocidos. Integración con sistema de auditoría para registrar IP, navegador, dispositivo, request/response y transaction ID. Integración con módulo de saldos y cuentas para validar fondos y debitar el monto y la comisión.</w:t>
      </w:r>
    </w:p>
    <w:p>
      <w:pPr>
        <w:pStyle w:val="Heading1"/>
      </w:pPr>
      <w:r>
        <w:t>Campos y Validaciones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Obligatorio</w:t>
            </w:r>
          </w:p>
        </w:tc>
        <w:tc>
          <w:tcPr>
            <w:tcW w:type="dxa" w:w="2880"/>
          </w:tcPr>
          <w:p>
            <w:r>
              <w:t>Validación</w:t>
            </w:r>
          </w:p>
        </w:tc>
      </w:tr>
      <w:tr>
        <w:tc>
          <w:tcPr>
            <w:tcW w:type="dxa" w:w="2880"/>
          </w:tcPr>
          <w:p>
            <w:r>
              <w:t>Cuenta origen</w:t>
            </w:r>
          </w:p>
        </w:tc>
        <w:tc>
          <w:tcPr>
            <w:tcW w:type="dxa" w:w="2880"/>
          </w:tcPr>
          <w:p>
            <w:r>
              <w:t>Sí</w:t>
            </w:r>
          </w:p>
        </w:tc>
        <w:tc>
          <w:tcPr>
            <w:tcW w:type="dxa" w:w="2880"/>
          </w:tcPr>
          <w:p>
            <w:r>
              <w:t>Debe estar activa y habilitada para débitos y transferencias electrónicas.</w:t>
            </w:r>
          </w:p>
        </w:tc>
      </w:tr>
      <w:tr>
        <w:tc>
          <w:tcPr>
            <w:tcW w:type="dxa" w:w="2880"/>
          </w:tcPr>
          <w:p>
            <w:r>
              <w:t>Teléfono destino</w:t>
            </w:r>
          </w:p>
        </w:tc>
        <w:tc>
          <w:tcPr>
            <w:tcW w:type="dxa" w:w="2880"/>
          </w:tcPr>
          <w:p>
            <w:r>
              <w:t>Sí</w:t>
            </w:r>
          </w:p>
        </w:tc>
        <w:tc>
          <w:tcPr>
            <w:tcW w:type="dxa" w:w="2880"/>
          </w:tcPr>
          <w:p>
            <w:r>
              <w:t>Debe estar en formato 88887777, 8888-7777, 8888 7777 o +50688887777; sistema normaliza el formato y valida afiliación SINPE.</w:t>
            </w:r>
          </w:p>
        </w:tc>
      </w:tr>
      <w:tr>
        <w:tc>
          <w:tcPr>
            <w:tcW w:type="dxa" w:w="2880"/>
          </w:tcPr>
          <w:p>
            <w:r>
              <w:t>Monto</w:t>
            </w:r>
          </w:p>
        </w:tc>
        <w:tc>
          <w:tcPr>
            <w:tcW w:type="dxa" w:w="2880"/>
          </w:tcPr>
          <w:p>
            <w:r>
              <w:t>Sí</w:t>
            </w:r>
          </w:p>
        </w:tc>
        <w:tc>
          <w:tcPr>
            <w:tcW w:type="dxa" w:w="2880"/>
          </w:tcPr>
          <w:p>
            <w:r>
              <w:t>Rango mínimo ₡1.00 y máximo ₡500.000 por transacción; permite hasta 2 decimales usando punto decimal.</w:t>
            </w:r>
          </w:p>
        </w:tc>
      </w:tr>
      <w:tr>
        <w:tc>
          <w:tcPr>
            <w:tcW w:type="dxa" w:w="2880"/>
          </w:tcPr>
          <w:p>
            <w:r>
              <w:t>Observación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Máximo 100 caracteres alfanuméricos y símbolos básicos.</w:t>
            </w:r>
          </w:p>
        </w:tc>
      </w:tr>
      <w:tr>
        <w:tc>
          <w:tcPr>
            <w:tcW w:type="dxa" w:w="2880"/>
          </w:tcPr>
          <w:p>
            <w:r>
              <w:t>Comisión</w:t>
            </w:r>
          </w:p>
        </w:tc>
        <w:tc>
          <w:tcPr>
            <w:tcW w:type="dxa" w:w="2880"/>
          </w:tcPr>
          <w:p>
            <w:r>
              <w:t>Sí, si aplica</w:t>
            </w:r>
          </w:p>
        </w:tc>
        <w:tc>
          <w:tcPr>
            <w:tcW w:type="dxa" w:w="2880"/>
          </w:tcPr>
          <w:p>
            <w:r>
              <w:t>Se calcula configurando la tarifa; debe mostrarse antes de la confirmación y descontarse junto con el monto.</w:t>
            </w:r>
          </w:p>
        </w:tc>
      </w:tr>
      <w:tr>
        <w:tc>
          <w:tcPr>
            <w:tcW w:type="dxa" w:w="2880"/>
          </w:tcPr>
          <w:p>
            <w:r>
              <w:t>OTP</w:t>
            </w:r>
          </w:p>
        </w:tc>
        <w:tc>
          <w:tcPr>
            <w:tcW w:type="dxa" w:w="2880"/>
          </w:tcPr>
          <w:p>
            <w:r>
              <w:t>Condicional</w:t>
            </w:r>
          </w:p>
        </w:tc>
        <w:tc>
          <w:tcPr>
            <w:tcW w:type="dxa" w:w="2880"/>
          </w:tcPr>
          <w:p>
            <w:r>
              <w:t>Obligatorio si el monto es &gt; ₡50.000, dispositivo no reconocido o política de riesgo; vigencia 5 minutos, 3 intentos.</w:t>
            </w:r>
          </w:p>
        </w:tc>
      </w:tr>
      <w:tr>
        <w:tc>
          <w:tcPr>
            <w:tcW w:type="dxa" w:w="2880"/>
          </w:tcPr>
          <w:p>
            <w:r>
              <w:t>Transaction ID</w:t>
            </w:r>
          </w:p>
        </w:tc>
        <w:tc>
          <w:tcPr>
            <w:tcW w:type="dxa" w:w="2880"/>
          </w:tcPr>
          <w:p>
            <w:r>
              <w:t>Sí</w:t>
            </w:r>
          </w:p>
        </w:tc>
        <w:tc>
          <w:tcPr>
            <w:tcW w:type="dxa" w:w="2880"/>
          </w:tcPr>
          <w:p>
            <w:r>
              <w:t>Generado por el sistema para garantizar trazabilidad e idempotencia.</w:t>
            </w:r>
          </w:p>
        </w:tc>
      </w:tr>
      <w:tr>
        <w:tc>
          <w:tcPr>
            <w:tcW w:type="dxa" w:w="2880"/>
          </w:tcPr>
          <w:p>
            <w:r>
              <w:t>Idempotency Key</w:t>
            </w:r>
          </w:p>
        </w:tc>
        <w:tc>
          <w:tcPr>
            <w:tcW w:type="dxa" w:w="2880"/>
          </w:tcPr>
          <w:p>
            <w:r>
              <w:t>Sí</w:t>
            </w:r>
          </w:p>
        </w:tc>
        <w:tc>
          <w:tcPr>
            <w:tcW w:type="dxa" w:w="2880"/>
          </w:tcPr>
          <w:p>
            <w:r>
              <w:t>Usado para impedir duplicados por reintento o doble clic.</w:t>
            </w:r>
          </w:p>
        </w:tc>
      </w:tr>
      <w:tr>
        <w:tc>
          <w:tcPr>
            <w:tcW w:type="dxa" w:w="2880"/>
          </w:tcPr>
          <w:p>
            <w:r>
              <w:t>Referencia / comprobante</w:t>
            </w:r>
          </w:p>
        </w:tc>
        <w:tc>
          <w:tcPr>
            <w:tcW w:type="dxa" w:w="2880"/>
          </w:tcPr>
          <w:p>
            <w:r>
              <w:t>Sí</w:t>
            </w:r>
          </w:p>
        </w:tc>
        <w:tc>
          <w:tcPr>
            <w:tcW w:type="dxa" w:w="2880"/>
          </w:tcPr>
          <w:p>
            <w:r>
              <w:t>Debe emitirse con datos de la operación y estado final de la transacción.</w:t>
            </w:r>
          </w:p>
        </w:tc>
      </w:tr>
    </w:tbl>
    <w:p>
      <w:pPr>
        <w:pStyle w:val="Heading1"/>
      </w:pPr>
      <w:r>
        <w:t>Reglas de Negocio</w:t>
      </w:r>
    </w:p>
    <w:p>
      <w:r>
        <w:t>RN-001: El monto por transacción debe estar entre ₡1.00 y ₡500.000, con dos decimales como máximo y separador decimal con punto.</w:t>
      </w:r>
    </w:p>
    <w:p>
      <w:r>
        <w:t>RN-002: El monto diario total no puede superar ₡2.000.000 según la hora oficial de Costa Rica; el límite reinicia a las 00:00:00.</w:t>
      </w:r>
    </w:p>
    <w:p>
      <w:r>
        <w:t>RN-003: La operación solo se autoriza si la cuenta origen está activa, habilitada para débitos y la cuenta tiene saldo suficiente para cubrir monto + comisión.</w:t>
      </w:r>
    </w:p>
    <w:p>
      <w:r>
        <w:t>RN-004: El sistema debe normalizar distintos formatos de teléfono y validar que el número esté afiliado al servicio SINPE.</w:t>
      </w:r>
    </w:p>
    <w:p>
      <w:r>
        <w:t>RN-005: La solicitud exige OTP para montos superiores a ₡50.000, dispositivos no reconocidos o si la política de riesgo lo exige. El OTP tiene vencimiento de 5 minutos y máximo 3 intentos.</w:t>
      </w:r>
    </w:p>
    <w:p>
      <w:r>
        <w:t>RN-006: La operación debe registrar un Transaction ID y un Idempotency Key para prevenir duplicados o reenvíos de transacciones.</w:t>
      </w:r>
    </w:p>
    <w:p>
      <w:r>
        <w:t>RN-007: Si SINPE no responde, el sistema reintenta hasta 3 veces; luego la operación queda fallida o pendiente según el estado de confirmación final.</w:t>
      </w:r>
    </w:p>
    <w:p>
      <w:r>
        <w:t>RN-008: En caso de reverso, se debe restaurar el saldo y emitir comprobante de reversión asociado a la operación original.</w:t>
      </w:r>
    </w:p>
    <w:p>
      <w:r>
        <w:t>RN-009: Si la sesión expira antes de confirmar, la operación se cancela; si la sesión expira durante el procesamiento, el backend continúa y la transacción puede consultarse posteriormente.</w:t>
      </w:r>
    </w:p>
    <w:p>
      <w:r>
        <w:t>RN-010: El comprobante y la auditoría deben incluir la información mínima definida por la HU, con usuario, IP, navegador, dispositivo, request/response, Transaction ID y resultado.</w:t>
      </w:r>
    </w:p>
    <w:p>
      <w:pPr>
        <w:pStyle w:val="Heading1"/>
      </w:pPr>
      <w:r>
        <w:t>Escenarios Positivos</w:t>
      </w:r>
    </w:p>
    <w:p>
      <w:r>
        <w:t>EP-001: Cliente autenticado con saldo suficiente, número afiliado válido, monto dentro de límites y sin OTP requerido; la transacción se procesa, se emite comprobante y se actualiza saldo.</w:t>
      </w:r>
    </w:p>
    <w:p>
      <w:r>
        <w:t>EP-002: Cliente autenticado con monto mayor a ₡50.000 y OTP válido; el sistema valida la solicitud, solicita OTP, lo acepta y procesa la transferencia exitosamente.</w:t>
      </w:r>
    </w:p>
    <w:p>
      <w:pPr>
        <w:pStyle w:val="Heading1"/>
      </w:pPr>
      <w:r>
        <w:t>Escenarios Negativos</w:t>
      </w:r>
    </w:p>
    <w:p>
      <w:r>
        <w:t>EN-001: El cliente intenta transferir con fondos insuficientes; el sistema devuelve el mensaje SM001 y no debita el monto.</w:t>
      </w:r>
    </w:p>
    <w:p>
      <w:r>
        <w:t>EN-002: El teléfono no está afiliado al servicio SINPE; se rechaza la operación y se muestra el mensaje SM002 antes del débito.</w:t>
      </w:r>
    </w:p>
    <w:p>
      <w:pPr>
        <w:pStyle w:val="Heading1"/>
      </w:pPr>
      <w:r>
        <w:t>Escenarios Alternativos</w:t>
      </w:r>
    </w:p>
    <w:p>
      <w:r>
        <w:t>EA-001: El cliente envía una solicitud duplicada o hace doble clic; el sistema debe detectar la idempotencia y evitar un segundo débito.</w:t>
      </w:r>
    </w:p>
    <w:p>
      <w:r>
        <w:t>EA-002: El servicio SINPE responde con error temporal; el sistema realiza reintentos y, si no logra confirmación, marca la operación como fallida o pendiente según el estado final.</w:t>
      </w:r>
    </w:p>
    <w:p>
      <w:pPr>
        <w:pStyle w:val="Heading1"/>
      </w:pPr>
      <w:r>
        <w:t>Casos Límite</w:t>
      </w:r>
    </w:p>
    <w:p>
      <w:r>
        <w:t>CL-001: Monto exacto de ₡500.000 en una transacción y límite diario aún disponible; debe ser permitido.</w:t>
      </w:r>
    </w:p>
    <w:p>
      <w:r>
        <w:t>CL-002: Monto exacto de ₡2.000.000 acumulado diario y validación del límite diario; la solicitud debe rechazarse.</w:t>
      </w:r>
    </w:p>
    <w:p>
      <w:pPr>
        <w:pStyle w:val="Heading1"/>
      </w:pPr>
      <w:r>
        <w:t>Riesgos Funcionales</w:t>
      </w:r>
    </w:p>
    <w:p>
      <w:r>
        <w:t>RF-001: La falta de un control estricto de idempotencia puede provocar duplicidad de transferencias y débito múltiple por reintento o doble clic.</w:t>
      </w:r>
    </w:p>
    <w:p>
      <w:r>
        <w:t>RF-002: La pérdida o ausencia de trazabilidad en request/response, Transaction ID o auditoría puede impedir investigación de incidentes o reversos correctos.</w:t>
      </w:r>
    </w:p>
    <w:p>
      <w:pPr>
        <w:pStyle w:val="Heading1"/>
      </w:pPr>
      <w:r>
        <w:t>Cobertura Recomendada</w:t>
      </w:r>
    </w:p>
    <w:p>
      <w:r>
        <w:t>Happy Path: flujo completo desde autenticación hasta comprobante final. Positivos: transferencias dentro de límites, con y sin OTP, y números con distintos formatos validados. Negativos: fondos insuficientes, número no afiliado, OTP incorrecto, OTP expirado, límite diario excedido, límite por transacción excedido, servicio no disponible, cuenta bloqueada, sesión expirada y error interno. Alternativos: duplicidad, reintentos y comportamiento del servicio SINPE con demora o falla. Casos límite: valores máximos de monto y límite diario. Manejo de errores: mensajes funcionales, estados pendientes/fallidos, registros de auditoría y reverso. Seguridad funcional: validación de OTP, bloqueo de cuenta, control de sesión, idempotencia, trazabilidad y normalización de teléfono. Validaciones: formato, afiliación, saldo, límites, riesgo, comisión y comprobante.</w:t>
      </w:r>
    </w:p>
    <w:p>
      <w:pPr>
        <w:pStyle w:val="Heading1"/>
      </w:pPr>
      <w:r>
        <w:t>Conclusiones</w:t>
      </w:r>
    </w:p>
    <w:p>
      <w:r>
        <w:t>La historia define un flujo funcional claro y medible para transferencias SINPE Móvil desde Web Banking, con reglas de negocio explícitas, controles de seguridad y mediciones de auditoría. La operación requiere validación previa al débito, control de idempotencia e integridad de la información. La HU contiene datos suficientes para realizar un análisis funcional estructurado sin requerir suposiciones. Se recomienda validar en pruebas de integración con SINPE y de riesgo que las condiciones de OTP, límites y reversos se ejecuten como se especifica en la historia.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