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1B3A5C"/>
          <w:sz w:val="72"/>
          <w:szCs w:val="72"/>
        </w:rPr>
        <w:t xml:space="preserve">GrainTrack3D</w:t>
      </w:r>
    </w:p>
    <w:p>
      <w:pPr>
        <w:spacing w:after="100"/>
        <w:jc w:val="center"/>
      </w:pPr>
      <w:r>
        <w:rPr>
          <w:rFonts w:ascii="Arial" w:cs="Arial" w:eastAsia="Arial" w:hAnsi="Arial"/>
          <w:i/>
          <w:iCs/>
          <w:color w:val="1B3A5C"/>
          <w:sz w:val="32"/>
          <w:szCs w:val="32"/>
        </w:rPr>
        <w:t xml:space="preserve">Document d'étape — v1.3.0</w:t>
      </w:r>
    </w:p>
    <w:p>
      <w:pPr>
        <w:spacing w:after="300"/>
        <w:jc w:val="center"/>
      </w:pPr>
      <w:r>
        <w:rPr>
          <w:rFonts w:ascii="Arial" w:cs="Arial" w:eastAsia="Arial" w:hAnsi="Arial"/>
          <w:i/>
          <w:iCs/>
          <w:color w:val="666666"/>
          <w:sz w:val="28"/>
          <w:szCs w:val="28"/>
        </w:rPr>
        <w:t xml:space="preserve">19 mai 2026</w:t>
      </w:r>
    </w:p>
    <w:p>
      <w:pPr>
        <w:spacing w:after="120"/>
      </w:pPr>
    </w:p>
    <w:p>
      <w:pPr>
        <w:spacing w:after="100"/>
        <w:jc w:val="center"/>
      </w:pPr>
      <w:r>
        <w:rPr>
          <w:rFonts w:ascii="Arial" w:cs="Arial" w:eastAsia="Arial" w:hAnsi="Arial"/>
          <w:sz w:val="28"/>
          <w:szCs w:val="28"/>
        </w:rPr>
        <w:t xml:space="preserve">Tracking maritime 3D en temps réel des vraquiers céréaliers</w:t>
      </w:r>
    </w:p>
    <w:p>
      <w:pPr>
        <w:spacing w:after="120"/>
      </w:pPr>
    </w:p>
    <w:p>
      <w:pPr>
        <w:spacing w:after="60"/>
        <w:jc w:val="center"/>
      </w:pPr>
      <w:r>
        <w:rPr>
          <w:rFonts w:ascii="Arial" w:cs="Arial" w:eastAsia="Arial" w:hAnsi="Arial"/>
          <w:color w:val="666666"/>
          <w:sz w:val="24"/>
          <w:szCs w:val="24"/>
        </w:rPr>
        <w:t xml:space="preserve">Projet CargoSphere — Licence MIT</w:t>
      </w:r>
    </w:p>
    <w:p>
      <w:pPr>
        <w:jc w:val="center"/>
      </w:pPr>
      <w:r>
        <w:rPr>
          <w:rFonts w:ascii="Arial" w:cs="Arial" w:eastAsia="Arial" w:hAnsi="Arial"/>
          <w:color w:val="2E75B6"/>
          <w:sz w:val="24"/>
          <w:szCs w:val="24"/>
        </w:rPr>
        <w:t xml:space="preserve">https://grain-track3-d.vercel.app</w:t>
      </w:r>
    </w:p>
    <w:p>
      <w:r>
        <w:br w:type="page"/>
      </w:r>
    </w:p>
    <w:p>
      <w:pPr>
        <w:spacing w:after="200"/>
      </w:pPr>
      <w:r>
        <w:rPr>
          <w:rFonts w:ascii="Arial" w:cs="Arial" w:eastAsia="Arial" w:hAnsi="Arial"/>
          <w:b/>
          <w:bCs/>
          <w:color w:val="1B3A5C"/>
          <w:sz w:val="56"/>
          <w:szCs w:val="56"/>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rFonts w:ascii="Arial" w:cs="Arial" w:eastAsia="Arial" w:hAnsi="Arial"/>
          <w:b/>
          <w:bCs/>
          <w:color w:val="1B3A5C"/>
          <w:sz w:val="56"/>
          <w:szCs w:val="56"/>
        </w:rPr>
        <w:t xml:space="preserve">1. Présentation du projet</w:t>
      </w:r>
    </w:p>
    <w:p>
      <w:pPr>
        <w:spacing w:after="120"/>
      </w:pPr>
      <w:r>
        <w:rPr>
          <w:rFonts w:ascii="Arial" w:cs="Arial" w:eastAsia="Arial" w:hAnsi="Arial"/>
          <w:sz w:val="24"/>
          <w:szCs w:val="24"/>
        </w:rPr>
        <w:t xml:space="preserve">GrainTrack3D est une application web de tracking maritime en temps réel. Elle affiche les vraquiers céréaliers (codes AIS 70-79) sur un globe 3D interactif, avec des données provenant de l'API AISStream.io en WebSocket.</w:t>
      </w:r>
    </w:p>
    <w:p>
      <w:pPr>
        <w:spacing w:after="120"/>
      </w:pPr>
      <w:r>
        <w:rPr>
          <w:rFonts w:ascii="Arial" w:cs="Arial" w:eastAsia="Arial" w:hAnsi="Arial"/>
          <w:sz w:val="24"/>
          <w:szCs w:val="24"/>
        </w:rPr>
        <w:t xml:space="preserve">L'application fait partie de l'écosystème CargoSphere (licence MIT), aux côtés de GrainWatch (suivi des prix agricoles, déployé sur GitHub Pages). À terme, GrainTrack3D sera intégré comme composant dans GrainWatch.</w:t>
      </w:r>
    </w:p>
    <w:p>
      <w:pPr>
        <w:spacing w:after="120"/>
      </w:pPr>
      <w:r>
        <w:rPr>
          <w:rFonts w:ascii="Arial" w:cs="Arial" w:eastAsia="Arial" w:hAnsi="Arial"/>
          <w:b/>
          <w:bCs/>
          <w:sz w:val="24"/>
          <w:szCs w:val="24"/>
        </w:rPr>
        <w:t xml:space="preserve">URL de production : </w:t>
      </w:r>
      <w:r>
        <w:rPr>
          <w:rFonts w:ascii="Arial" w:cs="Arial" w:eastAsia="Arial" w:hAnsi="Arial"/>
          <w:color w:val="2E75B6"/>
          <w:sz w:val="24"/>
          <w:szCs w:val="24"/>
        </w:rPr>
        <w:t xml:space="preserve">https://grain-track3-d.vercel.app</w:t>
      </w:r>
    </w:p>
    <w:p>
      <w:pPr>
        <w:spacing w:after="120"/>
      </w:pPr>
    </w:p>
    <w:p>
      <w:pPr>
        <w:pStyle w:val="Heading2"/>
        <w:spacing w:after="100" w:before="200"/>
      </w:pPr>
      <w:r>
        <w:rPr>
          <w:rFonts w:ascii="Arial" w:cs="Arial" w:eastAsia="Arial" w:hAnsi="Arial"/>
          <w:b/>
          <w:bCs/>
          <w:color w:val="1B3A5C"/>
          <w:sz w:val="48"/>
          <w:szCs w:val="48"/>
        </w:rPr>
        <w:t xml:space="preserve">1.1 Stack technique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CCCCCC" w:sz="1"/>
              <w:left w:val="single" w:color="CCCCCC" w:sz="1"/>
              <w:bottom w:val="single" w:color="CCCCCC" w:sz="1"/>
              <w:right w:val="single" w:color="CCCCCC" w:sz="1"/>
            </w:tcBorders>
            <w:shd w:fill="D5E8F0" w:color="D5E8F0" w:val="solid"/>
          </w:tcPr>
          <w:p>
            <w:pPr>
              <w:spacing w:after="40" w:before="40"/>
            </w:pPr>
            <w:r>
              <w:rPr>
                <w:rFonts w:ascii="Arial" w:cs="Arial" w:eastAsia="Arial" w:hAnsi="Arial"/>
                <w:b/>
                <w:bCs/>
                <w:sz w:val="22"/>
                <w:szCs w:val="22"/>
              </w:rPr>
              <w:t xml:space="preserve">Couche</w:t>
            </w:r>
          </w:p>
        </w:tc>
        <w:tc>
          <w:tcPr>
            <w:tcW w:type="dxa" w:w="6360"/>
            <w:tcBorders>
              <w:top w:val="single" w:color="CCCCCC" w:sz="1"/>
              <w:left w:val="single" w:color="CCCCCC" w:sz="1"/>
              <w:bottom w:val="single" w:color="CCCCCC" w:sz="1"/>
              <w:right w:val="single" w:color="CCCCCC" w:sz="1"/>
            </w:tcBorders>
            <w:shd w:fill="D5E8F0" w:color="D5E8F0" w:val="solid"/>
          </w:tcPr>
          <w:p>
            <w:pPr>
              <w:spacing w:after="40" w:before="40"/>
            </w:pPr>
            <w:r>
              <w:rPr>
                <w:rFonts w:ascii="Arial" w:cs="Arial" w:eastAsia="Arial" w:hAnsi="Arial"/>
                <w:b/>
                <w:bCs/>
                <w:sz w:val="22"/>
                <w:szCs w:val="22"/>
              </w:rPr>
              <w:t xml:space="preserve">Technologie</w:t>
            </w:r>
          </w:p>
        </w:tc>
      </w:tr>
      <w:tr>
        <w:tc>
          <w:tcPr>
            <w:tcW w:type="dxa" w:w="30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Framework</w:t>
            </w:r>
          </w:p>
        </w:tc>
        <w:tc>
          <w:tcPr>
            <w:tcW w:type="dxa" w:w="63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React 19 + Vite 8</w:t>
            </w:r>
          </w:p>
        </w:tc>
      </w:tr>
      <w:tr>
        <w:tc>
          <w:tcPr>
            <w:tcW w:type="dxa" w:w="30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Rendu 3D</w:t>
            </w:r>
          </w:p>
        </w:tc>
        <w:tc>
          <w:tcPr>
            <w:tcW w:type="dxa" w:w="63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Three.js + React Three Fiber + Drei</w:t>
            </w:r>
          </w:p>
        </w:tc>
      </w:tr>
      <w:tr>
        <w:tc>
          <w:tcPr>
            <w:tcW w:type="dxa" w:w="30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State management</w:t>
            </w:r>
          </w:p>
        </w:tc>
        <w:tc>
          <w:tcPr>
            <w:tcW w:type="dxa" w:w="63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Zustand (avec subscribeWithSelector)</w:t>
            </w:r>
          </w:p>
        </w:tc>
      </w:tr>
      <w:tr>
        <w:tc>
          <w:tcPr>
            <w:tcW w:type="dxa" w:w="30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Données AIS</w:t>
            </w:r>
          </w:p>
        </w:tc>
        <w:tc>
          <w:tcPr>
            <w:tcW w:type="dxa" w:w="63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AISStream.io (WebSocket temps réel)</w:t>
            </w:r>
          </w:p>
        </w:tc>
      </w:tr>
      <w:tr>
        <w:tc>
          <w:tcPr>
            <w:tcW w:type="dxa" w:w="30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Géo-projection</w:t>
            </w:r>
          </w:p>
        </w:tc>
        <w:tc>
          <w:tcPr>
            <w:tcW w:type="dxa" w:w="63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Trigonométrie directe (lat/lon vers sphère 3D)</w:t>
            </w:r>
          </w:p>
        </w:tc>
      </w:tr>
      <w:tr>
        <w:tc>
          <w:tcPr>
            <w:tcW w:type="dxa" w:w="30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Déploiement</w:t>
            </w:r>
          </w:p>
        </w:tc>
        <w:tc>
          <w:tcPr>
            <w:tcW w:type="dxa" w:w="63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Vercel (SPA + Serverless Function)</w:t>
            </w:r>
          </w:p>
        </w:tc>
      </w:tr>
      <w:tr>
        <w:tc>
          <w:tcPr>
            <w:tcW w:type="dxa" w:w="30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Persistence locale</w:t>
            </w:r>
          </w:p>
        </w:tc>
        <w:tc>
          <w:tcPr>
            <w:tcW w:type="dxa" w:w="63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localStorage (zones, préférences)</w:t>
            </w:r>
          </w:p>
        </w:tc>
      </w:tr>
    </w:tbl>
    <w:p>
      <w:pPr>
        <w:spacing w:after="120"/>
      </w:pPr>
    </w:p>
    <w:p>
      <w:pPr>
        <w:pStyle w:val="Heading2"/>
        <w:spacing w:after="100" w:before="200"/>
      </w:pPr>
      <w:r>
        <w:rPr>
          <w:rFonts w:ascii="Arial" w:cs="Arial" w:eastAsia="Arial" w:hAnsi="Arial"/>
          <w:b/>
          <w:bCs/>
          <w:color w:val="1B3A5C"/>
          <w:sz w:val="48"/>
          <w:szCs w:val="48"/>
        </w:rPr>
        <w:t xml:space="preserve">1.2 Dépendances (zéro bloat)</w:t>
      </w:r>
    </w:p>
    <w:p>
      <w:pPr>
        <w:spacing w:after="120"/>
      </w:pPr>
      <w:r>
        <w:rPr>
          <w:rFonts w:ascii="Arial" w:cs="Arial" w:eastAsia="Arial" w:hAnsi="Arial"/>
          <w:sz w:val="24"/>
          <w:szCs w:val="24"/>
        </w:rPr>
        <w:t xml:space="preserve">7 dépendances de production uniquement : react, react-dom, three, @react-three/fiber, @react-three/drei, zustand, d3-geo. Aucune librairie CSS, aucun framework UI, aucun bundler additionnel. Le CSS est écrit à la main dans un seul fichier index.css.</w:t>
      </w:r>
    </w:p>
    <w:p>
      <w:r>
        <w:br w:type="page"/>
      </w:r>
    </w:p>
    <w:p>
      <w:pPr>
        <w:pStyle w:val="Heading1"/>
        <w:spacing w:after="120" w:before="240"/>
      </w:pPr>
      <w:r>
        <w:rPr>
          <w:rFonts w:ascii="Arial" w:cs="Arial" w:eastAsia="Arial" w:hAnsi="Arial"/>
          <w:b/>
          <w:bCs/>
          <w:color w:val="1B3A5C"/>
          <w:sz w:val="56"/>
          <w:szCs w:val="56"/>
        </w:rPr>
        <w:t xml:space="preserve">2. Historique des versions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tcBorders>
              <w:top w:val="single" w:color="CCCCCC" w:sz="1"/>
              <w:left w:val="single" w:color="CCCCCC" w:sz="1"/>
              <w:bottom w:val="single" w:color="CCCCCC" w:sz="1"/>
              <w:right w:val="single" w:color="CCCCCC" w:sz="1"/>
            </w:tcBorders>
            <w:shd w:fill="D5E8F0" w:color="D5E8F0" w:val="solid"/>
          </w:tcPr>
          <w:p>
            <w:pPr>
              <w:spacing w:after="40" w:before="40"/>
            </w:pPr>
            <w:r>
              <w:rPr>
                <w:rFonts w:ascii="Arial" w:cs="Arial" w:eastAsia="Arial" w:hAnsi="Arial"/>
                <w:b/>
                <w:bCs/>
                <w:sz w:val="22"/>
                <w:szCs w:val="22"/>
              </w:rPr>
              <w:t xml:space="preserve">Version</w:t>
            </w:r>
          </w:p>
        </w:tc>
        <w:tc>
          <w:tcPr>
            <w:tcW w:type="dxa" w:w="1600"/>
            <w:tcBorders>
              <w:top w:val="single" w:color="CCCCCC" w:sz="1"/>
              <w:left w:val="single" w:color="CCCCCC" w:sz="1"/>
              <w:bottom w:val="single" w:color="CCCCCC" w:sz="1"/>
              <w:right w:val="single" w:color="CCCCCC" w:sz="1"/>
            </w:tcBorders>
            <w:shd w:fill="D5E8F0" w:color="D5E8F0" w:val="solid"/>
          </w:tcPr>
          <w:p>
            <w:pPr>
              <w:spacing w:after="40" w:before="40"/>
            </w:pPr>
            <w:r>
              <w:rPr>
                <w:rFonts w:ascii="Arial" w:cs="Arial" w:eastAsia="Arial" w:hAnsi="Arial"/>
                <w:b/>
                <w:bCs/>
                <w:sz w:val="22"/>
                <w:szCs w:val="22"/>
              </w:rPr>
              <w:t xml:space="preserve">Date</w:t>
            </w:r>
          </w:p>
        </w:tc>
        <w:tc>
          <w:tcPr>
            <w:tcW w:type="dxa" w:w="1600"/>
            <w:tcBorders>
              <w:top w:val="single" w:color="CCCCCC" w:sz="1"/>
              <w:left w:val="single" w:color="CCCCCC" w:sz="1"/>
              <w:bottom w:val="single" w:color="CCCCCC" w:sz="1"/>
              <w:right w:val="single" w:color="CCCCCC" w:sz="1"/>
            </w:tcBorders>
            <w:shd w:fill="D5E8F0" w:color="D5E8F0" w:val="solid"/>
          </w:tcPr>
          <w:p>
            <w:pPr>
              <w:spacing w:after="40" w:before="40"/>
            </w:pPr>
            <w:r>
              <w:rPr>
                <w:rFonts w:ascii="Arial" w:cs="Arial" w:eastAsia="Arial" w:hAnsi="Arial"/>
                <w:b/>
                <w:bCs/>
                <w:sz w:val="22"/>
                <w:szCs w:val="22"/>
              </w:rPr>
              <w:t xml:space="preserve">Étape</w:t>
            </w:r>
          </w:p>
        </w:tc>
        <w:tc>
          <w:tcPr>
            <w:tcW w:type="dxa" w:w="4960"/>
            <w:tcBorders>
              <w:top w:val="single" w:color="CCCCCC" w:sz="1"/>
              <w:left w:val="single" w:color="CCCCCC" w:sz="1"/>
              <w:bottom w:val="single" w:color="CCCCCC" w:sz="1"/>
              <w:right w:val="single" w:color="CCCCCC" w:sz="1"/>
            </w:tcBorders>
            <w:shd w:fill="D5E8F0" w:color="D5E8F0" w:val="solid"/>
          </w:tcPr>
          <w:p>
            <w:pPr>
              <w:spacing w:after="40" w:before="40"/>
            </w:pPr>
            <w:r>
              <w:rPr>
                <w:rFonts w:ascii="Arial" w:cs="Arial" w:eastAsia="Arial" w:hAnsi="Arial"/>
                <w:b/>
                <w:bCs/>
                <w:sz w:val="22"/>
                <w:szCs w:val="22"/>
              </w:rPr>
              <w:t xml:space="preserve">Description</w:t>
            </w:r>
          </w:p>
        </w:tc>
      </w:tr>
      <w:tr>
        <w:tc>
          <w:tcPr>
            <w:tcW w:type="dxa" w:w="12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1.0.0</w:t>
            </w:r>
          </w:p>
        </w:tc>
        <w:tc>
          <w:tcPr>
            <w:tcW w:type="dxa" w:w="16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13 mai 2026</w:t>
            </w:r>
          </w:p>
        </w:tc>
        <w:tc>
          <w:tcPr>
            <w:tcW w:type="dxa" w:w="16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Étapes 1-5</w:t>
            </w:r>
          </w:p>
        </w:tc>
        <w:tc>
          <w:tcPr>
            <w:tcW w:type="dxa" w:w="49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Première release publique. Globe 3D, flux AIS temps réel, marqueurs, panneau de détails, HUD, déploiement Vercel.</w:t>
            </w:r>
          </w:p>
        </w:tc>
      </w:tr>
      <w:tr>
        <w:tc>
          <w:tcPr>
            <w:tcW w:type="dxa" w:w="12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1.1.0</w:t>
            </w:r>
          </w:p>
        </w:tc>
        <w:tc>
          <w:tcPr>
            <w:tcW w:type="dxa" w:w="16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15 mai 2026</w:t>
            </w:r>
          </w:p>
        </w:tc>
        <w:tc>
          <w:tcPr>
            <w:tcW w:type="dxa" w:w="16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Étape 6</w:t>
            </w:r>
          </w:p>
        </w:tc>
        <w:tc>
          <w:tcPr>
            <w:tcW w:type="dxa" w:w="49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Filtre céréales par port de destination. 12 céréales, ~130 ports mondiaux, matching bidirectionnel tolérant.</w:t>
            </w:r>
          </w:p>
        </w:tc>
      </w:tr>
      <w:tr>
        <w:tc>
          <w:tcPr>
            <w:tcW w:type="dxa" w:w="12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1.1.1</w:t>
            </w:r>
          </w:p>
        </w:tc>
        <w:tc>
          <w:tcPr>
            <w:tcW w:type="dxa" w:w="16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18 mai 2026</w:t>
            </w:r>
          </w:p>
        </w:tc>
        <w:tc>
          <w:tcPr>
            <w:tcW w:type="dxa" w:w="16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Audit sécurité</w:t>
            </w:r>
          </w:p>
        </w:tc>
        <w:tc>
          <w:tcPr>
            <w:tcW w:type="dxa" w:w="49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Hardening défensif : validation coordonnées, plafond Map/Set, limite reconnexion, headers CSP Vercel.</w:t>
            </w:r>
          </w:p>
        </w:tc>
      </w:tr>
      <w:tr>
        <w:tc>
          <w:tcPr>
            <w:tcW w:type="dxa" w:w="12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1.2.0</w:t>
            </w:r>
          </w:p>
        </w:tc>
        <w:tc>
          <w:tcPr>
            <w:tcW w:type="dxa" w:w="16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18 mai 2026</w:t>
            </w:r>
          </w:p>
        </w:tc>
        <w:tc>
          <w:tcPr>
            <w:tcW w:type="dxa" w:w="16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Étape 7</w:t>
            </w:r>
          </w:p>
        </w:tc>
        <w:tc>
          <w:tcPr>
            <w:tcW w:type="dxa" w:w="49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Améliorations UX : badges confiance, auto-rotation, bandeau synthèse, toolbar export, correctif Google Translate.</w:t>
            </w:r>
          </w:p>
        </w:tc>
      </w:tr>
      <w:tr>
        <w:tc>
          <w:tcPr>
            <w:tcW w:type="dxa" w:w="12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1.3.0</w:t>
            </w:r>
          </w:p>
        </w:tc>
        <w:tc>
          <w:tcPr>
            <w:tcW w:type="dxa" w:w="16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19 mai 2026</w:t>
            </w:r>
          </w:p>
        </w:tc>
        <w:tc>
          <w:tcPr>
            <w:tcW w:type="dxa" w:w="16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Étape 8</w:t>
            </w:r>
          </w:p>
        </w:tc>
        <w:tc>
          <w:tcPr>
            <w:tcW w:type="dxa" w:w="49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Sélecteur multi-zones géographiques, welcome toast, persistence localStorage.</w:t>
            </w:r>
          </w:p>
        </w:tc>
      </w:tr>
    </w:tbl>
    <w:p>
      <w:r>
        <w:br w:type="page"/>
      </w:r>
    </w:p>
    <w:p>
      <w:pPr>
        <w:pStyle w:val="Heading1"/>
        <w:spacing w:after="120" w:before="240"/>
      </w:pPr>
      <w:r>
        <w:rPr>
          <w:rFonts w:ascii="Arial" w:cs="Arial" w:eastAsia="Arial" w:hAnsi="Arial"/>
          <w:b/>
          <w:bCs/>
          <w:color w:val="1B3A5C"/>
          <w:sz w:val="56"/>
          <w:szCs w:val="56"/>
        </w:rPr>
        <w:t xml:space="preserve">3. Travail réalisé — Session du 18 mai (Étape 7, v1.2.0)</w:t>
      </w:r>
    </w:p>
    <w:p>
      <w:pPr>
        <w:pStyle w:val="Heading2"/>
        <w:spacing w:after="100" w:before="200"/>
      </w:pPr>
      <w:r>
        <w:rPr>
          <w:rFonts w:ascii="Arial" w:cs="Arial" w:eastAsia="Arial" w:hAnsi="Arial"/>
          <w:b/>
          <w:bCs/>
          <w:color w:val="1B3A5C"/>
          <w:sz w:val="48"/>
          <w:szCs w:val="48"/>
        </w:rPr>
        <w:t xml:space="preserve">3.1 Badges céréales à opacité variable</w:t>
      </w:r>
    </w:p>
    <w:p>
      <w:pPr>
        <w:spacing w:after="120"/>
      </w:pPr>
      <w:r>
        <w:rPr>
          <w:rFonts w:ascii="Arial" w:cs="Arial" w:eastAsia="Arial" w:hAnsi="Arial"/>
          <w:sz w:val="24"/>
          <w:szCs w:val="24"/>
        </w:rPr>
        <w:t xml:space="preserve">L'InfoPanel affiche désormais les céréales probables associées à la destination d'un navire avec une opacité proportionnelle à la fiabilité du matching. Un port spécialisé (1-2 céréales) affiche les badges à pleine opacité. Un port mixte (3-5 céréales) les affiche à 70%. Un port généraliste (6+ céréales) ou un alias court (3 caractères ou moins) les affiche à 40%.</w:t>
      </w:r>
    </w:p>
    <w:p>
      <w:pPr>
        <w:spacing w:after="120"/>
      </w:pPr>
      <w:r>
        <w:rPr>
          <w:rFonts w:ascii="Arial" w:cs="Arial" w:eastAsia="Arial" w:hAnsi="Arial"/>
          <w:sz w:val="24"/>
          <w:szCs w:val="24"/>
        </w:rPr>
        <w:t xml:space="preserve">La fonction getMatchingGrains() retourne désormais un objet { grainKey, confidence }. Un index lazy getPortGrainCount() dans portMatcher.js compte le nombre de céréales par port pour calculer la confiance.</w:t>
      </w:r>
    </w:p>
    <w:p>
      <w:pPr>
        <w:spacing w:after="120"/>
      </w:pPr>
    </w:p>
    <w:p>
      <w:pPr>
        <w:pStyle w:val="Heading2"/>
        <w:spacing w:after="100" w:before="200"/>
      </w:pPr>
      <w:r>
        <w:rPr>
          <w:rFonts w:ascii="Arial" w:cs="Arial" w:eastAsia="Arial" w:hAnsi="Arial"/>
          <w:b/>
          <w:bCs/>
          <w:color w:val="1B3A5C"/>
          <w:sz w:val="48"/>
          <w:szCs w:val="48"/>
        </w:rPr>
        <w:t xml:space="preserve">3.2 Auto-rotation du globe</w:t>
      </w:r>
    </w:p>
    <w:p>
      <w:pPr>
        <w:spacing w:after="120"/>
      </w:pPr>
      <w:r>
        <w:rPr>
          <w:rFonts w:ascii="Arial" w:cs="Arial" w:eastAsia="Arial" w:hAnsi="Arial"/>
          <w:sz w:val="24"/>
          <w:szCs w:val="24"/>
        </w:rPr>
        <w:t xml:space="preserve">Le globe tourne lentement au chargement (vitesse 0.5). La rotation s'arrête définitivement au premier clic ou scroll de l'utilisateur (comportement one-shot).</w:t>
      </w:r>
    </w:p>
    <w:p>
      <w:pPr>
        <w:spacing w:after="120"/>
      </w:pPr>
    </w:p>
    <w:p>
      <w:pPr>
        <w:pStyle w:val="Heading2"/>
        <w:spacing w:after="100" w:before="200"/>
      </w:pPr>
      <w:r>
        <w:rPr>
          <w:rFonts w:ascii="Arial" w:cs="Arial" w:eastAsia="Arial" w:hAnsi="Arial"/>
          <w:b/>
          <w:bCs/>
          <w:color w:val="1B3A5C"/>
          <w:sz w:val="48"/>
          <w:szCs w:val="48"/>
        </w:rPr>
        <w:t xml:space="preserve">3.3 Bandeau de synthèse (SummaryBanner)</w:t>
      </w:r>
    </w:p>
    <w:p>
      <w:pPr>
        <w:spacing w:after="120"/>
      </w:pPr>
      <w:r>
        <w:rPr>
          <w:rFonts w:ascii="Arial" w:cs="Arial" w:eastAsia="Arial" w:hAnsi="Arial"/>
          <w:sz w:val="24"/>
          <w:szCs w:val="24"/>
        </w:rPr>
        <w:t xml:space="preserve">Un bandeau centré en haut de l'écran affiche en temps réel le nombre de vraquiers visibles et la céréale filtrée le cas échéant. Exemple : "● 158 vraquiers 🌾 Blé en transit — Atlantique Nord". Le bandeau est transparent aux clics (pointer-events: none) pour ne pas bloquer l'interaction avec le globe.</w:t>
      </w:r>
    </w:p>
    <w:p>
      <w:pPr>
        <w:spacing w:after="120"/>
      </w:pPr>
    </w:p>
    <w:p>
      <w:pPr>
        <w:pStyle w:val="Heading2"/>
        <w:spacing w:after="100" w:before="200"/>
      </w:pPr>
      <w:r>
        <w:rPr>
          <w:rFonts w:ascii="Arial" w:cs="Arial" w:eastAsia="Arial" w:hAnsi="Arial"/>
          <w:b/>
          <w:bCs/>
          <w:color w:val="1B3A5C"/>
          <w:sz w:val="48"/>
          <w:szCs w:val="48"/>
        </w:rPr>
        <w:t xml:space="preserve">3.4 Toolbar extensible</w:t>
      </w:r>
    </w:p>
    <w:p>
      <w:pPr>
        <w:spacing w:after="120"/>
      </w:pPr>
      <w:r>
        <w:rPr>
          <w:rFonts w:ascii="Arial" w:cs="Arial" w:eastAsia="Arial" w:hAnsi="Arial"/>
          <w:sz w:val="24"/>
          <w:szCs w:val="24"/>
        </w:rPr>
        <w:t xml:space="preserve">Un menu "⋮" en bas à droite regroupe les actions : Capture PNG (screenshot du globe avec fond noir pour compatibilité iOS), Export Markdown (tableau des navires au format .md), Zones maritimes, et À propos. Le menu se décale quand le panneau de détails est ouvert.</w:t>
      </w:r>
    </w:p>
    <w:p>
      <w:pPr>
        <w:spacing w:after="120"/>
      </w:pPr>
    </w:p>
    <w:p>
      <w:pPr>
        <w:pStyle w:val="Heading2"/>
        <w:spacing w:after="100" w:before="200"/>
      </w:pPr>
      <w:r>
        <w:rPr>
          <w:rFonts w:ascii="Arial" w:cs="Arial" w:eastAsia="Arial" w:hAnsi="Arial"/>
          <w:b/>
          <w:bCs/>
          <w:color w:val="1B3A5C"/>
          <w:sz w:val="48"/>
          <w:szCs w:val="48"/>
        </w:rPr>
        <w:t xml:space="preserve">3.5 Écran "À propos"</w:t>
      </w:r>
    </w:p>
    <w:p>
      <w:pPr>
        <w:spacing w:after="120"/>
      </w:pPr>
      <w:r>
        <w:rPr>
          <w:rFonts w:ascii="Arial" w:cs="Arial" w:eastAsia="Arial" w:hAnsi="Arial"/>
          <w:sz w:val="24"/>
          <w:szCs w:val="24"/>
        </w:rPr>
        <w:t xml:space="preserve">Un overlay plein écran accessible depuis le menu, contenant : explication du fonctionnement, disclaimer sur le filtrage approximatif, grille des 12 céréales suivies, crédits, et numéro de version. Sur mobile, l'overlay passe en plein écran avec une barre "← Retour".</w:t>
      </w:r>
    </w:p>
    <w:p>
      <w:pPr>
        <w:spacing w:after="120"/>
      </w:pPr>
    </w:p>
    <w:p>
      <w:pPr>
        <w:pStyle w:val="Heading2"/>
        <w:spacing w:after="100" w:before="200"/>
      </w:pPr>
      <w:r>
        <w:rPr>
          <w:rFonts w:ascii="Arial" w:cs="Arial" w:eastAsia="Arial" w:hAnsi="Arial"/>
          <w:b/>
          <w:bCs/>
          <w:color w:val="1B3A5C"/>
          <w:sz w:val="48"/>
          <w:szCs w:val="48"/>
        </w:rPr>
        <w:t xml:space="preserve">3.6 Correctif Google Translate</w:t>
      </w:r>
    </w:p>
    <w:p>
      <w:pPr>
        <w:spacing w:after="120"/>
      </w:pPr>
      <w:r>
        <w:rPr>
          <w:rFonts w:ascii="Arial" w:cs="Arial" w:eastAsia="Arial" w:hAnsi="Arial"/>
          <w:sz w:val="24"/>
          <w:szCs w:val="24"/>
        </w:rPr>
        <w:t xml:space="preserve">L'attribut translate="no" sur la balise html et une balise meta empêchent les extensions de traduction de muter le DOM React, ce qui provoquait un crash (erreur insertBefore NotFoundError) sur Chrome.</w:t>
      </w:r>
    </w:p>
    <w:p>
      <w:r>
        <w:br w:type="page"/>
      </w:r>
    </w:p>
    <w:p>
      <w:pPr>
        <w:pStyle w:val="Heading1"/>
        <w:spacing w:after="120" w:before="240"/>
      </w:pPr>
      <w:r>
        <w:rPr>
          <w:rFonts w:ascii="Arial" w:cs="Arial" w:eastAsia="Arial" w:hAnsi="Arial"/>
          <w:b/>
          <w:bCs/>
          <w:color w:val="1B3A5C"/>
          <w:sz w:val="56"/>
          <w:szCs w:val="56"/>
        </w:rPr>
        <w:t xml:space="preserve">4. Travail réalisé — Session du 19 mai (Étape 8, v1.3.0)</w:t>
      </w:r>
    </w:p>
    <w:p>
      <w:pPr>
        <w:pStyle w:val="Heading2"/>
        <w:spacing w:after="100" w:before="200"/>
      </w:pPr>
      <w:r>
        <w:rPr>
          <w:rFonts w:ascii="Arial" w:cs="Arial" w:eastAsia="Arial" w:hAnsi="Arial"/>
          <w:b/>
          <w:bCs/>
          <w:color w:val="1B3A5C"/>
          <w:sz w:val="48"/>
          <w:szCs w:val="48"/>
        </w:rPr>
        <w:t xml:space="preserve">4.1 Sélecteur multi-zones géographiques</w:t>
      </w:r>
    </w:p>
    <w:p>
      <w:pPr>
        <w:spacing w:after="120"/>
      </w:pPr>
      <w:r>
        <w:rPr>
          <w:rFonts w:ascii="Arial" w:cs="Arial" w:eastAsia="Arial" w:hAnsi="Arial"/>
          <w:sz w:val="24"/>
          <w:szCs w:val="24"/>
        </w:rPr>
        <w:t xml:space="preserve">Fonctionnalité majeure de cette session. L'utilisateur peut désormais choisir jusqu'à 3 zones maritimes à surveiller simultanément, parmi 8 zones prédéfinies.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500"/>
            <w:tcBorders>
              <w:top w:val="single" w:color="CCCCCC" w:sz="1"/>
              <w:left w:val="single" w:color="CCCCCC" w:sz="1"/>
              <w:bottom w:val="single" w:color="CCCCCC" w:sz="1"/>
              <w:right w:val="single" w:color="CCCCCC" w:sz="1"/>
            </w:tcBorders>
            <w:shd w:fill="D5E8F0" w:color="D5E8F0" w:val="solid"/>
          </w:tcPr>
          <w:p>
            <w:pPr>
              <w:spacing w:after="40" w:before="40"/>
            </w:pPr>
            <w:r>
              <w:rPr>
                <w:rFonts w:ascii="Arial" w:cs="Arial" w:eastAsia="Arial" w:hAnsi="Arial"/>
                <w:b/>
                <w:bCs/>
                <w:sz w:val="22"/>
                <w:szCs w:val="22"/>
              </w:rPr>
              <w:t xml:space="preserve">Zone</w:t>
            </w:r>
          </w:p>
        </w:tc>
        <w:tc>
          <w:tcPr>
            <w:tcW w:type="dxa" w:w="1000"/>
            <w:tcBorders>
              <w:top w:val="single" w:color="CCCCCC" w:sz="1"/>
              <w:left w:val="single" w:color="CCCCCC" w:sz="1"/>
              <w:bottom w:val="single" w:color="CCCCCC" w:sz="1"/>
              <w:right w:val="single" w:color="CCCCCC" w:sz="1"/>
            </w:tcBorders>
            <w:shd w:fill="D5E8F0" w:color="D5E8F0" w:val="solid"/>
          </w:tcPr>
          <w:p>
            <w:pPr>
              <w:spacing w:after="40" w:before="40"/>
            </w:pPr>
            <w:r>
              <w:rPr>
                <w:rFonts w:ascii="Arial" w:cs="Arial" w:eastAsia="Arial" w:hAnsi="Arial"/>
                <w:b/>
                <w:bCs/>
                <w:sz w:val="22"/>
                <w:szCs w:val="22"/>
              </w:rPr>
              <w:t xml:space="preserve">Emoji</w:t>
            </w:r>
          </w:p>
        </w:tc>
        <w:tc>
          <w:tcPr>
            <w:tcW w:type="dxa" w:w="4860"/>
            <w:tcBorders>
              <w:top w:val="single" w:color="CCCCCC" w:sz="1"/>
              <w:left w:val="single" w:color="CCCCCC" w:sz="1"/>
              <w:bottom w:val="single" w:color="CCCCCC" w:sz="1"/>
              <w:right w:val="single" w:color="CCCCCC" w:sz="1"/>
            </w:tcBorders>
            <w:shd w:fill="D5E8F0" w:color="D5E8F0" w:val="solid"/>
          </w:tcPr>
          <w:p>
            <w:pPr>
              <w:spacing w:after="40" w:before="40"/>
            </w:pPr>
            <w:r>
              <w:rPr>
                <w:rFonts w:ascii="Arial" w:cs="Arial" w:eastAsia="Arial" w:hAnsi="Arial"/>
                <w:b/>
                <w:bCs/>
                <w:sz w:val="22"/>
                <w:szCs w:val="22"/>
              </w:rPr>
              <w:t xml:space="preserve">Couverture</w:t>
            </w:r>
          </w:p>
        </w:tc>
      </w:tr>
      <w:tr>
        <w:tc>
          <w:tcPr>
            <w:tcW w:type="dxa" w:w="35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Atlantique Nord</w:t>
            </w:r>
          </w:p>
        </w:tc>
        <w:tc>
          <w:tcPr>
            <w:tcW w:type="dxa" w:w="10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w:t>
            </w:r>
          </w:p>
        </w:tc>
        <w:tc>
          <w:tcPr>
            <w:tcW w:type="dxa" w:w="48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Côtes est US, Canada, Europe de l'Ouest</w:t>
            </w:r>
          </w:p>
        </w:tc>
      </w:tr>
      <w:tr>
        <w:tc>
          <w:tcPr>
            <w:tcW w:type="dxa" w:w="35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Méditerranée</w:t>
            </w:r>
          </w:p>
        </w:tc>
        <w:tc>
          <w:tcPr>
            <w:tcW w:type="dxa" w:w="10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w:t>
            </w:r>
          </w:p>
        </w:tc>
        <w:tc>
          <w:tcPr>
            <w:tcW w:type="dxa" w:w="48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Bassin méditerranéen complet</w:t>
            </w:r>
          </w:p>
        </w:tc>
      </w:tr>
      <w:tr>
        <w:tc>
          <w:tcPr>
            <w:tcW w:type="dxa" w:w="35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Mer Noire</w:t>
            </w:r>
          </w:p>
        </w:tc>
        <w:tc>
          <w:tcPr>
            <w:tcW w:type="dxa" w:w="10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w:t>
            </w:r>
          </w:p>
        </w:tc>
        <w:tc>
          <w:tcPr>
            <w:tcW w:type="dxa" w:w="48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Détroit du Bosphore à la Géorgie</w:t>
            </w:r>
          </w:p>
        </w:tc>
      </w:tr>
      <w:tr>
        <w:tc>
          <w:tcPr>
            <w:tcW w:type="dxa" w:w="35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Mer du Nord &amp; Baltique</w:t>
            </w:r>
          </w:p>
        </w:tc>
        <w:tc>
          <w:tcPr>
            <w:tcW w:type="dxa" w:w="10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w:t>
            </w:r>
          </w:p>
        </w:tc>
        <w:tc>
          <w:tcPr>
            <w:tcW w:type="dxa" w:w="48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Pays nordiques, Allemagne, Pologne</w:t>
            </w:r>
          </w:p>
        </w:tc>
      </w:tr>
      <w:tr>
        <w:tc>
          <w:tcPr>
            <w:tcW w:type="dxa" w:w="35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Golfe du Mexique &amp; Caraïbes</w:t>
            </w:r>
          </w:p>
        </w:tc>
        <w:tc>
          <w:tcPr>
            <w:tcW w:type="dxa" w:w="10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w:t>
            </w:r>
          </w:p>
        </w:tc>
        <w:tc>
          <w:tcPr>
            <w:tcW w:type="dxa" w:w="48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US Gulf, Mexique, Amérique centrale</w:t>
            </w:r>
          </w:p>
        </w:tc>
      </w:tr>
      <w:tr>
        <w:tc>
          <w:tcPr>
            <w:tcW w:type="dxa" w:w="35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Golfe Persique &amp; Mer d'Arabie</w:t>
            </w:r>
          </w:p>
        </w:tc>
        <w:tc>
          <w:tcPr>
            <w:tcW w:type="dxa" w:w="10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w:t>
            </w:r>
          </w:p>
        </w:tc>
        <w:tc>
          <w:tcPr>
            <w:tcW w:type="dxa" w:w="48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Détroit d'Ormuz, côte est-africaine</w:t>
            </w:r>
          </w:p>
        </w:tc>
      </w:tr>
      <w:tr>
        <w:tc>
          <w:tcPr>
            <w:tcW w:type="dxa" w:w="35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Asie du Sud-Est</w:t>
            </w:r>
          </w:p>
        </w:tc>
        <w:tc>
          <w:tcPr>
            <w:tcW w:type="dxa" w:w="10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w:t>
            </w:r>
          </w:p>
        </w:tc>
        <w:tc>
          <w:tcPr>
            <w:tcW w:type="dxa" w:w="48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Malaisie, Indonésie, Philippines, Vietnam</w:t>
            </w:r>
          </w:p>
        </w:tc>
      </w:tr>
      <w:tr>
        <w:tc>
          <w:tcPr>
            <w:tcW w:type="dxa" w:w="35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Océan Indien Ouest</w:t>
            </w:r>
          </w:p>
        </w:tc>
        <w:tc>
          <w:tcPr>
            <w:tcW w:type="dxa" w:w="10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w:t>
            </w:r>
          </w:p>
        </w:tc>
        <w:tc>
          <w:tcPr>
            <w:tcW w:type="dxa" w:w="48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Madagascar, Mozambique, Tanzanie</w:t>
            </w:r>
          </w:p>
        </w:tc>
      </w:tr>
    </w:tbl>
    <w:p>
      <w:pPr>
        <w:spacing w:after="120"/>
      </w:pPr>
    </w:p>
    <w:p>
      <w:pPr>
        <w:pStyle w:val="Heading3"/>
        <w:spacing w:after="80" w:before="160"/>
      </w:pPr>
      <w:r>
        <w:rPr>
          <w:rFonts w:ascii="Arial" w:cs="Arial" w:eastAsia="Arial" w:hAnsi="Arial"/>
          <w:b/>
          <w:bCs/>
          <w:color w:val="2E75B6"/>
          <w:sz w:val="40"/>
          <w:szCs w:val="40"/>
        </w:rPr>
        <w:t xml:space="preserve">Architecture technique</w:t>
      </w:r>
    </w:p>
    <w:p>
      <w:pPr>
        <w:spacing w:after="120"/>
      </w:pPr>
      <w:r>
        <w:rPr>
          <w:rFonts w:ascii="Arial" w:cs="Arial" w:eastAsia="Arial" w:hAnsi="Arial"/>
          <w:sz w:val="24"/>
          <w:szCs w:val="24"/>
        </w:rPr>
        <w:t xml:space="preserve">Le fichier maritimeZones.js exporte les 8 zones avec leurs bounding boxes au format AISStream. Le store Zustand gère selectedZones avec lecture/écriture défensive dans localStorage (try/catch pour le mode privé). Le hook useAISStream souscrit aux changements de zones via un subscriber Zustand et ferme intentionnellement le WebSocket avant de se reconnecter avec les nouvelles BoundingBoxes (pattern intentionalCloseRef pour distinguer un changement de zone d'une déconnexion réseau).</w:t>
      </w:r>
    </w:p>
    <w:p>
      <w:pPr>
        <w:spacing w:after="120"/>
      </w:pPr>
    </w:p>
    <w:p>
      <w:pPr>
        <w:pStyle w:val="Heading3"/>
        <w:spacing w:after="80" w:before="160"/>
      </w:pPr>
      <w:r>
        <w:rPr>
          <w:rFonts w:ascii="Arial" w:cs="Arial" w:eastAsia="Arial" w:hAnsi="Arial"/>
          <w:b/>
          <w:bCs/>
          <w:color w:val="2E75B6"/>
          <w:sz w:val="40"/>
          <w:szCs w:val="40"/>
        </w:rPr>
        <w:t xml:space="preserve">Garde-fous</w:t>
      </w:r>
    </w:p>
    <w:p>
      <w:pPr>
        <w:spacing w:after="120"/>
      </w:pPr>
      <w:r>
        <w:rPr>
          <w:rFonts w:ascii="Arial" w:cs="Arial" w:eastAsia="Arial" w:hAnsi="Arial"/>
          <w:sz w:val="24"/>
          <w:szCs w:val="24"/>
        </w:rPr>
        <w:t xml:space="preserve">Minimum 1 zone active (impossible de tout décocher). Maximum 3 zones simultanées (au-delà, le flux AIS devient trop lent). Les zones au-delà de la limite sont grisées avec le message "3 zones maximum — décochez-en une pour en activer une autre".</w:t>
      </w:r>
    </w:p>
    <w:p>
      <w:pPr>
        <w:spacing w:after="120"/>
      </w:pPr>
    </w:p>
    <w:p>
      <w:pPr>
        <w:pStyle w:val="Heading2"/>
        <w:spacing w:after="100" w:before="200"/>
      </w:pPr>
      <w:r>
        <w:rPr>
          <w:rFonts w:ascii="Arial" w:cs="Arial" w:eastAsia="Arial" w:hAnsi="Arial"/>
          <w:b/>
          <w:bCs/>
          <w:color w:val="1B3A5C"/>
          <w:sz w:val="48"/>
          <w:szCs w:val="48"/>
        </w:rPr>
        <w:t xml:space="preserve">4.2 Welcome Toast</w:t>
      </w:r>
    </w:p>
    <w:p>
      <w:pPr>
        <w:spacing w:after="120"/>
      </w:pPr>
      <w:r>
        <w:rPr>
          <w:rFonts w:ascii="Arial" w:cs="Arial" w:eastAsia="Arial" w:hAnsi="Arial"/>
          <w:sz w:val="24"/>
          <w:szCs w:val="24"/>
        </w:rPr>
        <w:t xml:space="preserve">Au tout premier lancement de l'application, un toast modal s'affiche pour expliquer le fonctionnement : "L'application suit en temps réel les vraquiers céréaliers. Par défaut, la zone Atlantique Nord est active. Vous pouvez modifier vos zones via le menu ⋮ en bas à droite."</w:t>
      </w:r>
    </w:p>
    <w:p>
      <w:pPr>
        <w:spacing w:after="120"/>
      </w:pPr>
      <w:r>
        <w:rPr>
          <w:rFonts w:ascii="Arial" w:cs="Arial" w:eastAsia="Arial" w:hAnsi="Arial"/>
          <w:sz w:val="24"/>
          <w:szCs w:val="24"/>
        </w:rPr>
        <w:t xml:space="preserve">La dismissal est persistée dans localStorage (clé graintrack3d-welcomed). Lecture défensive : si localStorage est indisponible (mode privé), l'utilisateur est considéré comme déjà accueilli pour ne pas spammer le toast.</w:t>
      </w:r>
    </w:p>
    <w:p>
      <w:pPr>
        <w:spacing w:after="120"/>
      </w:pPr>
    </w:p>
    <w:p>
      <w:pPr>
        <w:pStyle w:val="Heading2"/>
        <w:spacing w:after="100" w:before="200"/>
      </w:pPr>
      <w:r>
        <w:rPr>
          <w:rFonts w:ascii="Arial" w:cs="Arial" w:eastAsia="Arial" w:hAnsi="Arial"/>
          <w:b/>
          <w:bCs/>
          <w:color w:val="1B3A5C"/>
          <w:sz w:val="48"/>
          <w:szCs w:val="48"/>
        </w:rPr>
        <w:t xml:space="preserve">4.3 Affichage des zones dans le bandeau</w:t>
      </w:r>
    </w:p>
    <w:p>
      <w:pPr>
        <w:spacing w:after="120"/>
      </w:pPr>
      <w:r>
        <w:rPr>
          <w:rFonts w:ascii="Arial" w:cs="Arial" w:eastAsia="Arial" w:hAnsi="Arial"/>
          <w:sz w:val="24"/>
          <w:szCs w:val="24"/>
        </w:rPr>
        <w:t xml:space="preserve">Le SummaryBanner affiche désormais le nom de la zone active après "en transit". Avec une seule zone : "158 vraquiers en transit — Atlantique Nord". Avec plusieurs zones : "21 vraquiers en transit — 3 zones" (avec un tooltip au survol listant les zones actives).</w:t>
      </w:r>
    </w:p>
    <w:p>
      <w:r>
        <w:br w:type="page"/>
      </w:r>
    </w:p>
    <w:p>
      <w:pPr>
        <w:pStyle w:val="Heading1"/>
        <w:spacing w:after="120" w:before="240"/>
      </w:pPr>
      <w:r>
        <w:rPr>
          <w:rFonts w:ascii="Arial" w:cs="Arial" w:eastAsia="Arial" w:hAnsi="Arial"/>
          <w:b/>
          <w:bCs/>
          <w:color w:val="1B3A5C"/>
          <w:sz w:val="56"/>
          <w:szCs w:val="56"/>
        </w:rPr>
        <w:t xml:space="preserve">5. Architecture des fichiers (état v1.3.0)</w:t>
      </w:r>
    </w:p>
    <w:p>
      <w:pPr>
        <w:spacing w:after="120"/>
      </w:pPr>
      <w:r>
        <w:rPr>
          <w:rFonts w:ascii="Arial" w:cs="Arial" w:eastAsia="Arial" w:hAnsi="Arial"/>
          <w:b/>
          <w:bCs/>
          <w:sz w:val="24"/>
          <w:szCs w:val="24"/>
        </w:rPr>
        <w:t xml:space="preserve">src/</w:t>
      </w:r>
    </w:p>
    <w:p>
      <w:pPr>
        <w:spacing w:after="120"/>
      </w:pPr>
      <w:r>
        <w:rPr>
          <w:rFonts w:ascii="Arial" w:cs="Arial" w:eastAsia="Arial" w:hAnsi="Arial"/>
          <w:sz w:val="24"/>
          <w:szCs w:val="24"/>
        </w:rPr>
        <w:t xml:space="preserve">    App.jsx — Layout principal : Globe + UI overlay</w:t>
      </w:r>
    </w:p>
    <w:p>
      <w:pPr>
        <w:spacing w:after="120"/>
      </w:pPr>
      <w:r>
        <w:rPr>
          <w:rFonts w:ascii="Arial" w:cs="Arial" w:eastAsia="Arial" w:hAnsi="Arial"/>
          <w:sz w:val="24"/>
          <w:szCs w:val="24"/>
        </w:rPr>
        <w:t xml:space="preserve">    main.jsx — Point d'entrée React</w:t>
      </w:r>
    </w:p>
    <w:p>
      <w:pPr>
        <w:spacing w:after="120"/>
      </w:pPr>
      <w:r>
        <w:rPr>
          <w:rFonts w:ascii="Arial" w:cs="Arial" w:eastAsia="Arial" w:hAnsi="Arial"/>
          <w:sz w:val="24"/>
          <w:szCs w:val="24"/>
        </w:rPr>
        <w:t xml:space="preserve">    index.css — Styles globaux, dark theme, tous les composants</w:t>
      </w:r>
    </w:p>
    <w:p>
      <w:pPr>
        <w:spacing w:after="120"/>
      </w:pPr>
      <w:r>
        <w:rPr>
          <w:rFonts w:ascii="Arial" w:cs="Arial" w:eastAsia="Arial" w:hAnsi="Arial"/>
          <w:b/>
          <w:bCs/>
          <w:sz w:val="24"/>
          <w:szCs w:val="24"/>
        </w:rPr>
        <w:t xml:space="preserve">    components/</w:t>
      </w:r>
    </w:p>
    <w:p>
      <w:pPr>
        <w:spacing w:after="120"/>
      </w:pPr>
      <w:r>
        <w:rPr>
          <w:rFonts w:ascii="Arial" w:cs="Arial" w:eastAsia="Arial" w:hAnsi="Arial"/>
          <w:sz w:val="24"/>
          <w:szCs w:val="24"/>
        </w:rPr>
        <w:t xml:space="preserve">        Globe.jsx — Sphère Three.js + texture NASA Blue Marble</w:t>
      </w:r>
    </w:p>
    <w:p>
      <w:pPr>
        <w:spacing w:after="120"/>
      </w:pPr>
      <w:r>
        <w:rPr>
          <w:rFonts w:ascii="Arial" w:cs="Arial" w:eastAsia="Arial" w:hAnsi="Arial"/>
          <w:sz w:val="24"/>
          <w:szCs w:val="24"/>
        </w:rPr>
        <w:t xml:space="preserve">        ShipMarkers.jsx — Instanced meshes pour les navires</w:t>
      </w:r>
    </w:p>
    <w:p>
      <w:pPr>
        <w:spacing w:after="120"/>
      </w:pPr>
      <w:r>
        <w:rPr>
          <w:rFonts w:ascii="Arial" w:cs="Arial" w:eastAsia="Arial" w:hAnsi="Arial"/>
          <w:sz w:val="24"/>
          <w:szCs w:val="24"/>
        </w:rPr>
        <w:t xml:space="preserve">        InfoPanel.jsx — Panneau latéral détails navire</w:t>
      </w:r>
    </w:p>
    <w:p>
      <w:pPr>
        <w:spacing w:after="120"/>
      </w:pPr>
      <w:r>
        <w:rPr>
          <w:rFonts w:ascii="Arial" w:cs="Arial" w:eastAsia="Arial" w:hAnsi="Arial"/>
          <w:sz w:val="24"/>
          <w:szCs w:val="24"/>
        </w:rPr>
        <w:t xml:space="preserve">        GrainSelector.jsx — Dropdown filtre céréales</w:t>
      </w:r>
    </w:p>
    <w:p>
      <w:pPr>
        <w:spacing w:after="120"/>
      </w:pPr>
      <w:r>
        <w:rPr>
          <w:rFonts w:ascii="Arial" w:cs="Arial" w:eastAsia="Arial" w:hAnsi="Arial"/>
          <w:sz w:val="24"/>
          <w:szCs w:val="24"/>
        </w:rPr>
        <w:t xml:space="preserve">        HUD.jsx — Badge connexion + statut</w:t>
      </w:r>
    </w:p>
    <w:p>
      <w:pPr>
        <w:spacing w:after="120"/>
      </w:pPr>
      <w:r>
        <w:rPr>
          <w:rFonts w:ascii="Arial" w:cs="Arial" w:eastAsia="Arial" w:hAnsi="Arial"/>
          <w:sz w:val="24"/>
          <w:szCs w:val="24"/>
        </w:rPr>
        <w:t xml:space="preserve">        SummaryBanner.jsx — Bandeau compteur + zone active</w:t>
      </w:r>
    </w:p>
    <w:p>
      <w:pPr>
        <w:spacing w:after="120"/>
      </w:pPr>
      <w:r>
        <w:rPr>
          <w:rFonts w:ascii="Arial" w:cs="Arial" w:eastAsia="Arial" w:hAnsi="Arial"/>
          <w:sz w:val="24"/>
          <w:szCs w:val="24"/>
        </w:rPr>
        <w:t xml:space="preserve">        Toolbar.jsx — Menu ⋮ avec actions (PNG, Markdown, Zones, À propos)</w:t>
      </w:r>
    </w:p>
    <w:p>
      <w:pPr>
        <w:spacing w:after="120"/>
      </w:pPr>
      <w:r>
        <w:rPr>
          <w:rFonts w:ascii="Arial" w:cs="Arial" w:eastAsia="Arial" w:hAnsi="Arial"/>
          <w:sz w:val="24"/>
          <w:szCs w:val="24"/>
        </w:rPr>
        <w:t xml:space="preserve">        ZonePicker.jsx — Overlay sélection multi-zones</w:t>
      </w:r>
    </w:p>
    <w:p>
      <w:pPr>
        <w:spacing w:after="120"/>
      </w:pPr>
      <w:r>
        <w:rPr>
          <w:rFonts w:ascii="Arial" w:cs="Arial" w:eastAsia="Arial" w:hAnsi="Arial"/>
          <w:sz w:val="24"/>
          <w:szCs w:val="24"/>
        </w:rPr>
        <w:t xml:space="preserve">        WelcomeToast.jsx — Toast premier lancement</w:t>
      </w:r>
    </w:p>
    <w:p>
      <w:pPr>
        <w:spacing w:after="120"/>
      </w:pPr>
      <w:r>
        <w:rPr>
          <w:rFonts w:ascii="Arial" w:cs="Arial" w:eastAsia="Arial" w:hAnsi="Arial"/>
          <w:sz w:val="24"/>
          <w:szCs w:val="24"/>
        </w:rPr>
        <w:t xml:space="preserve">        AboutScreen.jsx — Écran À propos</w:t>
      </w:r>
    </w:p>
    <w:p>
      <w:pPr>
        <w:spacing w:after="120"/>
      </w:pPr>
      <w:r>
        <w:rPr>
          <w:rFonts w:ascii="Arial" w:cs="Arial" w:eastAsia="Arial" w:hAnsi="Arial"/>
          <w:b/>
          <w:bCs/>
          <w:sz w:val="24"/>
          <w:szCs w:val="24"/>
        </w:rPr>
        <w:t xml:space="preserve">    data/</w:t>
      </w:r>
    </w:p>
    <w:p>
      <w:pPr>
        <w:spacing w:after="120"/>
      </w:pPr>
      <w:r>
        <w:rPr>
          <w:rFonts w:ascii="Arial" w:cs="Arial" w:eastAsia="Arial" w:hAnsi="Arial"/>
          <w:sz w:val="24"/>
          <w:szCs w:val="24"/>
        </w:rPr>
        <w:t xml:space="preserve">        grainPorts.json — Base ports/céréales (~130 ports)</w:t>
      </w:r>
    </w:p>
    <w:p>
      <w:pPr>
        <w:spacing w:after="120"/>
      </w:pPr>
      <w:r>
        <w:rPr>
          <w:rFonts w:ascii="Arial" w:cs="Arial" w:eastAsia="Arial" w:hAnsi="Arial"/>
          <w:sz w:val="24"/>
          <w:szCs w:val="24"/>
        </w:rPr>
        <w:t xml:space="preserve">        grainList.js — 12 céréales (clés, labels, emojis)</w:t>
      </w:r>
    </w:p>
    <w:p>
      <w:pPr>
        <w:spacing w:after="120"/>
      </w:pPr>
      <w:r>
        <w:rPr>
          <w:rFonts w:ascii="Arial" w:cs="Arial" w:eastAsia="Arial" w:hAnsi="Arial"/>
          <w:sz w:val="24"/>
          <w:szCs w:val="24"/>
        </w:rPr>
        <w:t xml:space="preserve">        maritimeZones.js — 8 zones maritimes avec bboxes</w:t>
      </w:r>
    </w:p>
    <w:p>
      <w:pPr>
        <w:spacing w:after="120"/>
      </w:pPr>
      <w:r>
        <w:rPr>
          <w:rFonts w:ascii="Arial" w:cs="Arial" w:eastAsia="Arial" w:hAnsi="Arial"/>
          <w:b/>
          <w:bCs/>
          <w:sz w:val="24"/>
          <w:szCs w:val="24"/>
        </w:rPr>
        <w:t xml:space="preserve">    stores/</w:t>
      </w:r>
    </w:p>
    <w:p>
      <w:pPr>
        <w:spacing w:after="120"/>
      </w:pPr>
      <w:r>
        <w:rPr>
          <w:rFonts w:ascii="Arial" w:cs="Arial" w:eastAsia="Arial" w:hAnsi="Arial"/>
          <w:sz w:val="24"/>
          <w:szCs w:val="24"/>
        </w:rPr>
        <w:t xml:space="preserve">        useShipStore.js — Zustand store global</w:t>
      </w:r>
    </w:p>
    <w:p>
      <w:pPr>
        <w:spacing w:after="120"/>
      </w:pPr>
      <w:r>
        <w:rPr>
          <w:rFonts w:ascii="Arial" w:cs="Arial" w:eastAsia="Arial" w:hAnsi="Arial"/>
          <w:b/>
          <w:bCs/>
          <w:sz w:val="24"/>
          <w:szCs w:val="24"/>
        </w:rPr>
        <w:t xml:space="preserve">    hooks/</w:t>
      </w:r>
    </w:p>
    <w:p>
      <w:pPr>
        <w:spacing w:after="120"/>
      </w:pPr>
      <w:r>
        <w:rPr>
          <w:rFonts w:ascii="Arial" w:cs="Arial" w:eastAsia="Arial" w:hAnsi="Arial"/>
          <w:sz w:val="24"/>
          <w:szCs w:val="24"/>
        </w:rPr>
        <w:t xml:space="preserve">        useAISStream.js — Hook WebSocket AIS</w:t>
      </w:r>
    </w:p>
    <w:p>
      <w:pPr>
        <w:spacing w:after="120"/>
      </w:pPr>
      <w:r>
        <w:rPr>
          <w:rFonts w:ascii="Arial" w:cs="Arial" w:eastAsia="Arial" w:hAnsi="Arial"/>
          <w:b/>
          <w:bCs/>
          <w:sz w:val="24"/>
          <w:szCs w:val="24"/>
        </w:rPr>
        <w:t xml:space="preserve">    utils/</w:t>
      </w:r>
    </w:p>
    <w:p>
      <w:pPr>
        <w:spacing w:after="120"/>
      </w:pPr>
      <w:r>
        <w:rPr>
          <w:rFonts w:ascii="Arial" w:cs="Arial" w:eastAsia="Arial" w:hAnsi="Arial"/>
          <w:sz w:val="24"/>
          <w:szCs w:val="24"/>
        </w:rPr>
        <w:t xml:space="preserve">        geoUtils.js — Conversion lat/lon vers Vector3</w:t>
      </w:r>
    </w:p>
    <w:p>
      <w:pPr>
        <w:spacing w:after="120"/>
      </w:pPr>
      <w:r>
        <w:rPr>
          <w:rFonts w:ascii="Arial" w:cs="Arial" w:eastAsia="Arial" w:hAnsi="Arial"/>
          <w:sz w:val="24"/>
          <w:szCs w:val="24"/>
        </w:rPr>
        <w:t xml:space="preserve">        aisParser.js — Parsing messages AIS</w:t>
      </w:r>
    </w:p>
    <w:p>
      <w:pPr>
        <w:spacing w:after="120"/>
      </w:pPr>
      <w:r>
        <w:rPr>
          <w:rFonts w:ascii="Arial" w:cs="Arial" w:eastAsia="Arial" w:hAnsi="Arial"/>
          <w:sz w:val="24"/>
          <w:szCs w:val="24"/>
        </w:rPr>
        <w:t xml:space="preserve">        portMatcher.js — Matching destination/port/céréale</w:t>
      </w:r>
    </w:p>
    <w:p>
      <w:pPr>
        <w:spacing w:after="120"/>
      </w:pPr>
      <w:r>
        <w:rPr>
          <w:rFonts w:ascii="Arial" w:cs="Arial" w:eastAsia="Arial" w:hAnsi="Arial"/>
          <w:b/>
          <w:bCs/>
          <w:sz w:val="24"/>
          <w:szCs w:val="24"/>
        </w:rPr>
        <w:t xml:space="preserve">api/</w:t>
      </w:r>
    </w:p>
    <w:p>
      <w:pPr>
        <w:spacing w:after="120"/>
      </w:pPr>
      <w:r>
        <w:rPr>
          <w:rFonts w:ascii="Arial" w:cs="Arial" w:eastAsia="Arial" w:hAnsi="Arial"/>
          <w:sz w:val="24"/>
          <w:szCs w:val="24"/>
        </w:rPr>
        <w:t xml:space="preserve">    ais-config.js — Serverless function Vercel</w:t>
      </w:r>
    </w:p>
    <w:p>
      <w:pPr>
        <w:spacing w:after="120"/>
      </w:pPr>
      <w:r>
        <w:rPr>
          <w:rFonts w:ascii="Arial" w:cs="Arial" w:eastAsia="Arial" w:hAnsi="Arial"/>
          <w:b/>
          <w:bCs/>
          <w:sz w:val="24"/>
          <w:szCs w:val="24"/>
        </w:rPr>
        <w:t xml:space="preserve">scripts/</w:t>
      </w:r>
    </w:p>
    <w:p>
      <w:pPr>
        <w:spacing w:after="120"/>
      </w:pPr>
      <w:r>
        <w:rPr>
          <w:rFonts w:ascii="Arial" w:cs="Arial" w:eastAsia="Arial" w:hAnsi="Arial"/>
          <w:sz w:val="24"/>
          <w:szCs w:val="24"/>
        </w:rPr>
        <w:t xml:space="preserve">    ais-probe.mjs — Diagnostic flux AIS</w:t>
      </w:r>
    </w:p>
    <w:p>
      <w:pPr>
        <w:spacing w:after="120"/>
      </w:pPr>
      <w:r>
        <w:rPr>
          <w:rFonts w:ascii="Arial" w:cs="Arial" w:eastAsia="Arial" w:hAnsi="Arial"/>
          <w:sz w:val="24"/>
          <w:szCs w:val="24"/>
        </w:rPr>
        <w:t xml:space="preserve">    analyze-destinations.mjs — Analyse destinations non couvertes</w:t>
      </w:r>
    </w:p>
    <w:p>
      <w:r>
        <w:br w:type="page"/>
      </w:r>
    </w:p>
    <w:p>
      <w:pPr>
        <w:pStyle w:val="Heading1"/>
        <w:spacing w:after="120" w:before="240"/>
      </w:pPr>
      <w:r>
        <w:rPr>
          <w:rFonts w:ascii="Arial" w:cs="Arial" w:eastAsia="Arial" w:hAnsi="Arial"/>
          <w:b/>
          <w:bCs/>
          <w:color w:val="1B3A5C"/>
          <w:sz w:val="56"/>
          <w:szCs w:val="56"/>
        </w:rPr>
        <w:t xml:space="preserve">6. Sécurité</w:t>
      </w:r>
    </w:p>
    <w:p>
      <w:pPr>
        <w:spacing w:after="120"/>
      </w:pPr>
      <w:r>
        <w:rPr>
          <w:rFonts w:ascii="Arial" w:cs="Arial" w:eastAsia="Arial" w:hAnsi="Arial"/>
          <w:sz w:val="24"/>
          <w:szCs w:val="24"/>
        </w:rPr>
        <w:t xml:space="preserve">L'audit de sécurité (v1.1.1) a couvert 4 couches :</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tcBorders>
              <w:top w:val="single" w:color="CCCCCC" w:sz="1"/>
              <w:left w:val="single" w:color="CCCCCC" w:sz="1"/>
              <w:bottom w:val="single" w:color="CCCCCC" w:sz="1"/>
              <w:right w:val="single" w:color="CCCCCC" w:sz="1"/>
            </w:tcBorders>
            <w:shd w:fill="D5E8F0" w:color="D5E8F0" w:val="solid"/>
          </w:tcPr>
          <w:p>
            <w:pPr>
              <w:spacing w:after="40" w:before="40"/>
            </w:pPr>
            <w:r>
              <w:rPr>
                <w:rFonts w:ascii="Arial" w:cs="Arial" w:eastAsia="Arial" w:hAnsi="Arial"/>
                <w:b/>
                <w:bCs/>
                <w:sz w:val="22"/>
                <w:szCs w:val="22"/>
              </w:rPr>
              <w:t xml:space="preserve">Couche</w:t>
            </w:r>
          </w:p>
        </w:tc>
        <w:tc>
          <w:tcPr>
            <w:tcW w:type="dxa" w:w="1400"/>
            <w:tcBorders>
              <w:top w:val="single" w:color="CCCCCC" w:sz="1"/>
              <w:left w:val="single" w:color="CCCCCC" w:sz="1"/>
              <w:bottom w:val="single" w:color="CCCCCC" w:sz="1"/>
              <w:right w:val="single" w:color="CCCCCC" w:sz="1"/>
            </w:tcBorders>
            <w:shd w:fill="D5E8F0" w:color="D5E8F0" w:val="solid"/>
          </w:tcPr>
          <w:p>
            <w:pPr>
              <w:spacing w:after="40" w:before="40"/>
            </w:pPr>
            <w:r>
              <w:rPr>
                <w:rFonts w:ascii="Arial" w:cs="Arial" w:eastAsia="Arial" w:hAnsi="Arial"/>
                <w:b/>
                <w:bCs/>
                <w:sz w:val="22"/>
                <w:szCs w:val="22"/>
              </w:rPr>
              <w:t xml:space="preserve">Statut</w:t>
            </w:r>
          </w:p>
        </w:tc>
        <w:tc>
          <w:tcPr>
            <w:tcW w:type="dxa" w:w="6160"/>
            <w:tcBorders>
              <w:top w:val="single" w:color="CCCCCC" w:sz="1"/>
              <w:left w:val="single" w:color="CCCCCC" w:sz="1"/>
              <w:bottom w:val="single" w:color="CCCCCC" w:sz="1"/>
              <w:right w:val="single" w:color="CCCCCC" w:sz="1"/>
            </w:tcBorders>
            <w:shd w:fill="D5E8F0" w:color="D5E8F0" w:val="solid"/>
          </w:tcPr>
          <w:p>
            <w:pPr>
              <w:spacing w:after="40" w:before="40"/>
            </w:pPr>
            <w:r>
              <w:rPr>
                <w:rFonts w:ascii="Arial" w:cs="Arial" w:eastAsia="Arial" w:hAnsi="Arial"/>
                <w:b/>
                <w:bCs/>
                <w:sz w:val="22"/>
                <w:szCs w:val="22"/>
              </w:rPr>
              <w:t xml:space="preserve">Mesures</w:t>
            </w:r>
          </w:p>
        </w:tc>
      </w:tr>
      <w:tr>
        <w:tc>
          <w:tcPr>
            <w:tcW w:type="dxa" w:w="18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Clé API</w:t>
            </w:r>
          </w:p>
        </w:tc>
        <w:tc>
          <w:tcPr>
            <w:tcW w:type="dxa" w:w="14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Conforme</w:t>
            </w:r>
          </w:p>
        </w:tc>
        <w:tc>
          <w:tcPr>
            <w:tcW w:type="dxa" w:w="61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Jamais dans le bundle client, servie via serverless function Vercel</w:t>
            </w:r>
          </w:p>
        </w:tc>
      </w:tr>
      <w:tr>
        <w:tc>
          <w:tcPr>
            <w:tcW w:type="dxa" w:w="18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WebSocket</w:t>
            </w:r>
          </w:p>
        </w:tc>
        <w:tc>
          <w:tcPr>
            <w:tcW w:type="dxa" w:w="14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Renforcé</w:t>
            </w:r>
          </w:p>
        </w:tc>
        <w:tc>
          <w:tcPr>
            <w:tcW w:type="dxa" w:w="61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Validation coordonnées, plafond Map 5000 navires, Set blacklist 10000, limite 50 reconnexions</w:t>
            </w:r>
          </w:p>
        </w:tc>
      </w:tr>
      <w:tr>
        <w:tc>
          <w:tcPr>
            <w:tcW w:type="dxa" w:w="18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Frontend React</w:t>
            </w:r>
          </w:p>
        </w:tc>
        <w:tc>
          <w:tcPr>
            <w:tcW w:type="dxa" w:w="14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Renforcé</w:t>
            </w:r>
          </w:p>
        </w:tc>
        <w:tc>
          <w:tcPr>
            <w:tcW w:type="dxa" w:w="61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Pas de dangerouslySetInnerHTML, pas d'injection, données AIS traitées comme non fiables</w:t>
            </w:r>
          </w:p>
        </w:tc>
      </w:tr>
      <w:tr>
        <w:tc>
          <w:tcPr>
            <w:tcW w:type="dxa" w:w="18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Déploiement Vercel</w:t>
            </w:r>
          </w:p>
        </w:tc>
        <w:tc>
          <w:tcPr>
            <w:tcW w:type="dxa" w:w="14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Renforcé</w:t>
            </w:r>
          </w:p>
        </w:tc>
        <w:tc>
          <w:tcPr>
            <w:tcW w:type="dxa" w:w="61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Headers CSP (connect-src restreint), X-Content-Type-Options, X-Frame-Options SAMEORIGIN, Referrer-Policy</w:t>
            </w:r>
          </w:p>
        </w:tc>
      </w:tr>
    </w:tbl>
    <w:p>
      <w:r>
        <w:br w:type="page"/>
      </w:r>
    </w:p>
    <w:p>
      <w:pPr>
        <w:pStyle w:val="Heading1"/>
        <w:spacing w:after="120" w:before="240"/>
      </w:pPr>
      <w:r>
        <w:rPr>
          <w:rFonts w:ascii="Arial" w:cs="Arial" w:eastAsia="Arial" w:hAnsi="Arial"/>
          <w:b/>
          <w:bCs/>
          <w:color w:val="1B3A5C"/>
          <w:sz w:val="56"/>
          <w:szCs w:val="56"/>
        </w:rPr>
        <w:t xml:space="preserve">7. Méthodologie de développement</w:t>
      </w:r>
    </w:p>
    <w:p>
      <w:pPr>
        <w:pStyle w:val="Heading2"/>
        <w:spacing w:after="100" w:before="200"/>
      </w:pPr>
      <w:r>
        <w:rPr>
          <w:rFonts w:ascii="Arial" w:cs="Arial" w:eastAsia="Arial" w:hAnsi="Arial"/>
          <w:b/>
          <w:bCs/>
          <w:color w:val="1B3A5C"/>
          <w:sz w:val="48"/>
          <w:szCs w:val="48"/>
        </w:rPr>
        <w:t xml:space="preserve">7.1 Workflow Cowork + Claude Code</w:t>
      </w:r>
    </w:p>
    <w:p>
      <w:pPr>
        <w:spacing w:after="120"/>
      </w:pPr>
      <w:r>
        <w:rPr>
          <w:rFonts w:ascii="Arial" w:cs="Arial" w:eastAsia="Arial" w:hAnsi="Arial"/>
          <w:sz w:val="24"/>
          <w:szCs w:val="24"/>
        </w:rPr>
        <w:t xml:space="preserve">Le projet est développé avec un workflow innovant en deux niveaux :</w:t>
      </w:r>
    </w:p>
    <w:p>
      <w:pPr>
        <w:spacing w:after="120"/>
      </w:pPr>
    </w:p>
    <w:p>
      <w:pPr>
        <w:spacing w:after="120"/>
      </w:pPr>
      <w:r>
        <w:rPr>
          <w:rFonts w:ascii="Arial" w:cs="Arial" w:eastAsia="Arial" w:hAnsi="Arial"/>
          <w:b/>
          <w:bCs/>
          <w:sz w:val="24"/>
          <w:szCs w:val="24"/>
        </w:rPr>
        <w:t xml:space="preserve">Niveau 1 — Cowork (Claude Desktop) : </w:t>
      </w:r>
      <w:r>
        <w:rPr>
          <w:rFonts w:ascii="Arial" w:cs="Arial" w:eastAsia="Arial" w:hAnsi="Arial"/>
          <w:sz w:val="24"/>
          <w:szCs w:val="24"/>
        </w:rPr>
        <w:t xml:space="preserve">JC décrit ses idées et besoins en langage naturel. Cowork traduit ces idées en prompts techniques précis et détaillés pour Claude Code, incluant les fichiers à modifier, le code exact à produire, et les garde-fous à respecter.</w:t>
      </w:r>
    </w:p>
    <w:p>
      <w:pPr>
        <w:spacing w:after="120"/>
      </w:pPr>
    </w:p>
    <w:p>
      <w:pPr>
        <w:spacing w:after="120"/>
      </w:pPr>
      <w:r>
        <w:rPr>
          <w:rFonts w:ascii="Arial" w:cs="Arial" w:eastAsia="Arial" w:hAnsi="Arial"/>
          <w:b/>
          <w:bCs/>
          <w:sz w:val="24"/>
          <w:szCs w:val="24"/>
        </w:rPr>
        <w:t xml:space="preserve">Niveau 2 — Claude Code (terminal) : </w:t>
      </w:r>
      <w:r>
        <w:rPr>
          <w:rFonts w:ascii="Arial" w:cs="Arial" w:eastAsia="Arial" w:hAnsi="Arial"/>
          <w:sz w:val="24"/>
          <w:szCs w:val="24"/>
        </w:rPr>
        <w:t xml:space="preserve">Reçoit les prompts techniques, génère les diffs, propose chaque modification une par une. JC valide chaque diff avec "option 1" (accepter). Claude Code ne fait jamais de commit automatiquement — les commits sont toujours validés par le développeur.</w:t>
      </w:r>
    </w:p>
    <w:p>
      <w:pPr>
        <w:spacing w:after="120"/>
      </w:pPr>
    </w:p>
    <w:p>
      <w:pPr>
        <w:spacing w:after="120"/>
      </w:pPr>
      <w:r>
        <w:rPr>
          <w:rFonts w:ascii="Arial" w:cs="Arial" w:eastAsia="Arial" w:hAnsi="Arial"/>
          <w:sz w:val="24"/>
          <w:szCs w:val="24"/>
        </w:rPr>
        <w:t xml:space="preserve">Ce workflow permet à une seule personne de développer une application complète sans écrire de code manuellement, tout en gardant un contrôle total sur chaque modification.</w:t>
      </w:r>
    </w:p>
    <w:p>
      <w:pPr>
        <w:spacing w:after="120"/>
      </w:pPr>
    </w:p>
    <w:p>
      <w:pPr>
        <w:pStyle w:val="Heading2"/>
        <w:spacing w:after="100" w:before="200"/>
      </w:pPr>
      <w:r>
        <w:rPr>
          <w:rFonts w:ascii="Arial" w:cs="Arial" w:eastAsia="Arial" w:hAnsi="Arial"/>
          <w:b/>
          <w:bCs/>
          <w:color w:val="1B3A5C"/>
          <w:sz w:val="48"/>
          <w:szCs w:val="48"/>
        </w:rPr>
        <w:t xml:space="preserve">7.2 Conventions</w:t>
      </w:r>
    </w:p>
    <w:p>
      <w:pPr>
        <w:spacing w:after="120"/>
      </w:pPr>
      <w:r>
        <w:rPr>
          <w:rFonts w:ascii="Arial" w:cs="Arial" w:eastAsia="Arial" w:hAnsi="Arial"/>
          <w:sz w:val="24"/>
          <w:szCs w:val="24"/>
        </w:rPr>
        <w:t xml:space="preserve">Commits : feat:, fix:, chore:, docs:. Aucune dépendance npm ajoutée sans validation explicite. Le fichier CLAUDE.md sert de documentation technique vivante pour Claude Code. Le fichier CHANGELOG.md suit le format Keep a Changelog.</w:t>
      </w:r>
    </w:p>
    <w:p>
      <w:r>
        <w:br w:type="page"/>
      </w:r>
    </w:p>
    <w:p>
      <w:pPr>
        <w:pStyle w:val="Heading1"/>
        <w:spacing w:after="120" w:before="240"/>
      </w:pPr>
      <w:r>
        <w:rPr>
          <w:rFonts w:ascii="Arial" w:cs="Arial" w:eastAsia="Arial" w:hAnsi="Arial"/>
          <w:b/>
          <w:bCs/>
          <w:color w:val="1B3A5C"/>
          <w:sz w:val="56"/>
          <w:szCs w:val="56"/>
        </w:rPr>
        <w:t xml:space="preserve">8. Prochaines étapes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500"/>
            <w:tcBorders>
              <w:top w:val="single" w:color="CCCCCC" w:sz="1"/>
              <w:left w:val="single" w:color="CCCCCC" w:sz="1"/>
              <w:bottom w:val="single" w:color="CCCCCC" w:sz="1"/>
              <w:right w:val="single" w:color="CCCCCC" w:sz="1"/>
            </w:tcBorders>
            <w:shd w:fill="D5E8F0" w:color="D5E8F0" w:val="solid"/>
          </w:tcPr>
          <w:p>
            <w:pPr>
              <w:spacing w:after="40" w:before="40"/>
            </w:pPr>
            <w:r>
              <w:rPr>
                <w:rFonts w:ascii="Arial" w:cs="Arial" w:eastAsia="Arial" w:hAnsi="Arial"/>
                <w:b/>
                <w:bCs/>
                <w:sz w:val="22"/>
                <w:szCs w:val="22"/>
              </w:rPr>
              <w:t xml:space="preserve">Priorité</w:t>
            </w:r>
          </w:p>
        </w:tc>
        <w:tc>
          <w:tcPr>
            <w:tcW w:type="dxa" w:w="5360"/>
            <w:tcBorders>
              <w:top w:val="single" w:color="CCCCCC" w:sz="1"/>
              <w:left w:val="single" w:color="CCCCCC" w:sz="1"/>
              <w:bottom w:val="single" w:color="CCCCCC" w:sz="1"/>
              <w:right w:val="single" w:color="CCCCCC" w:sz="1"/>
            </w:tcBorders>
            <w:shd w:fill="D5E8F0" w:color="D5E8F0" w:val="solid"/>
          </w:tcPr>
          <w:p>
            <w:pPr>
              <w:spacing w:after="40" w:before="40"/>
            </w:pPr>
            <w:r>
              <w:rPr>
                <w:rFonts w:ascii="Arial" w:cs="Arial" w:eastAsia="Arial" w:hAnsi="Arial"/>
                <w:b/>
                <w:bCs/>
                <w:sz w:val="22"/>
                <w:szCs w:val="22"/>
              </w:rPr>
              <w:t xml:space="preserve">Fonctionnalité</w:t>
            </w:r>
          </w:p>
        </w:tc>
        <w:tc>
          <w:tcPr>
            <w:tcW w:type="dxa" w:w="1500"/>
            <w:tcBorders>
              <w:top w:val="single" w:color="CCCCCC" w:sz="1"/>
              <w:left w:val="single" w:color="CCCCCC" w:sz="1"/>
              <w:bottom w:val="single" w:color="CCCCCC" w:sz="1"/>
              <w:right w:val="single" w:color="CCCCCC" w:sz="1"/>
            </w:tcBorders>
            <w:shd w:fill="D5E8F0" w:color="D5E8F0" w:val="solid"/>
          </w:tcPr>
          <w:p>
            <w:pPr>
              <w:spacing w:after="40" w:before="40"/>
            </w:pPr>
            <w:r>
              <w:rPr>
                <w:rFonts w:ascii="Arial" w:cs="Arial" w:eastAsia="Arial" w:hAnsi="Arial"/>
                <w:b/>
                <w:bCs/>
                <w:sz w:val="22"/>
                <w:szCs w:val="22"/>
              </w:rPr>
              <w:t xml:space="preserve">Complexité</w:t>
            </w:r>
          </w:p>
        </w:tc>
      </w:tr>
      <w:tr>
        <w:tc>
          <w:tcPr>
            <w:tcW w:type="dxa" w:w="15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Haute</w:t>
            </w:r>
          </w:p>
        </w:tc>
        <w:tc>
          <w:tcPr>
            <w:tcW w:type="dxa" w:w="53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Cluster de marqueurs au dézoom</w:t>
            </w:r>
          </w:p>
        </w:tc>
        <w:tc>
          <w:tcPr>
            <w:tcW w:type="dxa" w:w="15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Moyen</w:t>
            </w:r>
          </w:p>
        </w:tc>
      </w:tr>
      <w:tr>
        <w:tc>
          <w:tcPr>
            <w:tcW w:type="dxa" w:w="15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Haute</w:t>
            </w:r>
          </w:p>
        </w:tc>
        <w:tc>
          <w:tcPr>
            <w:tcW w:type="dxa" w:w="53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Icône de source sur chaque badge céréale</w:t>
            </w:r>
          </w:p>
        </w:tc>
        <w:tc>
          <w:tcPr>
            <w:tcW w:type="dxa" w:w="15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Rapide</w:t>
            </w:r>
          </w:p>
        </w:tc>
      </w:tr>
      <w:tr>
        <w:tc>
          <w:tcPr>
            <w:tcW w:type="dxa" w:w="15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Moyenne</w:t>
            </w:r>
          </w:p>
        </w:tc>
        <w:tc>
          <w:tcPr>
            <w:tcW w:type="dxa" w:w="53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Score de confiance explicite dans l'InfoPanel</w:t>
            </w:r>
          </w:p>
        </w:tc>
        <w:tc>
          <w:tcPr>
            <w:tcW w:type="dxa" w:w="15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Moyen</w:t>
            </w:r>
          </w:p>
        </w:tc>
      </w:tr>
      <w:tr>
        <w:tc>
          <w:tcPr>
            <w:tcW w:type="dxa" w:w="15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Moyenne</w:t>
            </w:r>
          </w:p>
        </w:tc>
        <w:tc>
          <w:tcPr>
            <w:tcW w:type="dxa" w:w="53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Zone de trafic intense / heatmap</w:t>
            </w:r>
          </w:p>
        </w:tc>
        <w:tc>
          <w:tcPr>
            <w:tcW w:type="dxa" w:w="15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Moyen</w:t>
            </w:r>
          </w:p>
        </w:tc>
      </w:tr>
      <w:tr>
        <w:tc>
          <w:tcPr>
            <w:tcW w:type="dxa" w:w="15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Moyenne</w:t>
            </w:r>
          </w:p>
        </w:tc>
        <w:tc>
          <w:tcPr>
            <w:tcW w:type="dxa" w:w="53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Filtre par route maritime</w:t>
            </w:r>
          </w:p>
        </w:tc>
        <w:tc>
          <w:tcPr>
            <w:tcW w:type="dxa" w:w="15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Moyen</w:t>
            </w:r>
          </w:p>
        </w:tc>
      </w:tr>
      <w:tr>
        <w:tc>
          <w:tcPr>
            <w:tcW w:type="dxa" w:w="15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Moyenne</w:t>
            </w:r>
          </w:p>
        </w:tc>
        <w:tc>
          <w:tcPr>
            <w:tcW w:type="dxa" w:w="53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Alerte de congestion portuaire</w:t>
            </w:r>
          </w:p>
        </w:tc>
        <w:tc>
          <w:tcPr>
            <w:tcW w:type="dxa" w:w="15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Moyen</w:t>
            </w:r>
          </w:p>
        </w:tc>
      </w:tr>
      <w:tr>
        <w:tc>
          <w:tcPr>
            <w:tcW w:type="dxa" w:w="15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Basse</w:t>
            </w:r>
          </w:p>
        </w:tc>
        <w:tc>
          <w:tcPr>
            <w:tcW w:type="dxa" w:w="53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Lien bidirectionnel céréale vers cours GrainWatch</w:t>
            </w:r>
          </w:p>
        </w:tc>
        <w:tc>
          <w:tcPr>
            <w:tcW w:type="dxa" w:w="15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Moyen</w:t>
            </w:r>
          </w:p>
        </w:tc>
      </w:tr>
      <w:tr>
        <w:tc>
          <w:tcPr>
            <w:tcW w:type="dxa" w:w="15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Basse</w:t>
            </w:r>
          </w:p>
        </w:tc>
        <w:tc>
          <w:tcPr>
            <w:tcW w:type="dxa" w:w="53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Mini-prix inline dans le panneau cargo</w:t>
            </w:r>
          </w:p>
        </w:tc>
        <w:tc>
          <w:tcPr>
            <w:tcW w:type="dxa" w:w="15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Ambitieux</w:t>
            </w:r>
          </w:p>
        </w:tc>
      </w:tr>
      <w:tr>
        <w:tc>
          <w:tcPr>
            <w:tcW w:type="dxa" w:w="15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Basse</w:t>
            </w:r>
          </w:p>
        </w:tc>
        <w:tc>
          <w:tcPr>
            <w:tcW w:type="dxa" w:w="53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Trails de trajectoire</w:t>
            </w:r>
          </w:p>
        </w:tc>
        <w:tc>
          <w:tcPr>
            <w:tcW w:type="dxa" w:w="15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Ambitieux</w:t>
            </w:r>
          </w:p>
        </w:tc>
      </w:tr>
      <w:tr>
        <w:tc>
          <w:tcPr>
            <w:tcW w:type="dxa" w:w="15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Basse</w:t>
            </w:r>
          </w:p>
        </w:tc>
        <w:tc>
          <w:tcPr>
            <w:tcW w:type="dxa" w:w="536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Compteur historique J-7</w:t>
            </w:r>
          </w:p>
        </w:tc>
        <w:tc>
          <w:tcPr>
            <w:tcW w:type="dxa" w:w="1500"/>
            <w:tcBorders>
              <w:top w:val="single" w:color="CCCCCC" w:sz="1"/>
              <w:left w:val="single" w:color="CCCCCC" w:sz="1"/>
              <w:bottom w:val="single" w:color="CCCCCC" w:sz="1"/>
              <w:right w:val="single" w:color="CCCCCC" w:sz="1"/>
            </w:tcBorders>
            <w:shd/>
          </w:tcPr>
          <w:p>
            <w:pPr>
              <w:spacing w:after="40" w:before="40"/>
            </w:pPr>
            <w:r>
              <w:rPr>
                <w:rFonts w:ascii="Arial" w:cs="Arial" w:eastAsia="Arial" w:hAnsi="Arial"/>
                <w:b w:val="false"/>
                <w:bCs w:val="false"/>
                <w:sz w:val="22"/>
                <w:szCs w:val="22"/>
              </w:rPr>
              <w:t xml:space="preserve">Ambitieux</w:t>
            </w:r>
          </w:p>
        </w:tc>
      </w:tr>
    </w:tbl>
    <w:p>
      <w:pPr>
        <w:spacing w:after="120"/>
      </w:pPr>
    </w:p>
    <w:p>
      <w:pPr>
        <w:spacing w:after="120"/>
      </w:pPr>
    </w:p>
    <w:p>
      <w:pPr>
        <w:spacing w:before="400"/>
        <w:jc w:val="center"/>
      </w:pPr>
      <w:r>
        <w:rPr>
          <w:rFonts w:ascii="Arial" w:cs="Arial" w:eastAsia="Arial" w:hAnsi="Arial"/>
          <w:i/>
          <w:iCs/>
          <w:color w:val="888888"/>
          <w:sz w:val="24"/>
          <w:szCs w:val="24"/>
        </w:rPr>
        <w:t xml:space="preserve">— Fin du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8"/>
        <w:szCs w:val="18"/>
      </w:rPr>
      <w:t xml:space="preserve">GrainTrack3D — Document d'étape v1.3.0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2026-05-19T16:44:32.886Z</dcterms:created>
  <dcterms:modified xsi:type="dcterms:W3CDTF">2026-05-19T16:44:32.887Z</dcterms:modified>
</cp:coreProperties>
</file>

<file path=docProps/custom.xml><?xml version="1.0" encoding="utf-8"?>
<Properties xmlns="http://schemas.openxmlformats.org/officeDocument/2006/custom-properties" xmlns:vt="http://schemas.openxmlformats.org/officeDocument/2006/docPropsVTypes"/>
</file>