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29C" w:rsidRDefault="0046629C" w:rsidP="0046629C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bCs/>
          <w:color w:val="000000"/>
          <w:sz w:val="28"/>
          <w:szCs w:val="24"/>
        </w:rPr>
      </w:pPr>
      <w:bookmarkStart w:id="0" w:name="_GoBack"/>
      <w:r>
        <w:rPr>
          <w:rFonts w:ascii="書法家行楷體" w:hAnsi="書法家行楷體" w:hint="eastAsia"/>
          <w:b/>
          <w:bCs/>
          <w:color w:val="000000"/>
          <w:sz w:val="28"/>
          <w:szCs w:val="24"/>
        </w:rPr>
        <w:t>166</w:t>
      </w: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为何善导大师看似要导一切人专持名号呢？</w:t>
      </w:r>
    </w:p>
    <w:bookmarkEnd w:id="0"/>
    <w:p w:rsidR="00255BE5" w:rsidRPr="00D06708" w:rsidRDefault="00255BE5" w:rsidP="0046629C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问：善导大师开示“但使专意作者，十即十生，修杂不至心者，千中无一”，请问师父，净宗祖师固然能作到这里的至心，凡夫也能作得到吗？末学也是听从善导大师教诲，深信名号功德无欠无余，专称六字洪名。请开示，为何善导大师看似要导一切人专持名号呢？这样作，怎样兑现“修诸功德、至心发愿”和“植众德本、至心回向”两愿呢？</w:t>
      </w:r>
    </w:p>
    <w:p w:rsidR="00255BE5" w:rsidRPr="00D06708" w:rsidRDefault="00255BE5" w:rsidP="0046629C">
      <w:pPr>
        <w:pStyle w:val="a5"/>
        <w:adjustRightInd w:val="0"/>
        <w:snapToGrid w:val="0"/>
        <w:spacing w:line="360" w:lineRule="auto"/>
        <w:ind w:firstLineChars="200" w:firstLine="562"/>
        <w:rPr>
          <w:rFonts w:ascii="書法家行楷體" w:eastAsia="書法家行楷體" w:hAnsi="書法家行楷體"/>
          <w:color w:val="000000"/>
          <w:sz w:val="28"/>
          <w:szCs w:val="24"/>
        </w:rPr>
      </w:pPr>
      <w:r w:rsidRPr="0046629C">
        <w:rPr>
          <w:rFonts w:ascii="書法家行楷體" w:hAnsi="書法家行楷體" w:hint="eastAsia"/>
          <w:b/>
          <w:color w:val="000000"/>
          <w:sz w:val="28"/>
          <w:szCs w:val="24"/>
        </w:rPr>
        <w:t>大安法师答：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至心就是至诚心。确实这是往生的先决前提。至诚心，善导大师作得到，我们业力凡夫也是可以作得到的。它不是谈一个水平、功夫问题，至诚心就是：你要老实。其实至诚心对于一个愚夫愚妇，更能作得到。他更能老实，知道自己一无是处，知道自己什么都不行，“我只有靠阿弥陀佛！”而且深信有西方极乐世界。这个世间已经活了几十年了，痛不可言：一生的那种酸甜苦辣。这种痛苦的人生，作为厌离娑婆、欣求极乐世界的一个巨大的推动力。“我只有这条道路可走了，别无选择，就靠阿弥陀佛！”于是他老老实实念三万、五万、七万、十万。这种人就已经作到了至心啦，就能够跟阿弥陀佛愿力感应道交：暗合道妙，巧入无生。这种人决定就能往生，不一定要多高的水平。</w:t>
      </w:r>
    </w:p>
    <w:p w:rsidR="00406BFE" w:rsidRDefault="00255BE5" w:rsidP="00255BE5">
      <w:pPr>
        <w:pStyle w:val="a5"/>
        <w:adjustRightInd w:val="0"/>
        <w:snapToGrid w:val="0"/>
        <w:spacing w:line="360" w:lineRule="auto"/>
        <w:ind w:firstLineChars="200" w:firstLine="560"/>
        <w:rPr>
          <w:rFonts w:ascii="書法家行楷體" w:hAnsi="書法家行楷體"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color w:val="000000"/>
          <w:sz w:val="28"/>
          <w:szCs w:val="24"/>
        </w:rPr>
        <w:t>那么善导大师在那个时代，确实希望大家专修。那执持名号往生，这也不是源自于善导大师。这是善导大师理解到了《阿弥陀经》——尤其是《无量寿经》——所传达的阿弥陀佛救度众生的一个悲心和方便。阿弥陀佛就是在因地建立名号度众生的，“我若成正觉，立名无量寿，众生闻此号，俱来我刹中。”所以念名号往生，这是净土法门不共的一个本质特点。你看《般舟三昧经》，颰</w:t>
      </w:r>
      <w:r w:rsidRPr="00D06708">
        <w:rPr>
          <w:rStyle w:val="apple-style-span"/>
          <w:rFonts w:ascii="書法家行楷體" w:hAnsi="書法家行楷體" w:cs="Arial" w:hint="eastAsia"/>
          <w:color w:val="000000"/>
          <w:sz w:val="28"/>
          <w:szCs w:val="24"/>
        </w:rPr>
        <w:t>陀和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菩萨得到般舟三昧，见阿弥陀佛，问阿弥陀佛怎么去往生。阿弥陀佛在那个时候，还是说“专持我的名号”。法照大师看到文殊、普贤，向文殊请问修行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lastRenderedPageBreak/>
        <w:t>方法，还是谈弥陀名号问题。是善导大师理解到了这一点，所以让我们专持弥陀名号。专持名号，这是正行、正因，但同时净土法门又是一个普门——可以普摄一切根机的。所以你能够发菩提心，修通途的这个六度万行，包括参禅、教下，你只要把这个修行的功德，临命终时或者平时能够回向往生西方极乐世界，也是可以往生的。比如圆照本禅师，他是参禅的，他接引众生是要讲宗门的东西；但是他每天就先修净土的十念法，然后西方极乐世界就有他的一朵很大的莲华。这就说明参禅的祖师大德只要回向，可以到极乐世界去。甚至你平时没有净土的念佛功夫，就以解第一义谛的功德回向，都能往生。上品中生就谈这个：解第一义谛，没有谈你要多少多少时间来念佛。解第一义谛的功德，回向往生西方极乐世界，就能够上品中生。所以净土法门是一个非常广阔的摄受。但是里面有一个不共的，就是你要有信、愿。如果你修其他宗门、教下，不想往生，“我要有这个功德，我要生生世世在这里修菩萨道，我要下辈子童真出家，一闻千悟，我要在这里修菩萨道，成佛”，你是这么一个发愿，那你绝对不能往生，功夫再好也不能往生，这样的。</w:t>
      </w:r>
    </w:p>
    <w:p w:rsidR="00255BE5" w:rsidRPr="00255BE5" w:rsidRDefault="00255BE5" w:rsidP="00255BE5">
      <w:pPr>
        <w:pStyle w:val="a5"/>
        <w:adjustRightInd w:val="0"/>
        <w:snapToGrid w:val="0"/>
        <w:spacing w:line="360" w:lineRule="auto"/>
        <w:ind w:firstLineChars="200" w:firstLine="560"/>
        <w:rPr>
          <w:rFonts w:ascii="書法家行楷體" w:eastAsia="書法家行楷體" w:hAnsi="書法家行楷體"/>
          <w:color w:val="000000"/>
          <w:sz w:val="28"/>
          <w:szCs w:val="24"/>
        </w:rPr>
      </w:pPr>
      <w:r>
        <w:rPr>
          <w:rFonts w:hint="eastAsia"/>
          <w:color w:val="000000"/>
          <w:sz w:val="28"/>
        </w:rPr>
        <w:t>——大安法师《文昌帝君阴骘文广义节录》第22讲（融法恭录）</w:t>
      </w:r>
    </w:p>
    <w:sectPr w:rsidR="00255BE5" w:rsidRPr="00255BE5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64F" w:rsidRDefault="00E1564F" w:rsidP="00255BE5">
      <w:r>
        <w:separator/>
      </w:r>
    </w:p>
  </w:endnote>
  <w:endnote w:type="continuationSeparator" w:id="0">
    <w:p w:rsidR="00E1564F" w:rsidRDefault="00E1564F" w:rsidP="00255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64F" w:rsidRDefault="00E1564F" w:rsidP="00255BE5">
      <w:r>
        <w:separator/>
      </w:r>
    </w:p>
  </w:footnote>
  <w:footnote w:type="continuationSeparator" w:id="0">
    <w:p w:rsidR="00E1564F" w:rsidRDefault="00E1564F" w:rsidP="00255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55BE5"/>
    <w:rsid w:val="000650CF"/>
    <w:rsid w:val="00255BE5"/>
    <w:rsid w:val="00406BFE"/>
    <w:rsid w:val="0046629C"/>
    <w:rsid w:val="00CE3C09"/>
    <w:rsid w:val="00E1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6B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55B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55BE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55B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55BE5"/>
    <w:rPr>
      <w:sz w:val="18"/>
      <w:szCs w:val="18"/>
    </w:rPr>
  </w:style>
  <w:style w:type="character" w:customStyle="1" w:styleId="apple-style-span">
    <w:name w:val="apple-style-span"/>
    <w:basedOn w:val="a0"/>
    <w:rsid w:val="00255BE5"/>
  </w:style>
  <w:style w:type="paragraph" w:styleId="a5">
    <w:name w:val="Plain Text"/>
    <w:basedOn w:val="a"/>
    <w:link w:val="Char1"/>
    <w:rsid w:val="00255BE5"/>
    <w:pPr>
      <w:widowControl/>
      <w:jc w:val="left"/>
    </w:pPr>
    <w:rPr>
      <w:rFonts w:ascii="宋体" w:eastAsia="宋体" w:hAnsi="宋体" w:cs="Times New Roman"/>
      <w:kern w:val="0"/>
      <w:sz w:val="24"/>
      <w:szCs w:val="20"/>
    </w:rPr>
  </w:style>
  <w:style w:type="character" w:customStyle="1" w:styleId="Char1">
    <w:name w:val="纯文本 Char"/>
    <w:basedOn w:val="a0"/>
    <w:link w:val="a5"/>
    <w:rsid w:val="00255BE5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1037</Characters>
  <Application>Microsoft Office Word</Application>
  <DocSecurity>0</DocSecurity>
  <Lines>8</Lines>
  <Paragraphs>2</Paragraphs>
  <ScaleCrop>false</ScaleCrop>
  <Company>china</Company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2016-11-09T08:00:00Z</dcterms:created>
  <dcterms:modified xsi:type="dcterms:W3CDTF">2018-06-04T23:57:00Z</dcterms:modified>
</cp:coreProperties>
</file>