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EF3" w:rsidRDefault="00AE7EF3" w:rsidP="00AE7EF3">
      <w:pPr>
        <w:spacing w:line="360" w:lineRule="auto"/>
        <w:ind w:rightChars="-4" w:right="-8"/>
        <w:rPr>
          <w:rFonts w:ascii="宋体" w:hAnsi="宋体" w:hint="eastAsia"/>
          <w:b/>
          <w:bCs/>
          <w:sz w:val="28"/>
          <w:szCs w:val="1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18"/>
        </w:rPr>
        <w:t>213</w:t>
      </w:r>
      <w:r>
        <w:rPr>
          <w:rFonts w:ascii="宋体" w:hAnsi="宋体" w:hint="eastAsia"/>
          <w:b/>
          <w:bCs/>
          <w:sz w:val="28"/>
          <w:szCs w:val="18"/>
        </w:rPr>
        <w:t>净土法门执著有相，那怎样契入中观法门、缘起性空呢？</w:t>
      </w:r>
    </w:p>
    <w:bookmarkEnd w:id="0"/>
    <w:p w:rsidR="009160F0" w:rsidRDefault="00AE7EF3" w:rsidP="00AE7EF3">
      <w:pPr>
        <w:spacing w:line="360" w:lineRule="auto"/>
        <w:ind w:rightChars="-4" w:right="-8"/>
        <w:rPr>
          <w:rFonts w:ascii="宋体" w:hAnsi="宋体"/>
          <w:sz w:val="28"/>
          <w:szCs w:val="18"/>
        </w:rPr>
      </w:pPr>
      <w:r>
        <w:rPr>
          <w:rFonts w:ascii="宋体" w:hAnsi="宋体" w:hint="eastAsia"/>
          <w:b/>
          <w:bCs/>
          <w:sz w:val="28"/>
          <w:szCs w:val="18"/>
        </w:rPr>
        <w:t>问：请问净土法门执著有相，那怎样契入中观法门、缘起性空呢？</w:t>
      </w:r>
    </w:p>
    <w:p w:rsidR="009160F0" w:rsidRDefault="00AE7EF3">
      <w:pPr>
        <w:ind w:firstLine="560"/>
        <w:rPr>
          <w:rFonts w:ascii="宋体" w:hAnsi="宋体"/>
          <w:sz w:val="28"/>
          <w:szCs w:val="18"/>
        </w:rPr>
      </w:pPr>
      <w:r w:rsidRPr="00AE7EF3">
        <w:rPr>
          <w:rFonts w:ascii="宋体" w:hAnsi="宋体" w:hint="eastAsia"/>
          <w:b/>
          <w:sz w:val="28"/>
          <w:szCs w:val="18"/>
        </w:rPr>
        <w:t>大安法师</w:t>
      </w:r>
      <w:r w:rsidRPr="00AE7EF3">
        <w:rPr>
          <w:rFonts w:ascii="宋体" w:hAnsi="宋体" w:hint="eastAsia"/>
          <w:b/>
          <w:sz w:val="28"/>
          <w:szCs w:val="18"/>
        </w:rPr>
        <w:t>答：</w:t>
      </w:r>
      <w:r>
        <w:rPr>
          <w:rFonts w:ascii="宋体" w:hAnsi="宋体" w:hint="eastAsia"/>
          <w:sz w:val="28"/>
          <w:szCs w:val="18"/>
        </w:rPr>
        <w:t>其实执著这个相，里面就包涵着真空。为什么？要了解净土的相，不是一般的相，称为第一义谛妙境界相。就是奇妙的、不可思议的境界之相，是来自于第一义谛。第一义谛就是诸法的空性：毕竟空、无所有。所以当我们系念这个妙境界相的时候，实际上就契入到那种中观的真空妙有的中道了义了。这个名号是缘起的，是阿弥陀佛用他的愿——发愿——这个缘生起来的。那名号体性是空的，正是符合缘起性空的道理。你念这句名号的时候，我们的心本身也是看不见摸不着。这个心怎么出来？当你去念这句名号的时候，你当下这一念能念佛的心就起来了，这叫缘起。这个能</w:t>
      </w:r>
      <w:r>
        <w:rPr>
          <w:rFonts w:ascii="宋体" w:hAnsi="宋体" w:hint="eastAsia"/>
          <w:sz w:val="28"/>
          <w:szCs w:val="18"/>
        </w:rPr>
        <w:t>念的心虽然孤名历历，但是你看它是怎么起来的。既然是缘起，它能念的心当体也是空的，所念的佛号也是了不可得的。你要从这个能念和所念当中，体会它本性上的那种毕竟空、无所有的特点。你体会到这一点，才会想到为什么这句名号能够让我们止一切妄想杂念，而且让我们心越来越清净。因为它本身就有空的东西在里面，有无量寿的特点在里面。这个名号总是有一种相的话，就让我们心越来越执著：不是这样的。我们凡夫众生都有执著，要通过对一个有相的执著到达到无相。从有相到无相，从有念到无念，从有生到无生，这就是善巧方便。</w:t>
      </w:r>
    </w:p>
    <w:p w:rsidR="009160F0" w:rsidRDefault="00AE7EF3">
      <w:pPr>
        <w:ind w:firstLine="560"/>
        <w:rPr>
          <w:rFonts w:ascii="宋体" w:hAnsi="宋体"/>
          <w:sz w:val="28"/>
          <w:szCs w:val="18"/>
        </w:rPr>
      </w:pPr>
      <w:r>
        <w:rPr>
          <w:rFonts w:hint="eastAsia"/>
          <w:sz w:val="28"/>
          <w:szCs w:val="28"/>
        </w:rPr>
        <w:t>——大安法师《大势至菩萨</w:t>
      </w:r>
      <w:r>
        <w:rPr>
          <w:rFonts w:hint="eastAsia"/>
          <w:sz w:val="28"/>
          <w:szCs w:val="28"/>
        </w:rPr>
        <w:t>念佛圆通章》第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916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F0"/>
    <w:rsid w:val="009160F0"/>
    <w:rsid w:val="00AE7EF3"/>
    <w:rsid w:val="33C1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>china</Company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