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C78" w:rsidRDefault="00C66C78" w:rsidP="00C66C78">
      <w:pPr>
        <w:spacing w:line="360" w:lineRule="auto"/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218</w:t>
      </w:r>
      <w:r w:rsidRPr="00C66C78">
        <w:rPr>
          <w:rFonts w:ascii="宋体" w:hAnsi="宋体" w:hint="eastAsia"/>
          <w:b/>
          <w:sz w:val="28"/>
          <w:szCs w:val="28"/>
        </w:rPr>
        <w:t>能不能预知时至，自在往生，你都不要去管它</w:t>
      </w:r>
    </w:p>
    <w:bookmarkEnd w:id="0"/>
    <w:p w:rsidR="006E0DE4" w:rsidRDefault="00C66C78" w:rsidP="00C66C78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问：我们常常听说预知时至，自在往生，请指教我们怎样修，才能达到这样的境界？</w:t>
      </w:r>
    </w:p>
    <w:p w:rsidR="006E0DE4" w:rsidRDefault="00C66C78">
      <w:pPr>
        <w:ind w:firstLine="560"/>
        <w:rPr>
          <w:rFonts w:ascii="宋体" w:hAnsi="宋体"/>
          <w:sz w:val="28"/>
          <w:szCs w:val="28"/>
        </w:rPr>
      </w:pPr>
      <w:r w:rsidRPr="00C66C78">
        <w:rPr>
          <w:rFonts w:ascii="宋体" w:hAnsi="宋体" w:hint="eastAsia"/>
          <w:b/>
          <w:sz w:val="28"/>
          <w:szCs w:val="28"/>
        </w:rPr>
        <w:t>大安法师</w:t>
      </w:r>
      <w:r w:rsidRPr="00C66C78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个境界不需要去追求。其实是不是能够预知时至、自在往生都不是很重要，关键问题你要相信：无论我是不是预知时至，无论我是什么样的不自在，阿弥陀佛决定能够把我接引到西方极乐世界去。这样的信心才是关键。但是如果你念佛念得得力，是有预知时至的情况。有时候或者阿弥陀佛，或者观音菩萨，做梦给你告诉一下。有时候都是用很隐密的方式告诉，但是你心很粗劣，都不能领会。虽然告诉，你也不明白，那也是没有办法的。所以你还是从信愿称名、老实念佛当中去下手。能不能预知时至，自在往生，你都不要去管它。这一切都听任阿弥陀佛的安排就好了。</w:t>
      </w:r>
    </w:p>
    <w:p w:rsidR="006E0DE4" w:rsidRDefault="00C66C78">
      <w:pPr>
        <w:ind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6E0D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DE4"/>
    <w:rsid w:val="006E0DE4"/>
    <w:rsid w:val="00C66C78"/>
    <w:rsid w:val="58AD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>china</Company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