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472" w:rsidRDefault="001A4472">
      <w:pPr>
        <w:spacing w:line="360" w:lineRule="auto"/>
        <w:jc w:val="left"/>
        <w:rPr>
          <w:rFonts w:hint="eastAsia"/>
          <w:b/>
          <w:bCs/>
          <w:sz w:val="28"/>
        </w:rPr>
      </w:pPr>
      <w:r w:rsidRPr="001A4472">
        <w:rPr>
          <w:rFonts w:hint="eastAsia"/>
          <w:b/>
          <w:bCs/>
          <w:sz w:val="28"/>
        </w:rPr>
        <w:t xml:space="preserve">366 </w:t>
      </w:r>
      <w:r w:rsidRPr="001A4472">
        <w:rPr>
          <w:rFonts w:hint="eastAsia"/>
          <w:b/>
          <w:bCs/>
          <w:sz w:val="28"/>
        </w:rPr>
        <w:t>既是万法皆空，而为何因果不空？</w:t>
      </w:r>
    </w:p>
    <w:p w:rsidR="00E676C9" w:rsidRDefault="001A4472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问：既是万法皆空，而为何因果不空？如何理解？</w:t>
      </w:r>
    </w:p>
    <w:p w:rsidR="00E676C9" w:rsidRDefault="001A4472">
      <w:pPr>
        <w:ind w:firstLine="560"/>
        <w:rPr>
          <w:sz w:val="28"/>
        </w:rPr>
      </w:pPr>
      <w:bookmarkStart w:id="0" w:name="_GoBack"/>
      <w:r w:rsidRPr="001A4472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万法皆空是指：一切法都是缘起的，不是本有的，既然是缘起的，自性本空。这是佛法的一个根本原理。也正因为空，才能建立万法；如果不空，一切法无法建立。如果一切法都是常的，今生为人，下辈子还是为人，下辈子还是为人，你不空的，那建立六道轮回，建立善恶的法则，是没法</w:t>
      </w:r>
      <w:r>
        <w:rPr>
          <w:rFonts w:hint="eastAsia"/>
          <w:sz w:val="28"/>
        </w:rPr>
        <w:t>建立的。也就是正因为万法皆空，才能建立诸法的差别相。这些差别相就来自于他的善善恶恶，因果的法则建立它的缘起法，建立它的差别相：是这么一个辩证的关系。</w:t>
      </w:r>
    </w:p>
    <w:p w:rsidR="00E676C9" w:rsidRDefault="001A4472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E67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6C9"/>
    <w:rsid w:val="001A4472"/>
    <w:rsid w:val="00E676C9"/>
    <w:rsid w:val="3E79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>china</Company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