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D48" w:rsidRPr="00B83D48" w:rsidRDefault="00B83D48">
      <w:pPr>
        <w:autoSpaceDE w:val="0"/>
        <w:autoSpaceDN w:val="0"/>
        <w:adjustRightInd w:val="0"/>
        <w:spacing w:line="360" w:lineRule="auto"/>
        <w:ind w:rightChars="-266" w:right="-559"/>
        <w:jc w:val="left"/>
        <w:rPr>
          <w:rFonts w:ascii="宋体" w:hAnsi="宋体" w:hint="eastAsia"/>
          <w:b/>
          <w:kern w:val="0"/>
          <w:sz w:val="28"/>
          <w:lang w:val="zh-CN"/>
        </w:rPr>
      </w:pPr>
      <w:bookmarkStart w:id="0" w:name="_GoBack"/>
      <w:r w:rsidRPr="00B83D48">
        <w:rPr>
          <w:rFonts w:ascii="宋体" w:hAnsi="宋体" w:hint="eastAsia"/>
          <w:b/>
          <w:kern w:val="0"/>
          <w:sz w:val="28"/>
          <w:lang w:val="zh-CN"/>
        </w:rPr>
        <w:t>468如何理解 “若以色见我，以音声求我，是人行邪道，不能见如来”</w:t>
      </w:r>
    </w:p>
    <w:p w:rsidR="004F1732" w:rsidRPr="00B83D48" w:rsidRDefault="00B83D48">
      <w:pPr>
        <w:autoSpaceDE w:val="0"/>
        <w:autoSpaceDN w:val="0"/>
        <w:adjustRightInd w:val="0"/>
        <w:spacing w:line="360" w:lineRule="auto"/>
        <w:ind w:rightChars="-266" w:right="-559"/>
        <w:jc w:val="left"/>
        <w:rPr>
          <w:rFonts w:ascii="宋体" w:hAnsi="宋体"/>
          <w:b/>
          <w:kern w:val="0"/>
          <w:sz w:val="28"/>
          <w:lang w:val="zh-CN"/>
        </w:rPr>
      </w:pPr>
      <w:r w:rsidRPr="00B83D48">
        <w:rPr>
          <w:rFonts w:ascii="宋体" w:hAnsi="宋体" w:hint="eastAsia"/>
          <w:b/>
          <w:kern w:val="0"/>
          <w:sz w:val="28"/>
          <w:lang w:val="zh-CN"/>
        </w:rPr>
        <w:t>问</w:t>
      </w:r>
      <w:r w:rsidRPr="00B83D48">
        <w:rPr>
          <w:rFonts w:ascii="宋体" w:hAnsi="宋体" w:hint="eastAsia"/>
          <w:b/>
          <w:kern w:val="0"/>
          <w:sz w:val="28"/>
          <w:lang w:val="zh-CN"/>
        </w:rPr>
        <w:t>：如何理解《金刚经》中“若以色见我，以音声求我，是人行邪道，不能见如来”。</w:t>
      </w:r>
    </w:p>
    <w:p w:rsidR="004F1732" w:rsidRDefault="00B83D48" w:rsidP="00B83D48">
      <w:pPr>
        <w:spacing w:line="360" w:lineRule="auto"/>
        <w:ind w:rightChars="-266" w:right="-559" w:firstLineChars="200" w:firstLine="562"/>
        <w:rPr>
          <w:rFonts w:ascii="宋体" w:hAnsi="宋体"/>
          <w:sz w:val="28"/>
          <w:lang w:val="zh-CN"/>
        </w:rPr>
      </w:pPr>
      <w:r w:rsidRPr="00B83D48">
        <w:rPr>
          <w:rFonts w:ascii="宋体" w:hAnsi="宋体" w:hint="eastAsia"/>
          <w:b/>
          <w:kern w:val="0"/>
          <w:sz w:val="28"/>
        </w:rPr>
        <w:t>大安法师</w:t>
      </w:r>
      <w:r w:rsidRPr="00B83D48">
        <w:rPr>
          <w:rFonts w:ascii="宋体" w:hAnsi="宋体" w:hint="eastAsia"/>
          <w:b/>
          <w:kern w:val="0"/>
          <w:sz w:val="28"/>
          <w:lang w:val="zh-CN"/>
        </w:rPr>
        <w:t>答</w:t>
      </w:r>
      <w:r w:rsidRPr="00B83D48">
        <w:rPr>
          <w:rFonts w:ascii="宋体" w:hAnsi="宋体" w:hint="eastAsia"/>
          <w:b/>
          <w:kern w:val="0"/>
          <w:sz w:val="28"/>
          <w:lang w:val="zh-CN"/>
        </w:rPr>
        <w:t>：</w:t>
      </w:r>
      <w:bookmarkEnd w:id="0"/>
      <w:r>
        <w:rPr>
          <w:rFonts w:ascii="宋体" w:hAnsi="宋体" w:hint="eastAsia"/>
          <w:sz w:val="28"/>
          <w:lang w:val="zh-CN"/>
        </w:rPr>
        <w:t>首先要理解《金刚经》的一个宗旨，“能断金刚”它展示般若的空性：诸法自性本空。我们众生有一种颠倒，就是不了解这个空性，把现象界的一切认为是真实的，所以《金刚经》就是破我们对这种现象界色相的一种执着。它是破有，但同时也破空，一定要做到空有不二的正见。所以它在破执着当中，有扫荡的这一面——不立一法。</w:t>
      </w:r>
    </w:p>
    <w:p w:rsidR="004F1732" w:rsidRDefault="00B83D4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比如说佛，这个“若见诸相非相，即见如来”，如来不是那个相。如果说你要见佛，以三十二相都来见，三十二相就是佛吗？转轮圣王也有三十二相啊。三十二相、八十随形好不能说就是佛。这个“我”，是假名指我，就是佛——佛的自称。如果你只是认为三十二相、八十随形好就是佛，你没有见到。这个佛离开言语相，离开文字相，你以一种音声来求“我”，这也不对。如果你在这个色相上，在音声上，在这些生灭法上去求不生不灭的佛性，这就搞错了。所以“是人行邪道，不能见如来”。如来是不生不灭的，所以你契证到诸法的空性，你才能见到如来。</w:t>
      </w:r>
    </w:p>
    <w:p w:rsidR="004F1732" w:rsidRDefault="00B83D4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但是这空又不是</w:t>
      </w:r>
      <w:r>
        <w:rPr>
          <w:rFonts w:ascii="宋体" w:hAnsi="宋体" w:hint="eastAsia"/>
          <w:sz w:val="28"/>
        </w:rPr>
        <w:t>断灭空，又不是豁达空，这个是真空。真空是什么？是包含着有的空。即有之空为真空，即空之有为妙有。你要了解这个真空、妙有，才把握了大乘的中道了义。真空就是无量寿，妙有就是无量光。所以全体的妙有——比如西方极乐世界就是妙有，它的妙有当体就是空性，从它建立来看，也是阿弥陀佛契证诸法的空性，住无相、无愿、无著这个三昧，再由他的愿力——四十八大愿为中介，生起了西方极乐世界全体的</w:t>
      </w:r>
      <w:r>
        <w:rPr>
          <w:rFonts w:ascii="宋体" w:hAnsi="宋体" w:hint="eastAsia"/>
          <w:sz w:val="28"/>
        </w:rPr>
        <w:lastRenderedPageBreak/>
        <w:t>依正庄严的。所以它的庄严是从实相里面生起来的，换句话来说，这个事相上的所有的庄严，当体也是实相。所以大家把握这个就可以，不要偏在这个色相、音声当</w:t>
      </w:r>
      <w:r>
        <w:rPr>
          <w:rFonts w:ascii="宋体" w:hAnsi="宋体" w:hint="eastAsia"/>
          <w:sz w:val="28"/>
        </w:rPr>
        <w:t>中，因为色相、音声是生灭的、有为的东西，就像这个《楞严经》讲，你首先要悟证到不生不灭的心性。为什么开始就七处征心？你总认为有个心——阿难总认为有心，实际上心是没有的，你离开那个妄心，那么你就能了解不生不灭之性。修以不生不灭之因心——因性，才能求证不生不灭之果位；如果你以生灭的心去求不生不灭的果位，是求不到的。这就比喻成以沙煮饭：你拿沙来煮饭，永远煮不成饭，你是米才能煮成饭。</w:t>
      </w:r>
    </w:p>
    <w:p w:rsidR="004F1732" w:rsidRDefault="00B83D4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所以这个般若经的宗旨你要把握，你就能了解“若以色见我，以音声求我，是人行邪道，不能见如来”。但是你也不能离开这个色，也不能离开音声，要</w:t>
      </w:r>
      <w:r>
        <w:rPr>
          <w:rFonts w:ascii="宋体" w:hAnsi="宋体" w:hint="eastAsia"/>
          <w:sz w:val="28"/>
        </w:rPr>
        <w:t>理解“离一切相，即一切法”——就对了。所以蕅益大师又针对有些人太执着这个空，就做了一个《金刚经破空论》。你也不能堕在空里面，所以一定要把握中道。《金刚经》不断地把这个（道理来论述），比如说“庄严佛土者，即非庄严，是名庄严”，你怎么把握这个？你庄严净土，如果你执着它的有为，它是非庄严；但是你把庄严的这个事相，当体把它观空——空有不二，你观空的当下还叫真的庄严。这就像须菩提在那晏坐，晏坐呢，就感得帝释天散花。这个须菩提就问：“你从天上来，为什么散花呀？”帝释天说：“是尊者善说般若。”——善说般若的经典。须菩提说</w:t>
      </w:r>
      <w:r>
        <w:rPr>
          <w:rFonts w:ascii="宋体" w:hAnsi="宋体" w:hint="eastAsia"/>
          <w:sz w:val="28"/>
        </w:rPr>
        <w:t>：“我没有说呀。”这个帝释天说：“尊者无说，我也无闻。无说无闻就叫真般若。所以我来散花。”大家去体会一下。</w:t>
      </w:r>
    </w:p>
    <w:p w:rsidR="004F1732" w:rsidRDefault="00B83D4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4F1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732"/>
    <w:rsid w:val="004F1732"/>
    <w:rsid w:val="00B83D48"/>
    <w:rsid w:val="1BB8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1135</Characters>
  <Application>Microsoft Office Word</Application>
  <DocSecurity>0</DocSecurity>
  <Lines>9</Lines>
  <Paragraphs>2</Paragraphs>
  <ScaleCrop>false</ScaleCrop>
  <Company>china</Company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