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7B00" w:rsidRDefault="000B7B00">
      <w:pPr>
        <w:rPr>
          <w:rFonts w:ascii="宋体" w:cs="Tahoma" w:hint="eastAsia"/>
          <w:b/>
          <w:bCs/>
          <w:color w:val="000000"/>
          <w:sz w:val="28"/>
          <w:szCs w:val="28"/>
          <w:shd w:val="clear" w:color="auto" w:fill="FFFFFF"/>
        </w:rPr>
      </w:pPr>
      <w:r w:rsidRPr="000B7B00">
        <w:rPr>
          <w:rFonts w:ascii="宋体" w:cs="Tahoma" w:hint="eastAsia"/>
          <w:b/>
          <w:bCs/>
          <w:color w:val="000000"/>
          <w:sz w:val="28"/>
          <w:szCs w:val="28"/>
          <w:shd w:val="clear" w:color="auto" w:fill="FFFFFF"/>
        </w:rPr>
        <w:t>515自性是佛，为什么还要拜佛？</w:t>
      </w:r>
    </w:p>
    <w:p w:rsidR="0040144C" w:rsidRDefault="000B7B00">
      <w:pPr>
        <w:rPr>
          <w:rFonts w:ascii="宋体" w:cs="Tahoma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宋体" w:cs="Tahoma" w:hint="eastAsia"/>
          <w:b/>
          <w:bCs/>
          <w:color w:val="000000"/>
          <w:sz w:val="28"/>
          <w:szCs w:val="28"/>
          <w:shd w:val="clear" w:color="auto" w:fill="FFFFFF"/>
        </w:rPr>
        <w:t>问：自性是佛，为什么还要拜佛？</w:t>
      </w:r>
    </w:p>
    <w:p w:rsidR="0040144C" w:rsidRDefault="000B7B00" w:rsidP="000B7B00">
      <w:pPr>
        <w:ind w:firstLineChars="200" w:firstLine="562"/>
        <w:rPr>
          <w:sz w:val="28"/>
          <w:szCs w:val="28"/>
        </w:rPr>
      </w:pPr>
      <w:bookmarkStart w:id="0" w:name="_GoBack"/>
      <w:r w:rsidRPr="000B7B00">
        <w:rPr>
          <w:rFonts w:ascii="宋体" w:hint="eastAsia"/>
          <w:b/>
          <w:sz w:val="28"/>
          <w:szCs w:val="28"/>
        </w:rPr>
        <w:t>大安法师</w:t>
      </w:r>
      <w:r w:rsidRPr="000B7B00">
        <w:rPr>
          <w:rFonts w:ascii="宋体" w:cs="Tahoma" w:hint="eastAsia"/>
          <w:b/>
          <w:color w:val="000000"/>
          <w:sz w:val="28"/>
          <w:szCs w:val="28"/>
          <w:shd w:val="clear" w:color="auto" w:fill="FFFFFF"/>
        </w:rPr>
        <w:t>答：</w:t>
      </w:r>
      <w:bookmarkEnd w:id="0"/>
      <w:r>
        <w:rPr>
          <w:rFonts w:hint="eastAsia"/>
          <w:sz w:val="28"/>
          <w:szCs w:val="28"/>
        </w:rPr>
        <w:t>自性是佛为什么还要拜佛？这里面，修行要理上要明白，事相上要不能废弃。你说自性是佛，但你的里面也有魔，魔性也很大。那要通过拜外面的佛，把我们的自性佛给彰显出来，不能废弃拜佛。所以拜佛是净业行人必修的一个科目，天天要拜佛。这叫“外慕诸圣，内重己灵”。不能光是内重己灵，就外面的诸圣都不尊重，那你就是叫作执理废事，这是偏颇。一定要理事双修，才是正确的方法。所以相信自性是佛，还要努力拜佛，就可以。</w:t>
      </w:r>
    </w:p>
    <w:p w:rsidR="0040144C" w:rsidRDefault="000B7B00">
      <w:pPr>
        <w:ind w:firstLineChars="200" w:firstLine="560"/>
        <w:rPr>
          <w:sz w:val="28"/>
          <w:szCs w:val="28"/>
        </w:rPr>
      </w:pPr>
      <w:r>
        <w:rPr>
          <w:rFonts w:ascii="Arial" w:hAnsi="Arial" w:hint="eastAsia"/>
          <w:color w:val="000000"/>
          <w:sz w:val="28"/>
          <w:szCs w:val="28"/>
        </w:rPr>
        <w:t>——大安法师《观经四帖疏·九品往生章》第</w:t>
      </w:r>
      <w:r>
        <w:rPr>
          <w:rFonts w:ascii="Arial" w:hAnsi="Arial" w:hint="eastAsia"/>
          <w:color w:val="000000"/>
          <w:sz w:val="28"/>
          <w:szCs w:val="28"/>
        </w:rPr>
        <w:t>2</w:t>
      </w:r>
      <w:r>
        <w:rPr>
          <w:rFonts w:ascii="Arial" w:hAnsi="Arial" w:hint="eastAsia"/>
          <w:color w:val="000000"/>
          <w:sz w:val="28"/>
          <w:szCs w:val="28"/>
        </w:rPr>
        <w:t>讲（融法恭录）</w:t>
      </w:r>
    </w:p>
    <w:sectPr w:rsidR="004014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144C"/>
    <w:rsid w:val="000B7B00"/>
    <w:rsid w:val="0040144C"/>
    <w:rsid w:val="09FE2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225</Characters>
  <Application>Microsoft Office Word</Application>
  <DocSecurity>0</DocSecurity>
  <Lines>1</Lines>
  <Paragraphs>1</Paragraphs>
  <ScaleCrop>false</ScaleCrop>
  <Company>china</Company>
  <LinksUpToDate>false</LinksUpToDate>
  <CharactersWithSpaces>263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