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044" w:rsidRDefault="00832044">
      <w:pPr>
        <w:spacing w:line="360" w:lineRule="auto"/>
        <w:jc w:val="left"/>
        <w:rPr>
          <w:rFonts w:hint="eastAsia"/>
          <w:b/>
          <w:bCs/>
          <w:sz w:val="28"/>
        </w:rPr>
      </w:pPr>
      <w:r w:rsidRPr="00832044">
        <w:rPr>
          <w:rFonts w:hint="eastAsia"/>
          <w:b/>
          <w:bCs/>
          <w:sz w:val="28"/>
        </w:rPr>
        <w:t>559</w:t>
      </w:r>
      <w:r w:rsidRPr="00832044">
        <w:rPr>
          <w:rFonts w:hint="eastAsia"/>
          <w:b/>
          <w:bCs/>
          <w:sz w:val="28"/>
        </w:rPr>
        <w:t>有的人也念佛，可是他照样吃鸡鸭鱼肉，应怎样解决？</w:t>
      </w:r>
      <w:bookmarkStart w:id="0" w:name="_GoBack"/>
      <w:bookmarkEnd w:id="0"/>
    </w:p>
    <w:p w:rsidR="00DB76B8" w:rsidRDefault="00832044">
      <w:pPr>
        <w:spacing w:line="360" w:lineRule="auto"/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问：请问有的人也念佛，可是他照样吃鸡鸭鱼肉，应怎样解决？</w:t>
      </w:r>
    </w:p>
    <w:p w:rsidR="00DB76B8" w:rsidRDefault="00832044">
      <w:pPr>
        <w:ind w:firstLine="560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首先，你不要把门槛设得太高。他刚刚学佛，只要肯念佛，你就要赞叹他。你不能说：“你念佛，就不能吃这些东西；你吃这些东西，就不能念佛。”你不要搞得水火不相容。只要他念佛，你说好；吃就让他先吃，因为他有吃了几十年的习惯。你不让他吃，他佛也不念了，那就麻烦了。你先让他念佛，只要念佛，慢慢念得相应了，他有信心了，交给阿弥陀佛了；阿弥陀佛就有办法让他不吃：是这么个道理。</w:t>
      </w:r>
    </w:p>
    <w:p w:rsidR="00DB76B8" w:rsidRDefault="00832044">
      <w:pPr>
        <w:ind w:firstLine="560"/>
        <w:rPr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3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DB76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6B8"/>
    <w:rsid w:val="00832044"/>
    <w:rsid w:val="00DB76B8"/>
    <w:rsid w:val="26E7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>china</Company>
  <LinksUpToDate>false</LinksUpToDate>
  <CharactersWithSpaces>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