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新宋体" w:hAnsi="新宋体" w:eastAsia="新宋体"/>
          <w:b/>
          <w:bCs/>
          <w:sz w:val="28"/>
          <w:szCs w:val="28"/>
        </w:rPr>
      </w:pPr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新宋体" w:hAnsi="新宋体" w:eastAsia="新宋体"/>
          <w:b/>
          <w:bCs/>
          <w:sz w:val="28"/>
          <w:szCs w:val="28"/>
        </w:rPr>
        <w:t>请问如果做了一百件好事之后，又做了一件坏事，以上的一百件事，是不是等于没做？</w:t>
      </w:r>
    </w:p>
    <w:p>
      <w:pPr>
        <w:ind w:firstLine="562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新宋体" w:hAnsi="新宋体" w:eastAsia="新宋体"/>
          <w:sz w:val="28"/>
          <w:szCs w:val="28"/>
        </w:rPr>
        <w:t>不会的。这个是法诸法位，各有因果。你一百件好事，有一百件好事的善果。你一件坏事，有一件坏事的恶果。它是丝毫不会紊乱的，但这里不是要将功折过了，它都会有报应的。</w:t>
      </w:r>
    </w:p>
    <w:p>
      <w:pPr>
        <w:ind w:firstLine="560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——大安法师《阿弥陀佛四十八大愿》第7讲（融法恭录）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9B64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2017-10-12T13:16:10Z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