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cs="宋体"/>
          <w:b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color w:val="000000"/>
          <w:kern w:val="0"/>
          <w:sz w:val="28"/>
          <w:szCs w:val="28"/>
        </w:rPr>
        <w:t>问：据言亡灵一般四十九天之后便随业投胎，开始另一期生命。如这样，我们祭拜过世多年的祖先父母对这些已经投胎的神识有何功用？</w:t>
      </w:r>
    </w:p>
    <w:p>
      <w:pPr>
        <w:ind w:firstLine="562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  <w:lang w:val="en-US" w:eastAsia="zh-CN"/>
        </w:rPr>
        <w:t>大安法师</w:t>
      </w:r>
      <w:r>
        <w:rPr>
          <w:rFonts w:hint="eastAsia" w:ascii="宋体" w:hAnsi="宋体" w:cs="宋体"/>
          <w:b/>
          <w:bCs/>
          <w:color w:val="000000"/>
          <w:kern w:val="0"/>
          <w:sz w:val="28"/>
          <w:szCs w:val="28"/>
        </w:rPr>
        <w:t>答：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对，是有这个情况。一般民间在这个清明，或者祭祖会烧些纸钱。据说请神出来还要烧纸冰箱，纸房子，纸船，纸衣服，那这些到底怎么看待。一般来说，你的家亲眷属去世之后，他在六道轮回了。如果下辈子投到人身了，或者到了天上了，或者到三恶道里面去了，一般你烧的这些纸钱，接收不到。但唯有在鬼道里面它有点作用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。鬼道你烧点钱过去还真的他一下子就比较富裕了。所以从这个意义上来说，佛教不提倡但也不反对，也有它的一些依据</w:t>
      </w:r>
      <w:r>
        <w:rPr>
          <w:rFonts w:hint="eastAsia" w:ascii="宋体" w:hAnsi="宋体" w:cs="宋体"/>
          <w:color w:val="000000"/>
          <w:kern w:val="0"/>
          <w:sz w:val="28"/>
          <w:szCs w:val="28"/>
        </w:rPr>
        <w:t>。但虽然在其他道接不到，我们也不知道祖先到了哪一道，但为了表现一种缅怀的孝心，慎终追远的厚德，用事相来表达我们的这一念孝心也是有必要的。你的恭敬和孝顺怎么表达，应该通过这些事相表达。而且如果你不做别人就会讥嫌你，这个子孙后代一个重要的功能就是要去做这些事，祭祖，扫墓，慎终追远。所以对于这些你不要去追得太清楚，你就这么老老实实去做就可以了。</w:t>
      </w:r>
    </w:p>
    <w:p>
      <w:pPr>
        <w:ind w:firstLine="480" w:firstLineChars="200"/>
        <w:rPr>
          <w:rFonts w:hint="eastAsia" w:ascii="宋体" w:hAnsi="宋体" w:cs="宋体"/>
          <w:color w:val="000000"/>
          <w:kern w:val="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——大安法师《大方广佛华严经·普贤菩萨行愿品》第5讲（融法恭录）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378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2017-10-28T06:42:49Z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