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Arial" w:hAnsi="Arial"/>
          <w:b/>
          <w:sz w:val="28"/>
          <w:szCs w:val="28"/>
        </w:rPr>
      </w:pPr>
      <w:r>
        <w:rPr>
          <w:rFonts w:hint="eastAsia" w:ascii="Arial" w:hAnsi="Arial"/>
          <w:b/>
          <w:sz w:val="28"/>
          <w:szCs w:val="28"/>
        </w:rPr>
        <w:t>问：请教为什么同样的白米饭，弟子在外面打包吃和在家里煮吃，都无法闻到那种香甜味，反而有时来到居士林吃饭，那米饭一到嘴里就能自然地闻到那种用语言无法形容的香味？</w:t>
      </w:r>
    </w:p>
    <w:p>
      <w:pPr>
        <w:ind w:firstLine="562" w:firstLineChars="200"/>
        <w:rPr>
          <w:rFonts w:hint="eastAsia" w:ascii="Arial" w:hAnsi="Arial"/>
          <w:sz w:val="28"/>
          <w:szCs w:val="28"/>
        </w:rPr>
      </w:pPr>
      <w:r>
        <w:rPr>
          <w:rFonts w:hint="eastAsia" w:ascii="Arial" w:hAnsi="Arial"/>
          <w:b/>
          <w:bCs/>
          <w:sz w:val="28"/>
          <w:szCs w:val="28"/>
          <w:lang w:eastAsia="zh-CN"/>
        </w:rPr>
        <w:t>大安法师</w:t>
      </w:r>
      <w:r>
        <w:rPr>
          <w:rFonts w:hint="eastAsia" w:ascii="Arial" w:hAnsi="Arial"/>
          <w:b/>
          <w:bCs/>
          <w:sz w:val="28"/>
          <w:szCs w:val="28"/>
        </w:rPr>
        <w:t>答：</w:t>
      </w:r>
      <w:r>
        <w:rPr>
          <w:rFonts w:hint="eastAsia" w:ascii="Arial" w:hAnsi="Arial"/>
          <w:sz w:val="28"/>
          <w:szCs w:val="28"/>
        </w:rPr>
        <w:t>看来居士林应该高薪聘请你在这里写点赞美诗了，做个广告了，还有诗情画意。原因可能很多，如果是同样的一些材料，味道不同，那说明，第一居士林是一个道场，有道场的加持力。第二这些义工发心清净，他一边切菜炒菜，是带着佛号切菜炒菜，是有佛号的能量在里面。所以你要在家里你也念着佛号炒菜，也有那个用语言无法形容的香味。</w:t>
      </w:r>
    </w:p>
    <w:p>
      <w:pPr>
        <w:ind w:firstLine="480" w:firstLineChars="200"/>
        <w:rPr>
          <w:rFonts w:hint="eastAsia" w:ascii="Arial" w:hAnsi="Arial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——大安法师《大方广佛华严经·普贤菩萨行愿品》第7讲（融法恭录）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FZHTK--GBK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23A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2017-11-03T07:09:10Z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