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520" w:lineRule="exact"/>
        <w:textAlignment w:val="baseline"/>
        <w:rPr>
          <w:rFonts w:hint="eastAsia"/>
          <w:sz w:val="28"/>
        </w:rPr>
      </w:pPr>
      <w:bookmarkStart w:id="0" w:name="_GoBack"/>
      <w:r>
        <w:rPr>
          <w:rFonts w:hint="eastAsia"/>
          <w:b/>
          <w:sz w:val="28"/>
        </w:rPr>
        <w:t>问：怎么帮助智障的小孩子认识净土法门？我是智障中心的老师，我叫他们念阿弥陀佛，他们只会念佛这个字。</w:t>
      </w:r>
    </w:p>
    <w:p>
      <w:pPr>
        <w:ind w:firstLine="562" w:firstLineChars="200"/>
        <w:rPr>
          <w:rFonts w:hint="eastAsia"/>
          <w:sz w:val="28"/>
        </w:rPr>
      </w:pPr>
      <w:r>
        <w:rPr>
          <w:rFonts w:hint="eastAsia"/>
          <w:b/>
          <w:bCs/>
          <w:sz w:val="28"/>
          <w:lang w:eastAsia="zh-CN"/>
        </w:rPr>
        <w:t>大安法师</w:t>
      </w:r>
      <w:r>
        <w:rPr>
          <w:rFonts w:hint="eastAsia"/>
          <w:b/>
          <w:bCs/>
          <w:sz w:val="28"/>
        </w:rPr>
        <w:t>答：</w:t>
      </w:r>
      <w:r>
        <w:rPr>
          <w:rFonts w:hint="eastAsia"/>
          <w:sz w:val="28"/>
        </w:rPr>
        <w:t>好，你在智障中心正是你做如来使者的好岗位了。这些有智慧障碍的常常也都是一些业障病了，那么这句南无阿弥陀佛，对智障的小孩有绝对的疗效</w:t>
      </w:r>
      <w:r>
        <w:rPr>
          <w:rFonts w:hint="eastAsia"/>
          <w:sz w:val="28"/>
        </w:rPr>
        <w:t>，你要有耐心。他念不完四个字是正常的，到末法的时候，我们所有的众生都念不全这四个字了，能念全这四个字的是整个地球的大导师，最了不起的人。你不要以为这句佛号好念，这句佛号很难念的。所以他能够念这个佛这个字出来，你都要赞叹他，给他一个糖果吃。然后，能念全两个字的，你再给他鼓励，慢慢给他鼓励，一定要耐心，直到他最后把“阿弥陀佛”都能够念全。念全再给他规定一个定课，你一天念一百声或者二百声，根据他的这个，至少从十声开始，你得要有一些奖罚的赏罚机制，让他计数，能够登记在册，就像做功课一样的，你都要检查。慢慢地，如果他能做到，这个智障小孩一天能念到一万声佛号，那以后慢慢地这些智障都慢慢地消除了。他就会走向社会，成为对社会有用的人才，最后等他成了人才，他会感谢你这个老师啊。当他感谢你的时候，你也不要感谢我，感谢阿弥陀佛无量光啊。</w:t>
      </w:r>
    </w:p>
    <w:p>
      <w:pPr>
        <w:ind w:firstLine="560" w:firstLineChars="200"/>
        <w:rPr>
          <w:rFonts w:hint="eastAsia"/>
          <w:sz w:val="28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 xml:space="preserve">    ——大安法师</w:t>
      </w:r>
      <w:r>
        <w:rPr>
          <w:rFonts w:hint="eastAsia"/>
          <w:b w:val="0"/>
          <w:bCs/>
          <w:sz w:val="28"/>
          <w:szCs w:val="28"/>
        </w:rPr>
        <w:t>《佛说阿弥陀经》</w:t>
      </w:r>
      <w:r>
        <w:rPr>
          <w:rFonts w:hint="eastAsia"/>
          <w:b w:val="0"/>
          <w:bCs/>
          <w:sz w:val="28"/>
          <w:szCs w:val="28"/>
          <w:lang w:val="en-US" w:eastAsia="zh-CN"/>
        </w:rPr>
        <w:t>讲记第7</w:t>
      </w:r>
      <w:r>
        <w:rPr>
          <w:rFonts w:hint="eastAsia"/>
          <w:b w:val="0"/>
          <w:bCs/>
          <w:sz w:val="28"/>
          <w:szCs w:val="28"/>
        </w:rPr>
        <w:t>讲</w:t>
      </w:r>
      <w:r>
        <w:rPr>
          <w:rFonts w:hint="eastAsia"/>
          <w:b w:val="0"/>
          <w:bCs/>
          <w:sz w:val="28"/>
          <w:szCs w:val="28"/>
          <w:lang w:eastAsia="zh-CN"/>
        </w:rPr>
        <w:t>（</w:t>
      </w:r>
      <w:r>
        <w:rPr>
          <w:rFonts w:hint="eastAsia"/>
          <w:b w:val="0"/>
          <w:bCs/>
          <w:sz w:val="28"/>
          <w:szCs w:val="28"/>
          <w:lang w:val="en-US" w:eastAsia="zh-CN"/>
        </w:rPr>
        <w:t>融法恭录</w:t>
      </w:r>
      <w:r>
        <w:rPr>
          <w:rFonts w:hint="eastAsia"/>
          <w:b w:val="0"/>
          <w:bCs/>
          <w:sz w:val="28"/>
          <w:szCs w:val="28"/>
          <w:lang w:eastAsia="zh-CN"/>
        </w:rPr>
        <w:t>）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细明体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|">
    <w:altName w:val="Segoe Print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Print">
    <w:panose1 w:val="02000600000000000000"/>
    <w:charset w:val="02"/>
    <w:family w:val="auto"/>
    <w:pitch w:val="default"/>
    <w:sig w:usb0="0000028F" w:usb1="00000000" w:usb2="00000000" w:usb3="00000000" w:csb0="2000009F" w:csb1="4701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8C5A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2017-11-28T00:30:02Z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