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1755"/>
        </w:tabs>
        <w:adjustRightInd w:val="0"/>
        <w:snapToGrid w:val="0"/>
        <w:spacing w:line="520" w:lineRule="exact"/>
        <w:textAlignment w:val="baseline"/>
        <w:rPr>
          <w:rFonts w:hint="eastAsia"/>
          <w:sz w:val="28"/>
        </w:rPr>
      </w:pPr>
      <w:r>
        <w:rPr>
          <w:rFonts w:hint="eastAsia"/>
          <w:b/>
          <w:sz w:val="28"/>
        </w:rPr>
        <w:t>问：当一个人往生时，家里开念佛机，请问这样有效果吗？帮得了那个人往生吗？若在学佛之前因不相信有这么一个容易法门，而说了诽谤佛的话，现在信了，也发愿往生西方极乐世界，请问怎样忏悔学佛之前的罪孽呢？</w:t>
      </w:r>
    </w:p>
    <w:p>
      <w:pPr>
        <w:ind w:firstLine="562" w:firstLineChars="200"/>
        <w:rPr>
          <w:rFonts w:hint="eastAsia"/>
          <w:sz w:val="28"/>
        </w:rPr>
      </w:pPr>
      <w:r>
        <w:rPr>
          <w:rFonts w:hint="eastAsia"/>
          <w:b/>
          <w:bCs/>
          <w:sz w:val="28"/>
          <w:lang w:eastAsia="zh-CN"/>
        </w:rPr>
        <w:t>大安法师</w:t>
      </w:r>
      <w:r>
        <w:rPr>
          <w:rFonts w:hint="eastAsia"/>
          <w:b/>
          <w:bCs/>
          <w:sz w:val="28"/>
        </w:rPr>
        <w:t>答：</w:t>
      </w:r>
      <w:r>
        <w:rPr>
          <w:rFonts w:hint="eastAsia"/>
          <w:sz w:val="28"/>
        </w:rPr>
        <w:t>如果临终的时候，开念佛机会有效果的，但是它的效果不如人在旁边念来得好。因为人念他有他的心性的加持力，那种念佛机，机器念呢它就基本上不存在这个问题，但是它的音声可以提醒这么一个亡者、病人，不要丢失这个名号。最好你还是要家里人或者有些同修、莲友能够排班在他旁边，哪怕一两个人在他旁边帮他助念，这是比较好的一个方法。那么学佛之前，如果说了诽谤佛的话，这实际上也是大多数人容易犯的，但现在他已经信了佛教，发愿往生西方极乐世界，阿弥陀佛也会原谅他，放下屠刀还立地成佛嘛。由于我们原来愚痴，说了诽谤佛的话，现在忏悔、认错，不再去犯了，这样就好，信愿持名，阿弥陀佛照样会接纳，他不会说由于你原来诽谤我，我就不收你了，不会这样的。</w:t>
      </w:r>
    </w:p>
    <w:p>
      <w:pPr>
        <w:ind w:firstLine="560" w:firstLineChars="200"/>
        <w:rPr>
          <w:rFonts w:hint="eastAsia"/>
          <w:sz w:val="28"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 xml:space="preserve">    ——大安法师</w:t>
      </w:r>
      <w:r>
        <w:rPr>
          <w:rFonts w:hint="eastAsia"/>
          <w:b w:val="0"/>
          <w:bCs/>
          <w:sz w:val="28"/>
          <w:szCs w:val="28"/>
        </w:rPr>
        <w:t>《佛说阿弥陀经》</w:t>
      </w:r>
      <w:r>
        <w:rPr>
          <w:rFonts w:hint="eastAsia"/>
          <w:b w:val="0"/>
          <w:bCs/>
          <w:sz w:val="28"/>
          <w:szCs w:val="28"/>
          <w:lang w:val="en-US" w:eastAsia="zh-CN"/>
        </w:rPr>
        <w:t>讲记第7</w:t>
      </w:r>
      <w:r>
        <w:rPr>
          <w:rFonts w:hint="eastAsia"/>
          <w:b w:val="0"/>
          <w:bCs/>
          <w:sz w:val="28"/>
          <w:szCs w:val="28"/>
        </w:rPr>
        <w:t>讲</w:t>
      </w:r>
      <w:r>
        <w:rPr>
          <w:rFonts w:hint="eastAsia"/>
          <w:b w:val="0"/>
          <w:bCs/>
          <w:sz w:val="28"/>
          <w:szCs w:val="28"/>
          <w:lang w:eastAsia="zh-CN"/>
        </w:rPr>
        <w:t>（</w:t>
      </w:r>
      <w:r>
        <w:rPr>
          <w:rFonts w:hint="eastAsia"/>
          <w:b w:val="0"/>
          <w:bCs/>
          <w:sz w:val="28"/>
          <w:szCs w:val="28"/>
          <w:lang w:val="en-US" w:eastAsia="zh-CN"/>
        </w:rPr>
        <w:t>融法恭录</w:t>
      </w:r>
      <w:r>
        <w:rPr>
          <w:rFonts w:hint="eastAsia"/>
          <w:b w:val="0"/>
          <w:bCs/>
          <w:sz w:val="28"/>
          <w:szCs w:val="28"/>
          <w:lang w:eastAsia="zh-CN"/>
        </w:rPr>
        <w:t>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细明体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|">
    <w:altName w:val="Segoe Print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Print">
    <w:panose1 w:val="02000600000000000000"/>
    <w:charset w:val="02"/>
    <w:family w:val="auto"/>
    <w:pitch w:val="default"/>
    <w:sig w:usb0="0000028F" w:usb1="00000000" w:usb2="00000000" w:usb3="00000000" w:csb0="2000009F" w:csb1="4701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4D24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2017-11-28T01:29:50Z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