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 w:after="80"/>
        <w:jc w:val="left"/>
      </w:pPr>
      <w:r>
        <w:rPr>
          <w:rFonts w:ascii="Noto Sans CJK SC" w:hAnsi="Noto Sans CJK SC" w:eastAsia="Noto Sans CJK SC"/>
          <w:b/>
          <w:i w:val="0"/>
          <w:color w:val="244735"/>
          <w:sz w:val="58"/>
        </w:rPr>
        <w:t>Looka 全站 UI/UX</w:t>
        <w:br/>
        <w:t>产品系统统一规划</w:t>
      </w:r>
    </w:p>
    <w:p>
      <w:pPr>
        <w:spacing w:after="560"/>
      </w:pPr>
      <w:r>
        <w:rPr>
          <w:rFonts w:ascii="Noto Sans CJK SC" w:hAnsi="Noto Sans CJK SC" w:eastAsia="Noto Sans CJK SC"/>
          <w:b w:val="0"/>
          <w:i w:val="0"/>
          <w:color w:val="315B45"/>
          <w:sz w:val="30"/>
        </w:rPr>
        <w:t>从 Lifebear 的安静骨架，建立 Looka 自己可持续扩展的设计语言</w:t>
      </w:r>
    </w:p>
    <w:p>
      <w:pPr>
        <w:spacing w:after="60" w:line="264" w:lineRule="auto"/>
      </w:pPr>
      <w:r>
        <w:rPr>
          <w:rFonts w:ascii="Noto Sans CJK SC" w:hAnsi="Noto Sans CJK SC" w:eastAsia="Noto Sans CJK SC"/>
          <w:b w:val="0"/>
          <w:i w:val="0"/>
          <w:color w:val="68716B"/>
          <w:sz w:val="21"/>
        </w:rPr>
        <w:t>版本 v1.2  ·  2026-08-27</w:t>
      </w:r>
    </w:p>
    <w:p>
      <w:pPr>
        <w:spacing w:after="480" w:line="264" w:lineRule="auto"/>
      </w:pPr>
      <w:r>
        <w:rPr>
          <w:rFonts w:ascii="Noto Sans CJK SC" w:hAnsi="Noto Sans CJK SC" w:eastAsia="Noto Sans CJK SC"/>
          <w:b w:val="0"/>
          <w:i w:val="0"/>
          <w:color w:val="68716B"/>
          <w:sz w:val="21"/>
        </w:rPr>
        <w:t>覆盖：全站文案、更多与设置、全局交互与动效、鹿角、AI、附件相机、组件治理、功能生命周期、Paddle 支付、目录架构与验收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文档地位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本文件是统一执行计划与目标合同，不代表其中目标已经上线。当前事实、建议定案与未来能力必须分开标记；任何页面不得把规划中功能写成现有权益。</w:t>
            </w:r>
          </w:p>
        </w:tc>
      </w:tr>
    </w:tbl>
    <w:p>
      <w:pPr>
        <w:spacing w:after="0"/>
      </w:pPr>
    </w:p>
    <w:p>
      <w:pPr>
        <w:spacing w:after="160" w:line="264" w:lineRule="auto"/>
      </w:pPr>
      <w:r>
        <w:rPr>
          <w:rFonts w:ascii="Noto Sans CJK SC" w:hAnsi="Noto Sans CJK SC" w:eastAsia="Noto Sans CJK SC"/>
          <w:b/>
          <w:i w:val="0"/>
          <w:color w:val="244735"/>
          <w:sz w:val="24"/>
        </w:rPr>
        <w:t>设计基调：</w:t>
      </w:r>
      <w:r>
        <w:rPr>
          <w:rFonts w:ascii="Noto Sans CJK SC" w:hAnsi="Noto Sans CJK SC" w:eastAsia="Noto Sans CJK SC"/>
          <w:b w:val="0"/>
          <w:i w:val="0"/>
          <w:color w:val="244735"/>
          <w:sz w:val="24"/>
        </w:rPr>
        <w:t>克制 · 极简 · 高级 · 温和 · 可靠</w:t>
      </w:r>
    </w:p>
    <w:p>
      <w:pPr>
        <w:spacing w:after="20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3"/>
        </w:rPr>
        <w:t>核心判断：Looka 已有视觉基础，但缺少把产品、文案、权益、组件和工程约束连接起来的同一套操作系统。下一阶段不再逐页堆功能，而是先冻结规则，再统一页面。</w:t>
      </w:r>
    </w:p>
    <w:p>
      <w:pPr>
        <w:pStyle w:val="Heading1"/>
        <w:pageBreakBefore/>
      </w:pPr>
      <w:r>
        <w:t>阅读地图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420"/>
        <w:gridCol w:w="4840"/>
      </w:tblGrid>
      <w:tr>
        <w:trPr>
          <w:tblHeader w:val="true"/>
        </w:trP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章节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回答的问题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主要产出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0–2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为什么现在必须统一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现状、原则、目标架构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全站应该怎么说话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文案语言、术语、状态模板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更多与设置怎么重组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信息架构、页面合同、提醒诊断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界面怎样保持克制高级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Token、组件选择、动效与反馈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鹿角怎样成为统一额度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经济合同、商店、账本与权益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E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怎样接入全站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入口、上下文、草稿确认、记忆与隐私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新增组件怎样不再各自为政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组件注册、状态矩阵、接入门禁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G–I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如何组织代码并分批落地</w:t>
            </w:r>
          </w:p>
        </w:tc>
        <w:tc>
          <w:tcPr>
            <w:tcW w:type="dxa" w:w="484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文件系统、批次、验收与治理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0. 执行摘要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一句话目标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建立一套全站共享、双端一致、机器可校验、未来能安全扩展的 Looka 产品设计系统。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 不需要把所有页面做成同一张模板。真正要统一的是：用户看到的术语、入口层级、状态反馈、提交边界、返回规则、权益口径、组件选择和恢复路径。</w:t>
      </w:r>
    </w:p>
    <w:p>
      <w:pPr>
        <w:pStyle w:val="Heading2"/>
      </w:pPr>
      <w:r>
        <w:t>0.1 当前总体判断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3700"/>
        <w:gridCol w:w="4560"/>
      </w:tblGrid>
      <w:tr>
        <w:trPr>
          <w:tblHeader w:val="true"/>
        </w:trP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层级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已经具备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主要缺口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视觉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主题色、图标、皮肤插槽、安静列表骨架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字体、间距、圆角、动效仍大量页面内硬编码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交互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部分页面已有 pressed、确认、撤销与全页编辑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同类动作仍混用 Dialog、Bottom Sheet、全页和 Toast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产品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日历、待办、笔记、日记主线清楚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更多、订阅、鹿角、商店、AI、附件入口互相重叠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商业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服务端已有鹿角账本、商品与权益记录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每日规则、上限、文案、购买确认和 Pro 关系不统一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工程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已有四类主题合同检查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经济、权益、路由、文案数字、组件状态尚无合同门禁</w:t>
            </w:r>
          </w:p>
        </w:tc>
      </w:tr>
      <w:tr>
        <w:tc>
          <w:tcPr>
            <w:tcW w:type="dxa" w:w="1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验证</w:t>
            </w:r>
          </w:p>
        </w:tc>
        <w:tc>
          <w:tcPr>
            <w:tcW w:type="dxa" w:w="3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Android 可编译，现有主题合同一致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相机与商店等最近功能尚未完成真机闭环验证</w:t>
            </w:r>
          </w:p>
        </w:tc>
      </w:tr>
    </w:tbl>
    <w:p>
      <w:pPr>
        <w:spacing w:after="0"/>
      </w:pPr>
    </w:p>
    <w:p>
      <w:pPr>
        <w:pStyle w:val="Heading2"/>
      </w:pPr>
      <w:r>
        <w:t>0.2 六个必须先冻结的决定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 的主线始终是日历、待办、笔记、日记；商业、AI 和装扮不能抢走核心内容焦点。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全站只保留 Free 与 Pro 两档；页面不再出现未实现的模型档位或未来权益承诺。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鹿角采用一套唯一规则，由结构化合同产生 App、网页和服务端展示数字。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普通附件与 AI 拍照识别是两条不同能力，不再共用一个模糊的“相机功能”。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更多页负责管理；设置页负责偏好；商店负责发现与取得；高频操作回到内容场景。</w:t>
      </w:r>
    </w:p>
    <w:p>
      <w:pPr>
        <w:keepNext w:val="0"/>
        <w:keepLines w:val="0"/>
        <w:numPr>
          <w:ilvl w:val="0"/>
          <w:numId w:val="10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所有 AI 写入都先生成结构化草稿，用户确认后提交，并提供撤销或恢复。</w:t>
      </w:r>
    </w:p>
    <w:p>
      <w:pPr>
        <w:pStyle w:val="Heading1"/>
      </w:pPr>
      <w:r>
        <w:t>1. 产品与设计总原则</w:t>
      </w:r>
    </w:p>
    <w:p>
      <w:pPr>
        <w:pStyle w:val="Heading2"/>
      </w:pPr>
      <w:r>
        <w:t>1.1 Looka 的产品定位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推荐定位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Looka 是一款以日历为中心的生活手帐。它把日程、待办、笔记和日记放回每一天，也让小鹿在需要时帮助用户记录、安排和回看。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Lifebear 值得学习的不是旧版表面，而是低认知负担、稳定时间轴和可靠交互。Looka 的原创差异应来自九色鹿品牌、小鹿陪伴、主题装扮和温和的 AI，而不是更多卡片、更多弹窗或更多动效。</w:t>
      </w:r>
    </w:p>
    <w:p>
      <w:pPr>
        <w:pStyle w:val="Heading2"/>
      </w:pPr>
      <w:r>
        <w:t>1.2 Calm Utility × Emotional Warmth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000"/>
        <w:gridCol w:w="4610"/>
      </w:tblGrid>
      <w:tr>
        <w:trPr>
          <w:tblHeader w:val="true"/>
        </w:trP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层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职责</w:t>
            </w:r>
          </w:p>
        </w:tc>
        <w:tc>
          <w:tcPr>
            <w:tcW w:type="dxa" w:w="4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设计纪律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安静工具骨架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承载高频记录与管理</w:t>
            </w:r>
          </w:p>
        </w:tc>
        <w:tc>
          <w:tcPr>
            <w:tcW w:type="dxa" w:w="4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白/浅纸面、分隔、留白、少色、少圆角、动作稳定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情绪温度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在需要时提供陪伴感</w:t>
            </w:r>
          </w:p>
        </w:tc>
        <w:tc>
          <w:tcPr>
            <w:tcW w:type="dxa" w:w="4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小鹿、主题、贴纸、空状态、回顾；不持续抢焦点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商业层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解释方案、装扮和权益</w:t>
            </w:r>
          </w:p>
        </w:tc>
        <w:tc>
          <w:tcPr>
            <w:tcW w:type="dxa" w:w="4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独立页面、真实价格、无倒计时、无撒币、无焦虑促销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层</w:t>
            </w:r>
          </w:p>
        </w:tc>
        <w:tc>
          <w:tcPr>
            <w:tcW w:type="dxa" w:w="3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理解意图并生成可确认草稿</w:t>
            </w:r>
          </w:p>
        </w:tc>
        <w:tc>
          <w:tcPr>
            <w:tcW w:type="dxa" w:w="46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不越权写入、不伪装确定性、不遮住手工路径</w:t>
            </w:r>
          </w:p>
        </w:tc>
      </w:tr>
    </w:tbl>
    <w:p>
      <w:pPr>
        <w:spacing w:after="0"/>
      </w:pPr>
    </w:p>
    <w:p>
      <w:pPr>
        <w:pStyle w:val="Heading2"/>
      </w:pPr>
      <w:r>
        <w:t>1.3 全局不做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不把每个分组都做成大圆角卡片。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不把品牌色当成所有按钮的默认颜色。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不使用连续签到、断签惩罚、倒计时或夸张庆祝。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不让一个万能组件同时承担编辑、详情、购买、权限和错误恢复。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不在用户输入、拖动、删除确认或付款时弹出 AI／运营提示。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不让 Android、网页和文档分别手写权益数字。</w:t>
      </w:r>
    </w:p>
    <w:p>
      <w:pPr>
        <w:pStyle w:val="Heading1"/>
        <w:pageBreakBefore/>
      </w:pPr>
      <w:r>
        <w:t>2. 全站目标信息架构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顶层导航继续围绕内容，而不是围绕功能数量扩张。建议保持日历、待办、笔记/日记、更多四个主空间；小鹿由全局入口和场景入口进入，不新增永久底栏标签。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Looka</w:t>
              <w:br/>
              <w:t>├─ 日历：时间、日程、当日任务、贴纸、日记摘要</w:t>
              <w:br/>
              <w:t>├─ 待办：任务、清单、星标、未来、已完成</w:t>
              <w:br/>
              <w:t>├─ 笔记：笔记、日记、搜索、回看</w:t>
              <w:br/>
              <w:t>├─ 更多：账号、方案、个性化、设置、数据、支持</w:t>
              <w:br/>
              <w:t>└─ 小鹿：记录、安排、回看；从全局或上下文进入</w:t>
            </w:r>
          </w:p>
        </w:tc>
      </w:tr>
    </w:tbl>
    <w:p>
      <w:pPr>
        <w:spacing w:after="0"/>
      </w:pPr>
    </w:p>
    <w:p>
      <w:pPr>
        <w:pStyle w:val="Heading2"/>
      </w:pPr>
      <w:r>
        <w:t>2.1 各空间的边界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600"/>
        <w:gridCol w:w="3880"/>
        <w:gridCol w:w="3880"/>
      </w:tblGrid>
      <w:tr>
        <w:trPr>
          <w:tblHeader w:val="true"/>
        </w:trP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空间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负责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不负责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内容页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创建、查看、编辑、完成、回看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订阅说明、权限总览、商品营销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进入管理域并展示状态摘要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放置所有低频按钮或高频内容操作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设置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修改稳定偏好、权限与显示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购买、搜索、创建内容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装扮商店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发现、预览、取得主题与贴纸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日常应用入口、鹿角签到</w:t>
            </w:r>
          </w:p>
        </w:tc>
      </w:tr>
      <w:tr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理解意图、组织草稿、跨域读取与回看</w:t>
            </w:r>
          </w:p>
        </w:tc>
        <w:tc>
          <w:tcPr>
            <w:tcW w:type="dxa" w:w="38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替代用户确认、私自修改真实数据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A. 全站文案系统</w:t>
      </w:r>
    </w:p>
    <w:p>
      <w:pPr>
        <w:pStyle w:val="Heading2"/>
      </w:pPr>
      <w:r>
        <w:t>A1. 品牌声音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 的声音应温和但不幼稚，安静但不含糊，有陪伴感但不假装真人。页面先说事实，再说感受；按钮说明结果；错误说明发生了什么、数据是否安全、下一步能做什么。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原则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推荐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避免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事实优先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同步失败，本机修改已保留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别担心，一切都会好起来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动作明确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删除任务 / 使用30枚解锁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确定 / 继续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轻量表达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今天获得了10枚鹿角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签到成功！连续第3天！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真实权益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每天使用后获得50枚鹿角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AI不限次 / 更聪明模型（未实现）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可恢复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上传失败，照片仍保存在本机</w:t>
            </w:r>
          </w:p>
        </w:tc>
        <w:tc>
          <w:tcPr>
            <w:tcW w:type="dxa" w:w="37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操作失败</w:t>
            </w:r>
          </w:p>
        </w:tc>
      </w:tr>
    </w:tbl>
    <w:p>
      <w:pPr>
        <w:spacing w:after="0"/>
      </w:pPr>
    </w:p>
    <w:p>
      <w:pPr>
        <w:pStyle w:val="Heading2"/>
      </w:pPr>
      <w:r>
        <w:t>A2. 全站术语冻结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3300"/>
        <w:gridCol w:w="4260"/>
      </w:tblGrid>
      <w:tr>
        <w:trPr>
          <w:tblHeader w:val="true"/>
        </w:trP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对象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统一用词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废弃或限制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虚拟额度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次数、算力券、金币混用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每日发放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当天使用后获得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签到、连续领取、补签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数字内容商店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装扮商店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仅以支付方式命名“鹿角商店”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表情素材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贴纸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印章、表情、贴图跨页面混用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系统助手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小鹿AI／AI小鹿在导航中反复变化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系统检查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提醒诊断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提醒自检、闹钟自检、权限检查并存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方案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免费版 / Looka Pro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Basic、Premium、旗舰、Gold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取得内容</w:t>
            </w:r>
          </w:p>
        </w:tc>
        <w:tc>
          <w:tcPr>
            <w:tcW w:type="dxa" w:w="3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解锁 / 免费领取 / 已拥有</w:t>
            </w:r>
          </w:p>
        </w:tc>
        <w:tc>
          <w:tcPr>
            <w:tcW w:type="dxa" w:w="4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购买、兑换、领取没有规则区分</w:t>
            </w:r>
          </w:p>
        </w:tc>
      </w:tr>
    </w:tbl>
    <w:p>
      <w:pPr>
        <w:spacing w:after="0"/>
      </w:pPr>
    </w:p>
    <w:p>
      <w:pPr>
        <w:pStyle w:val="Heading2"/>
      </w:pPr>
      <w:r>
        <w:t>A3. 关键页面文案主稿</w:t>
      </w:r>
    </w:p>
    <w:p>
      <w:pPr>
        <w:pStyle w:val="Heading3"/>
      </w:pPr>
      <w:r>
        <w:t>更多与账户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未登录账户卡：登录 Looka｜同步并恢复你的记录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同步正常：{昵称}｜Free · 已同步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离线：{昵称}｜离线，本机修改已保留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同步失败：同步失败，本机修改已保留｜查看详情</w:t>
      </w:r>
    </w:p>
    <w:p>
      <w:pPr>
        <w:pStyle w:val="Heading3"/>
      </w:pPr>
      <w:r>
        <w:t>鹿角与装扮商店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首次说明：鹿角是 Looka 内的通用额度，可以用于小鹿、数字内容和部分增值服务。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到账：今天获得了 {0} 枚鹿角。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发送前：发送将使用 1 枚鹿角。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购买前：解锁这套贴纸需要 30 枚鹿角。余额 42 → 12。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余额不足：还差 8 枚鹿角。下次使用 Looka 时还会获得鹿角。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Pro 免费领取：Pro 会员价 0 鹿角。领取后永久拥有。</w:t>
      </w:r>
    </w:p>
    <w:p>
      <w:pPr>
        <w:pStyle w:val="Heading3"/>
      </w:pPr>
      <w:r>
        <w:t>附件、提醒与 AI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附件失败：上传失败，照片仍保存在本机。｜重试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提醒正常：提醒状态正常。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提醒需处理：有 2 项设置可能影响提醒。｜查看并处理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AI 标识：以下内容由 AI 生成，请自行核对。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AI 草稿：小鹿准备新增 2 个日程、1 个任务。请确认后保存。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AI 失败：小鹿暂时无法连接。你的内容没有丢失，请稍后重试。</w:t>
      </w:r>
    </w:p>
    <w:p>
      <w:pPr>
        <w:pStyle w:val="Heading2"/>
      </w:pPr>
      <w:r>
        <w:t>A4. 文案技术规则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权益数字、价格和功能状态不得写死在页面字符串中，必须读取结构化合同。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简中是源语言；繁中和英文只翻译已登记的 key，不在词典中保留废弃承诺。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错误主提示不展示 HTTP 状态码或供应商原始错误；详细诊断另开。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每条动态文案必须声明空值、复数、长文本和大字体处理。</w:t>
      </w:r>
    </w:p>
    <w:p>
      <w:pPr>
        <w:keepNext w:val="0"/>
        <w:keepLines w:val="0"/>
        <w:numPr>
          <w:ilvl w:val="0"/>
          <w:numId w:val="11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发布前扫描“无限、永久免费、签到、即将、全部免费、最聪明”等高风险词。</w:t>
      </w:r>
    </w:p>
    <w:p>
      <w:pPr>
        <w:pStyle w:val="Heading1"/>
      </w:pPr>
      <w:r>
        <w:t>B. 更多与设置重构</w:t>
      </w:r>
    </w:p>
    <w:p>
      <w:pPr>
        <w:pStyle w:val="Heading2"/>
      </w:pPr>
      <w:r>
        <w:t>B1. 更多根页目标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更多</w:t>
              <w:br/>
              <w:t>├─ 账户状态卡：昵称 / Free或Pro / 同步状态 / 鹿角摘要</w:t>
              <w:br/>
              <w:t>├─ 我的 Looka：账号与同步 / 方案与鹿角</w:t>
              <w:br/>
              <w:t>├─ 个性化：主题 / 装扮商店</w:t>
              <w:br/>
              <w:t>├─ 设置：日历与显示 / 提醒与系统权限 / 小鹿与隐私 / 语言与地区</w:t>
              <w:br/>
              <w:t>├─ 数据与隐私：备份与恢复 / 数据维护 / 隐私设置</w:t>
              <w:br/>
              <w:t>└─ 支持：帮助与反馈 / 关于 Looka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当前黑色三入口区可以保留为一个账户状态区，但不能再出现“设置 → 日历设置”的假总入口。品牌口号区改为账户卡，显示当前真正需要管理的状态。</w:t>
      </w:r>
    </w:p>
    <w:p>
      <w:pPr>
        <w:pStyle w:val="Heading2"/>
      </w:pPr>
      <w:r>
        <w:t>B2. 页面拆分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650"/>
        <w:gridCol w:w="2400"/>
        <w:gridCol w:w="4310"/>
      </w:tblGrid>
      <w:tr>
        <w:trPr>
          <w:tblHeader w:val="true"/>
        </w:trP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当前混合页面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目标页面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职责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订阅与小鹿 AI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方案与鹿角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Free/Pro、当前权益、余额、付款与到期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订阅与小鹿 AI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小鹿设置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上下文授权、记忆、日记隐私、自有 Key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我的鹿角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鹿角钱包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余额、每日规则、用途、最近流水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日历设置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日历与显示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周起始、默认视图、来源、显示密度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提醒自检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提醒与系统权限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提醒偏好、权限状态、提醒诊断</w:t>
            </w:r>
          </w:p>
        </w:tc>
      </w:tr>
      <w:tr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备份与维护</w:t>
            </w:r>
          </w:p>
        </w:tc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备份与恢复 / 数据维护</w:t>
            </w:r>
          </w:p>
        </w:tc>
        <w:tc>
          <w:tcPr>
            <w:tcW w:type="dxa" w:w="43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安全备份与危险工具分离</w:t>
            </w:r>
          </w:p>
        </w:tc>
      </w:tr>
    </w:tbl>
    <w:p>
      <w:pPr>
        <w:spacing w:after="0"/>
      </w:pPr>
    </w:p>
    <w:p>
      <w:pPr>
        <w:pStyle w:val="Heading2"/>
      </w:pPr>
      <w:r>
        <w:t>B3. 提醒诊断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保留，但降级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提醒诊断对 Android 厂商权限与后台限制有实际价值，但它是故障恢复能力，不应占据更多根页的一级位置。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页面先显示“正常 / 需要处理 / 尚未设置提醒”，只把失败项放在前面。普通操作是“发送测试提醒”；“查看全部检查”和“重新建立提醒计划”进入高级区域。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4300"/>
        <w:gridCol w:w="3360"/>
      </w:tblGrid>
      <w:tr>
        <w:trPr>
          <w:tblHeader w:val="true"/>
        </w:trP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状态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用户看到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主要操作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无提醒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还没有需要检查的提醒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创建测试提醒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正常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提醒状态正常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发送测试提醒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权限缺失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通知权限未开启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去开启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后台风险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系统可能限制后台运行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查看设置说明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调度失败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有提醒未成功安排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重新建立提醒计划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无法判断</w:t>
            </w:r>
          </w:p>
        </w:tc>
        <w:tc>
          <w:tcPr>
            <w:tcW w:type="dxa" w:w="4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需要通过测试确认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发送测试提醒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C. 全局 UI/UX 与动效系统</w:t>
      </w:r>
    </w:p>
    <w:p>
      <w:pPr>
        <w:pStyle w:val="Heading2"/>
      </w:pPr>
      <w:r>
        <w:t>C1. 结构 Token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2450"/>
        <w:gridCol w:w="4460"/>
      </w:tblGrid>
      <w:tr>
        <w:trPr>
          <w:tblHeader w:val="true"/>
        </w:trP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Token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目标值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用途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space.1 / 2 / 3 / 4 / 6 / 8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4 / 8 / 12 / 16 / 24 / 32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全站间距阶梯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touch.min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44 × 44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所有图标与控件最小热区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row.compact / normal / twoLine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48 / 52–56 / 64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设置、列表与摘要行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radius.none / dialog / control / card / sheet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 / 2–3 / 4–6 / 10 / 16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按语义使用，不由页面自定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divider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 px / 低对比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结构线，不形成卡片框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screen.padding.x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常规页面水平边距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dialog.width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约 86% 屏宽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标准确认与选择弹窗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dialog.padding.x</w:t>
            </w:r>
          </w:p>
        </w:tc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24 dp</w:t>
            </w:r>
          </w:p>
        </w:tc>
        <w:tc>
          <w:tcPr>
            <w:tcW w:type="dxa" w:w="44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标题、正文和动作对齐</w:t>
            </w:r>
          </w:p>
        </w:tc>
      </w:tr>
    </w:tbl>
    <w:p>
      <w:pPr>
        <w:spacing w:after="0"/>
      </w:pPr>
    </w:p>
    <w:p>
      <w:pPr>
        <w:pStyle w:val="Heading2"/>
      </w:pPr>
      <w:r>
        <w:t>C2. 字体语义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50"/>
        <w:gridCol w:w="2650"/>
        <w:gridCol w:w="4360"/>
      </w:tblGrid>
      <w:tr>
        <w:trPr>
          <w:tblHeader w:val="true"/>
        </w:trP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Role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建议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用途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display.month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28–32 sp / Bold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月标题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title.page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18 sp / SemiBold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页面标题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title.dialog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20 sp / SemiBold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 标题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body.primary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 sp / Regular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主要正文与输入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row.primary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14–16 sp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设置项、任务、列表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text.secondary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12 sp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摘要、日期、来源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calendar.item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8–10 sp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仅限月格高密度内容</w:t>
            </w:r>
          </w:p>
        </w:tc>
      </w:tr>
      <w:tr>
        <w:tc>
          <w:tcPr>
            <w:tcW w:type="dxa" w:w="23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nav.label</w:t>
            </w:r>
          </w:p>
        </w:tc>
        <w:tc>
          <w:tcPr>
            <w:tcW w:type="dxa" w:w="2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10–11 sp</w:t>
            </w:r>
          </w:p>
        </w:tc>
        <w:tc>
          <w:tcPr>
            <w:tcW w:type="dxa" w:w="4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底部导航</w:t>
            </w:r>
          </w:p>
        </w:tc>
      </w:tr>
    </w:tbl>
    <w:p>
      <w:pPr>
        <w:spacing w:after="0"/>
      </w:pPr>
    </w:p>
    <w:p>
      <w:pPr>
        <w:pStyle w:val="Heading2"/>
      </w:pPr>
      <w:r>
        <w:t>C3. 组件选择矩阵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50"/>
        <w:gridCol w:w="3100"/>
        <w:gridCol w:w="3410"/>
      </w:tblGrid>
      <w:tr>
        <w:trPr>
          <w:tblHeader w:val="true"/>
        </w:trP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任务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正确容器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提交规则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稳定布尔偏好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Inline Toggle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即时提交；失败回滚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单一枚举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Single-choice Dialog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选择即关闭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多个独立选项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Multi-choice Dialog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完成后统一提交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需要比较预览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Visual-choice Dialog / Full page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预览后提交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对象型配置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Full-page Editor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保存是事务边界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拍照/相册来源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Bottom Action Sheet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选择后关闭并执行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危险删除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Destructive Confirm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明确对象与后果</w:t>
            </w:r>
          </w:p>
        </w:tc>
      </w:tr>
      <w:tr>
        <w:tc>
          <w:tcPr>
            <w:tcW w:type="dxa" w:w="28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购买</w:t>
            </w:r>
          </w:p>
        </w:tc>
        <w:tc>
          <w:tcPr>
            <w:tcW w:type="dxa" w:w="3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详情页 + Purchase Confirm</w:t>
            </w:r>
          </w:p>
        </w:tc>
        <w:tc>
          <w:tcPr>
            <w:tcW w:type="dxa" w:w="3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价格、余额、结果明确</w:t>
            </w:r>
          </w:p>
        </w:tc>
      </w:tr>
    </w:tbl>
    <w:p>
      <w:pPr>
        <w:spacing w:after="0"/>
      </w:pPr>
    </w:p>
    <w:p>
      <w:pPr>
        <w:pStyle w:val="Heading2"/>
      </w:pPr>
      <w:r>
        <w:t>C4. 动效 Token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高级感来自确定、及时和一致，不来自弹跳。除明确的完成反馈外，默认取消 spring、overshoot 和连续装饰动画。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50"/>
        <w:gridCol w:w="1650"/>
        <w:gridCol w:w="5260"/>
      </w:tblGrid>
      <w:tr>
        <w:trPr>
          <w:tblHeader w:val="true"/>
        </w:trP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Token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时长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规则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motion.pressed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80–120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整行或控件先响应，再导航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motion.state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160–220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Toggle、选中、完成态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motion.overlay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140–200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Dialog/Sheet 淡入与轻位移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motion.page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220–300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前进与返回保持方向性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motion.feedback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160–220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一次完成反馈；无循环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motion.loading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低频连续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只用于真实等待，不用装饰性转圈</w:t>
            </w:r>
          </w:p>
        </w:tc>
      </w:tr>
      <w:tr>
        <w:tc>
          <w:tcPr>
            <w:tcW w:type="dxa" w:w="2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reducedMotion</w:t>
            </w:r>
          </w:p>
        </w:tc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0–100 ms</w:t>
            </w:r>
          </w:p>
        </w:tc>
        <w:tc>
          <w:tcPr>
            <w:tcW w:type="dxa" w:w="5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关闭缩放、弹性与大位移</w:t>
            </w:r>
          </w:p>
        </w:tc>
      </w:tr>
    </w:tbl>
    <w:p>
      <w:pPr>
        <w:spacing w:after="0"/>
      </w:pPr>
    </w:p>
    <w:p>
      <w:pPr>
        <w:pStyle w:val="Heading2"/>
      </w:pPr>
      <w:r>
        <w:t>C5. 全局反馈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成功：就地更新或短 Snackbar，不再弹成功 Dialog。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删除：危险对象先确认；可逆对象优先删除后提供撤销。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加载：保留原布局骨架，避免整页闪空。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错误：说明数据是否安全，并给重试或替代路径。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离线：允许本机继续工作，明确待同步状态。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Overlay：同时最多一个交互浮层；键盘焦点只有一个所有者。</w:t>
      </w:r>
    </w:p>
    <w:p>
      <w:pPr>
        <w:pStyle w:val="Heading1"/>
        <w:pageBreakBefore/>
      </w:pPr>
      <w:r>
        <w:t>D. 统一鹿角系统</w:t>
      </w:r>
    </w:p>
    <w:p>
      <w:pPr>
        <w:pStyle w:val="Heading2"/>
      </w:pPr>
      <w:r>
        <w:t>D1. 产品定位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统一定义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鹿角是 Looka 内的通用使用额度，用于有边际成本或可选增值价值的 AI、数字内容和服务；它不是现金、积分排名或签到奖励。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核心记录能力永远不消耗鹿角：日程、任务、笔记、日记、提醒、贴已有贴纸、同步、搜索、备份、导出。</w:t>
      </w:r>
    </w:p>
    <w:p>
      <w:pPr>
        <w:pStyle w:val="Heading2"/>
      </w:pPr>
      <w:r>
        <w:t>D2. 建议冻结的经济合同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250"/>
        <w:gridCol w:w="3055"/>
        <w:gridCol w:w="3055"/>
      </w:tblGrid>
      <w:tr>
        <w:trPr>
          <w:tblHeader w:val="true"/>
        </w:trP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规则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免费版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Looka Pro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当天实际使用后获得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10 枚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50 枚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未使用日期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不补发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不补发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过期与清零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不过期、不清零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不过期、不清零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累计上限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无上限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无上限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对话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 枚/次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1 枚/次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余额为 0 后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 3 次保底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 3 次保底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官方装扮包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按真实价格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0 鹿角领取</w:t>
            </w:r>
          </w:p>
        </w:tc>
      </w:tr>
      <w:tr>
        <w:tc>
          <w:tcPr>
            <w:tcW w:type="dxa" w:w="32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领取内容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—</w:t>
            </w:r>
          </w:p>
        </w:tc>
        <w:tc>
          <w:tcPr>
            <w:tcW w:type="dxa" w:w="305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领取后永久拥有</w:t>
            </w:r>
          </w:p>
        </w:tc>
      </w:tr>
    </w:tbl>
    <w:p>
      <w:pPr>
        <w:spacing w:after="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1E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A6A2F"/>
                <w:sz w:val="21"/>
              </w:rPr>
              <w:t xml:space="preserve">迁移要求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现行服务端仍有 Free 60 / Pro 300 旧上限。必须先完成数据迁移、接口版本和双端文案统一，再宣传“无上限”。</w:t>
            </w:r>
          </w:p>
        </w:tc>
      </w:tr>
    </w:tbl>
    <w:p>
      <w:pPr>
        <w:spacing w:after="0"/>
      </w:pPr>
    </w:p>
    <w:p>
      <w:pPr>
        <w:pStyle w:val="Heading2"/>
      </w:pPr>
      <w:r>
        <w:t>D3. 鹿角钱包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钱包不是游戏账本，但只要发生扣费，就必须给用户最基本的可核对能力。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余额主数值；Free/Pro 每日规则；下次获得条件。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最近 10 条明细：今天获得 +10、小鹿对话 −1、敦煌贴纸包 −30。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赠送桶与未来购买桶的技术差异不直接暴露，但帮助页说明赠送先消耗、购买鹿角不过期。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低余额只在将要消费或余额不足时出现，不在每个核心页面常驻。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未来购买鹿角必须等支付、退款、地区合规和价格合同完成后再开放。</w:t>
      </w:r>
    </w:p>
    <w:p>
      <w:pPr>
        <w:pStyle w:val="Heading2"/>
      </w:pPr>
      <w:r>
        <w:t>D4. 装扮商店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当前商品很少，首版不做拥挤三页签。采用一张精选区域、两个商品卡和“已拥有”区；商品增加后再引入贴纸／主题／免费等分类。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装扮商店 → 商品详情 → 查看整套预览 → 显示价格与余额 → 确认</w:t>
              <w:br/>
              <w:t>→ 原子扣费并发放权益 → 成功回执 → 立即使用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2700"/>
        <w:gridCol w:w="4560"/>
      </w:tblGrid>
      <w:tr>
        <w:trPr>
          <w:tblHeader w:val="true"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状态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按钮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必须显示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未登录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登录后解锁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商品仍可预览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 余额足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使用 30 枚解锁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当前余额与购买后余额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 余额不足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还差 8 枚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获得方式与 Pro 入口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未领取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免费永久领取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会员价 0 鹿角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已拥有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立即使用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取得时间与恢复状态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处理中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正在确认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防重复点击与安全返回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失败</w:t>
            </w:r>
          </w:p>
        </w:tc>
        <w:tc>
          <w:tcPr>
            <w:tcW w:type="dxa" w:w="2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重试</w:t>
            </w:r>
          </w:p>
        </w:tc>
        <w:tc>
          <w:tcPr>
            <w:tcW w:type="dxa" w:w="4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余额与权益最终状态</w:t>
            </w:r>
          </w:p>
        </w:tc>
      </w:tr>
    </w:tbl>
    <w:p>
      <w:pPr>
        <w:spacing w:after="0"/>
      </w:pPr>
    </w:p>
    <w:p>
      <w:pPr>
        <w:pStyle w:val="Heading2"/>
      </w:pPr>
      <w:r>
        <w:t>D5. 单一事实源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economy.v1.json      每日发放、上限、动作成本、保底规则</w:t>
              <w:br/>
              <w:t>entitlements.v1.json Free/Pro 与永久权益</w:t>
              <w:br/>
              <w:t>catalog.v1.json      商品 ID、名称 key、数量、价格、资产、版本、取得类型</w:t>
              <w:br/>
              <w:t>billing.v1.json      渠道、地区、价格与购买类型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服务端、Android、网页、文案检查器和帮助页共同读取这些合同。页面禁止兜底手写商品价格；扣费和权益发放必须在一个幂等事务内完成。</w:t>
      </w:r>
    </w:p>
    <w:p>
      <w:pPr>
        <w:pStyle w:val="Heading1"/>
      </w:pPr>
      <w:r>
        <w:t>E. 小鹿 AI 全站系统</w:t>
      </w:r>
    </w:p>
    <w:p>
      <w:pPr>
        <w:pStyle w:val="Heading2"/>
      </w:pPr>
      <w:r>
        <w:t>E1. 定位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AF1EC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21"/>
              </w:rPr>
              <w:t xml:space="preserve">一只小鹿，三个任务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记录、安排、回看。模型供应商可以按地区和可用性路由，但用户始终面对同一个小鹿、同一套记忆与同一组工具权限。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50"/>
        <w:gridCol w:w="3750"/>
        <w:gridCol w:w="3860"/>
      </w:tblGrid>
      <w:tr>
        <w:trPr>
          <w:tblHeader w:val="true"/>
        </w:trP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模式</w:t>
            </w:r>
          </w:p>
        </w:tc>
        <w:tc>
          <w:tcPr>
            <w:tcW w:type="dxa" w:w="3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用户目标</w:t>
            </w:r>
          </w:p>
        </w:tc>
        <w:tc>
          <w:tcPr>
            <w:tcW w:type="dxa" w:w="3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主要结果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记录</w:t>
            </w:r>
          </w:p>
        </w:tc>
        <w:tc>
          <w:tcPr>
            <w:tcW w:type="dxa" w:w="3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把一句话、照片或灵感放进手帐</w:t>
            </w:r>
          </w:p>
        </w:tc>
        <w:tc>
          <w:tcPr>
            <w:tcW w:type="dxa" w:w="3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日程/任务/笔记草稿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安排</w:t>
            </w:r>
          </w:p>
        </w:tc>
        <w:tc>
          <w:tcPr>
            <w:tcW w:type="dxa" w:w="3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理解今天、明天与未完成事项</w:t>
            </w:r>
          </w:p>
        </w:tc>
        <w:tc>
          <w:tcPr>
            <w:tcW w:type="dxa" w:w="3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可确认的时间计划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回看</w:t>
            </w:r>
          </w:p>
        </w:tc>
        <w:tc>
          <w:tcPr>
            <w:tcW w:type="dxa" w:w="3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周/月回顾和整理</w:t>
            </w:r>
          </w:p>
        </w:tc>
        <w:tc>
          <w:tcPr>
            <w:tcW w:type="dxa" w:w="38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摘要、趋势与可保存笔记</w:t>
            </w:r>
          </w:p>
        </w:tc>
      </w:tr>
    </w:tbl>
    <w:p>
      <w:pPr>
        <w:spacing w:after="0"/>
      </w:pPr>
    </w:p>
    <w:p>
      <w:pPr>
        <w:pStyle w:val="Heading2"/>
      </w:pPr>
      <w:r>
        <w:t>E2. 入口治理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260"/>
        <w:gridCol w:w="4000"/>
      </w:tblGrid>
      <w:tr>
        <w:trPr>
          <w:tblHeader w:val="true"/>
        </w:trP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入口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上下文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行为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 → 小鹿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全局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进入小鹿首页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日历小鹿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当前日期与可见日程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默认询问当天安排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待办小鹿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当前清单与未完成任务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拆解、排序、规划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笔记小鹿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当前笔记或选中文本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润色、整理、存为任务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相机识别</w:t>
            </w:r>
          </w:p>
        </w:tc>
        <w:tc>
          <w:tcPr>
            <w:tcW w:type="dxa" w:w="32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用户主动选择的照片</w:t>
            </w:r>
          </w:p>
        </w:tc>
        <w:tc>
          <w:tcPr>
            <w:tcW w:type="dxa" w:w="4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识别后生成结构化草稿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场景入口必须携带上下文；不能只是把用户送进同一个空白聊天页。全局入口保留完整对话，场景入口优先展示结果导向动作。</w:t>
      </w:r>
    </w:p>
    <w:p>
      <w:pPr>
        <w:pStyle w:val="Heading2"/>
      </w:pPr>
      <w:r>
        <w:t>E3. 写入链路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用户表达意图 → 小鹿读取已授权上下文 → 生成结构化操作草稿</w:t>
              <w:br/>
              <w:t>→ 显示将新增/修改/删除什么 → 用户选择并确认 → 数据层提交</w:t>
              <w:br/>
              <w:t>→ 就地显示结果 → 提供撤销或打开对象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动作风险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确认规则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示例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只读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无需确认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今天有什么安排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新增 1 项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明确草稿卡后确认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创建明天15:00会议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新增多项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逐项勾选后执行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把计划拆成5个任务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修改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显示修改前后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会议从15:00改到16:00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删除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永远二次确认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删除3个过期任务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高成本生成</w:t>
            </w:r>
          </w:p>
        </w:tc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显示鹿角和存储</w:t>
            </w:r>
          </w:p>
        </w:tc>
        <w:tc>
          <w:tcPr>
            <w:tcW w:type="dxa" w:w="40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生成主题、贴纸或批量识别</w:t>
            </w:r>
          </w:p>
        </w:tc>
      </w:tr>
    </w:tbl>
    <w:p>
      <w:pPr>
        <w:spacing w:after="0"/>
      </w:pPr>
    </w:p>
    <w:p>
      <w:pPr>
        <w:pStyle w:val="Heading2"/>
      </w:pPr>
      <w:r>
        <w:t>E4. 小鹿设置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上下文权限：日历、任务、笔记分别授权；日记正文默认关闭。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记忆：用户可查看、逐条删除、全部清空；说明记忆来源和用途。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模型与地区：普通用户只看服务状态；供应商与路由放诊断详情。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自有 Key：放入高级设置，说明内容直连用户服务商并走其账单。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用量：显示鹿角成本与近期消耗，不宣传不存在的不限次或更聪明档。</w:t>
      </w:r>
    </w:p>
    <w:p>
      <w:pPr>
        <w:pStyle w:val="Heading2"/>
      </w:pPr>
      <w:r>
        <w:t>E5. AI 相机与普通附件分离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2000"/>
        <w:gridCol w:w="2750"/>
        <w:gridCol w:w="2710"/>
      </w:tblGrid>
      <w:tr>
        <w:trPr>
          <w:tblHeader w:val="true"/>
        </w:trP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能力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入口文案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数据处理</w:t>
            </w:r>
          </w:p>
        </w:tc>
        <w:tc>
          <w:tcPr>
            <w:tcW w:type="dxa" w:w="27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结果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普通附件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添加照片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压缩、保存、同步</w:t>
            </w:r>
          </w:p>
        </w:tc>
        <w:tc>
          <w:tcPr>
            <w:tcW w:type="dxa" w:w="27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照片留在对象中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识别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拍照识别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说明上传与处理方</w:t>
            </w:r>
          </w:p>
        </w:tc>
        <w:tc>
          <w:tcPr>
            <w:tcW w:type="dxa" w:w="27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结构化草稿，确认后保存</w:t>
            </w:r>
          </w:p>
        </w:tc>
      </w:tr>
      <w:tr>
        <w:tc>
          <w:tcPr>
            <w:tcW w:type="dxa" w:w="1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照片取色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从照片提取配色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本机处理</w:t>
            </w:r>
          </w:p>
        </w:tc>
        <w:tc>
          <w:tcPr>
            <w:tcW w:type="dxa" w:w="27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配色预览，不是 AI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t>F. 新增组件接入系统</w:t>
      </w:r>
    </w:p>
    <w:p>
      <w:pPr>
        <w:pStyle w:val="Heading2"/>
      </w:pPr>
      <w:r>
        <w:t>F1. 组件分层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Foundations → Color / Type / Space / Radius / Motion / Touch</w:t>
              <w:br/>
              <w:t>Primitives  → Text / Icon / Divider / Surface</w:t>
              <w:br/>
              <w:t>Components  → TopBar / Row / Button / Dialog / Sheet / Field</w:t>
              <w:br/>
              <w:t>Patterns    → Editor / Purchase / Permission / Attachment / AI Proposal</w:t>
              <w:br/>
              <w:t>Features    → Calendar / Todo / Notes / Store / AI / Settings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功能页面只能组合既有组件和模式；若需要新交互，先登记组件合同，再接入页面。不能在页面文件里临时写一个仅本页可用的弹窗、按钮或价格卡。</w:t>
      </w:r>
    </w:p>
    <w:p>
      <w:pPr>
        <w:pStyle w:val="Heading2"/>
      </w:pPr>
      <w:r>
        <w:t>F2. 每个组件必须登记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字段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要求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component_id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稳定名称和版本，例如 purchase.confirm.v1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purpose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解决什么任务，不解决什么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anatomy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标题、正文、图标、动作和可选区域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states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默认、按压、加载、禁用、错误、离线、完成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tokens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使用哪些颜色、字体、间距、圆角和动效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behavior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点击、返回、取消、提交、恢复与焦点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accessibility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语义标签、焦点顺序、44dp、大字体和对比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parity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Android 与网页的等价行为</w:t>
            </w:r>
          </w:p>
        </w:tc>
      </w:tr>
      <w:tr>
        <w:tc>
          <w:tcPr>
            <w:tcW w:type="dxa" w:w="2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tests</w:t>
            </w:r>
          </w:p>
        </w:tc>
        <w:tc>
          <w:tcPr>
            <w:tcW w:type="dxa" w:w="69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截图、状态矩阵、链路和真机验收</w:t>
            </w:r>
          </w:p>
        </w:tc>
      </w:tr>
    </w:tbl>
    <w:p>
      <w:pPr>
        <w:spacing w:after="0"/>
      </w:pPr>
    </w:p>
    <w:p>
      <w:pPr>
        <w:pStyle w:val="Heading2"/>
      </w:pPr>
      <w:r>
        <w:t>F3. 优先建立的组件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组件族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首批组件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导航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AppBar、Back、Save、More、Section、NavigationRow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浮层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ConfirmDialog、SingleChoiceDialog、MultiChoiceDialog、ActionSheet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状态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Loading、Empty、InlineError、OfflineBanner、Snackbar、Undo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商业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PlanCard、AntlerBadge、ProductCard、PurchaseConfirm、EntitlementState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附件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AttachmentEntry、PickerSheet、MediaStrip、MediaViewer、UploadState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ContextEntry、ProposalCard、DiffRow、ConfirmActions、MemoryRow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任务</w:t>
            </w:r>
          </w:p>
        </w:tc>
        <w:tc>
          <w:tcPr>
            <w:tcW w:type="dxa" w:w="71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TaskCompletionDot、ChecklistCheckbox、StarButton、SwipeActions</w:t>
            </w:r>
          </w:p>
        </w:tc>
      </w:tr>
    </w:tbl>
    <w:p>
      <w:pPr>
        <w:spacing w:after="0"/>
      </w:pPr>
    </w:p>
    <w:p>
      <w:pPr>
        <w:pStyle w:val="Heading2"/>
      </w:pPr>
      <w:r>
        <w:t>F4. 相机附件接入合同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2750"/>
        <w:gridCol w:w="2910"/>
        <w:gridCol w:w="2000"/>
      </w:tblGrid>
      <w:tr>
        <w:trPr>
          <w:tblHeader w:val="true"/>
        </w:trP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场景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编辑态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详情态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新建对象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日程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添加/删除照片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查看媒体；进入编辑后修改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预生成 draft UID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任务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添加/删除照片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查看媒体；进入编辑后修改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预生成 draft UID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笔记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正文下方媒体区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全页查看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立即可添加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日记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正文下方媒体区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当天媒体查看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day UID 天然存在</w:t>
            </w:r>
          </w:p>
        </w:tc>
      </w:tr>
      <w:tr>
        <w:tc>
          <w:tcPr>
            <w:tcW w:type="dxa" w:w="17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重复日程</w:t>
            </w:r>
          </w:p>
        </w:tc>
        <w:tc>
          <w:tcPr>
            <w:tcW w:type="dxa" w:w="2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明确整组或本次</w:t>
            </w:r>
          </w:p>
        </w:tc>
        <w:tc>
          <w:tcPr>
            <w:tcW w:type="dxa" w:w="29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显示归属</w:t>
            </w:r>
          </w:p>
        </w:tc>
        <w:tc>
          <w:tcPr>
            <w:tcW w:type="dxa" w:w="20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不默认为整组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附件状态统一为：LocalImporting → LocalReady → Uploading → Synced；失败进入 UploadFailed，可重试且不丢本机文件。删除先本机隐藏并提供撤销，再同步墓碑。</w:t>
      </w:r>
    </w:p>
    <w:p>
      <w:pPr>
        <w:pStyle w:val="Heading1"/>
      </w:pPr>
      <w:r>
        <w:t>G. 文件系统与工程组织</w:t>
      </w:r>
    </w:p>
    <w:p>
      <w:pPr>
        <w:pStyle w:val="Heading2"/>
      </w:pPr>
      <w:r>
        <w:t>G1. 文档目录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docs/</w:t>
              <w:br/>
              <w:t>├─ README.md                         唯一索引与当前真值入口</w:t>
              <w:br/>
              <w:t>├─ product/PRODUCT-DNA.md            产品定位与红线</w:t>
              <w:br/>
              <w:t>├─ product/ENTITLEMENTS.md           Free/Pro 权益</w:t>
              <w:br/>
              <w:t>├─ product/ECONOMY.md                鹿角规则</w:t>
              <w:br/>
              <w:t>├─ product/AI-UX.md                  小鹿行为与权限</w:t>
              <w:br/>
              <w:t>├─ design/FOUNDATIONS.md             Token</w:t>
              <w:br/>
              <w:t>├─ design/COMPONENTS.md              组件注册表</w:t>
              <w:br/>
              <w:t>├─ design/PATTERNS.md                交互模式</w:t>
              <w:br/>
              <w:t>├─ design/CONTENT-DESIGN.md          文案与术语</w:t>
              <w:br/>
              <w:t>├─ features/{feature}/               页面、状态、链路、验收</w:t>
              <w:br/>
              <w:t>├─ contracts/                        机器可读合同</w:t>
              <w:br/>
              <w:t>├─ qa/                               真机与双端验收</w:t>
              <w:br/>
              <w:t>└─ history/                          历史讨论，只读</w:t>
            </w:r>
          </w:p>
        </w:tc>
      </w:tr>
    </w:tbl>
    <w:p>
      <w:pPr>
        <w:spacing w:after="0"/>
      </w:pPr>
    </w:p>
    <w:p>
      <w:pPr>
        <w:pStyle w:val="Heading2"/>
      </w:pPr>
      <w:r>
        <w:t>G2. Android 目录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app/src/main/java/com/looka/app/</w:t>
              <w:br/>
              <w:t>├─ core/designsystem</w:t>
              <w:br/>
              <w:t>├─ core/navigation</w:t>
              <w:br/>
              <w:t>├─ domain/economy</w:t>
              <w:br/>
              <w:t>├─ domain/entitlement</w:t>
              <w:br/>
              <w:t>├─ domain/attachment</w:t>
              <w:br/>
              <w:t>├─ data/local | remote | repository</w:t>
              <w:br/>
              <w:t>└─ feature/calendar | todo | notes | settings | store | ai | attachments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优先拆分 ExtraScreens.kt、StickerPicker 中的购买逻辑和页面内硬编码状态。每个 Feature 只依赖 domain 接口和 design system，不直接复制网络请求、价格、权益与 Toast。</w:t>
      </w:r>
    </w:p>
    <w:p>
      <w:pPr>
        <w:pStyle w:val="Heading2"/>
      </w:pPr>
      <w:r>
        <w:t>G3. 服务端与网页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server/src/</w:t>
              <w:br/>
              <w:t>├─ routes/ai | antler | shop | attachment</w:t>
              <w:br/>
              <w:t>├─ domain/economy | catalog | entitlement | ai</w:t>
              <w:br/>
              <w:t>├─ repositories/</w:t>
              <w:br/>
              <w:t>└─ contracts/loader</w:t>
              <w:br/>
              <w:br/>
              <w:t>web/src/ → 构建产物输出到 server/public/</w:t>
              <w:br/>
              <w:t>共享路由、文案 key、设计 token、权益和商品合同</w:t>
            </w:r>
          </w:p>
        </w:tc>
      </w:tr>
    </w:tbl>
    <w:p>
      <w:pPr>
        <w:spacing w:after="0"/>
      </w:pP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现行单文件 Worker 可以按路由逐步抽取，不做一次性重写。网页先建立源码目录和组件层，再迁移旧 app.js；server/public 保持部署产物角色。</w:t>
      </w:r>
    </w:p>
    <w:p>
      <w:pPr>
        <w:pStyle w:val="Heading1"/>
      </w:pPr>
      <w:r>
        <w:t>H. 统一治理与发布门禁</w:t>
      </w:r>
    </w:p>
    <w:p>
      <w:pPr>
        <w:pStyle w:val="Heading2"/>
      </w:pPr>
      <w:r>
        <w:t>H1. 真值优先级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线上真实能力和业务数据。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版本化机器合同：权益、经济、商品、路由与设计 Token。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当前产品与设计规格。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页面文案、帮助、协议和本地化资源。</w:t>
      </w:r>
    </w:p>
    <w:p>
      <w:pPr>
        <w:keepNext w:val="0"/>
        <w:keepLines w:val="0"/>
        <w:numPr>
          <w:ilvl w:val="0"/>
          <w:numId w:val="12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历史计划、讨论与竞品研究。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历史文档可以解释演变，但不能继续承担用户承诺。超过一万行的追加式计划应冻结为历史，新决定进入独立 ADR 或当前规格。</w:t>
      </w:r>
    </w:p>
    <w:p>
      <w:pPr>
        <w:pStyle w:val="Heading2"/>
      </w:pPr>
      <w:r>
        <w:t>H2. 新功能 Definition of Done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入口、退出和返回链路已登记；没有孤儿页面。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默认、加载、空、错误、离线、禁用、权限拒绝、成功状态齐全。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使用已有 Token 与组件；新增组件先登记合同。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所有用户文案有统一 key，数字来自合同。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Free/Pro、鹿角、存储和权限边界已写清。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Android 与网页差异已记录，替代入口已验证后才能删除旧入口。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关键动作有幂等、撤销或恢复机制。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44dp、大字体、屏幕阅读器、颜色非唯一证据已验收。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至少完成一条真实设备完整链路；大面积挂载先单页灰度。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构建、合同、截图和回归检查通过后才进入发布清单。</w:t>
      </w:r>
    </w:p>
    <w:p>
      <w:pPr>
        <w:pStyle w:val="Heading2"/>
      </w:pPr>
      <w:r>
        <w:t>H3. 自动检查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检查器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拦截内容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check_design_tokens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颜色、字体、间距、圆角、动效和 Web 变量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check_entitlements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Free/Pro 权益与实际 Feature Flag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check_economy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每日鹿角、成本、上限、API 字段与文案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check_catalog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商品、资产、价格、数量和权益类型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check_routes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页面路由、深链、返回与入口可达性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check_copy_claims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不限次、签到、永久免费、规划中等高风险承诺</w:t>
            </w:r>
          </w:p>
        </w:tc>
      </w:tr>
      <w:tr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check_component_usage</w:t>
            </w:r>
          </w:p>
        </w:tc>
        <w:tc>
          <w:tcPr>
            <w:tcW w:type="dxa" w:w="65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页面私造 Dialog、按钮、价格和硬编码半径</w:t>
            </w:r>
          </w:p>
        </w:tc>
      </w:tr>
    </w:tbl>
    <w:p>
      <w:pPr>
        <w:spacing w:after="0"/>
      </w:pPr>
    </w:p>
    <w:p>
      <w:pPr>
        <w:pStyle w:val="Heading1"/>
      </w:pPr>
      <w:r>
        <w:t>I. 分批实施计划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以下批次按依赖排列。每批可单独验收，不建议把全站重构、经济迁移、AI 和附件再次放进同一个版本。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1500"/>
        <w:gridCol w:w="4200"/>
        <w:gridCol w:w="2760"/>
      </w:tblGrid>
      <w:tr>
        <w:trPr>
          <w:tblHeader w:val="true"/>
        </w:trP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批次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目标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主要工作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7"/>
              </w:rPr>
              <w:t>完成条件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P0 真值冻结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停止继续漂移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确定权益、鹿角、术语；清理失实承诺；建立合同草案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App/Web/服务端/文档数字一致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P1 更多与设置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建立清楚入口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账户卡、方案与鹿角、小鹿设置、提醒诊断、数据分层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所有旧入口有替代路径并通过回退测试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P2 设计系统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统一视觉和交互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字体/间距/圆角/动效 Token；首批组件与状态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页面不再新增未登记样式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P3 鹿角与商店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完成可信交易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钱包、流水、商品详情、确认、幂等、Pro 永久领取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余额与权益在重试/离线后仍一致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P4 小鹿系统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从聊天升级为助手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三模式、上下文入口、草稿确认、记忆与权限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所有写入可预览、确认、撤销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P5 相机附件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建立可靠媒体能力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普通附件组件、AI 拍照分流、草稿 UID、上传状态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单页真机通过后逐页扩展</w:t>
            </w:r>
          </w:p>
        </w:tc>
      </w:tr>
      <w:tr>
        <w:tc>
          <w:tcPr>
            <w:tcW w:type="dxa" w:w="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P6 全站迁移</w:t>
            </w:r>
          </w:p>
        </w:tc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完成双端统一</w:t>
            </w:r>
          </w:p>
        </w:tc>
        <w:tc>
          <w:tcPr>
            <w:tcW w:type="dxa" w:w="4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逐页替换旧组件、Web 对齐、文案与无障碍复核</w:t>
            </w:r>
          </w:p>
        </w:tc>
        <w:tc>
          <w:tcPr>
            <w:tcW w:type="dxa" w:w="27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7"/>
              </w:rPr>
              <w:t>关键链路矩阵全部通过</w:t>
            </w:r>
          </w:p>
        </w:tc>
      </w:tr>
    </w:tbl>
    <w:p>
      <w:pPr>
        <w:spacing w:after="0"/>
      </w:pPr>
    </w:p>
    <w:p>
      <w:pPr>
        <w:pStyle w:val="Heading2"/>
      </w:pPr>
      <w:r>
        <w:t>I1. 每批验收节奏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2F4F2"/>
          </w:tcPr>
          <w:p>
            <w:pPr>
              <w:spacing w:after="0" w:line="252" w:lineRule="auto"/>
            </w:pPr>
            <w:r>
              <w:rPr>
                <w:rFonts w:ascii="Menlo" w:hAnsi="Menlo" w:eastAsia="Noto Sans CJK SC"/>
                <w:b w:val="0"/>
                <w:i w:val="0"/>
                <w:color w:val="202522"/>
                <w:sz w:val="19"/>
              </w:rPr>
              <w:t>规格冻结 → 合同与测试先行 → 单页面接入 → 静态/构建检查</w:t>
              <w:br/>
              <w:t>→ Android 真机 → 网页浏览器 → 双端账号同步 → 回归 → 发布决定</w:t>
            </w:r>
          </w:p>
        </w:tc>
      </w:tr>
    </w:tbl>
    <w:p>
      <w:pPr>
        <w:spacing w:after="0"/>
      </w:pPr>
    </w:p>
    <w:p>
      <w:pPr>
        <w:pStyle w:val="Heading2"/>
      </w:pPr>
      <w:r>
        <w:t>I2. 首批建议清单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删除关于页、协议、注释和词典中的“AI 不限次 / 每天10次”等过时口径。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把所有“每天签到”改为“当天使用后获得”，并修正 grant_monthly 字段。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拍板并迁移 Free 60 / Pro 300 旧上限。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把更多顶部“设置”改成真正设置中心，不再重复进入日历设置。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把“订阅与小鹿 AI”拆成“方案与鹿角”及“小鹿设置”。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将提醒自检移入设置，改成提醒诊断。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选择器内锁定卡改为跳转商品详情，购买逻辑只保留一套。</w:t>
      </w:r>
    </w:p>
    <w:p>
      <w:pPr>
        <w:keepNext w:val="0"/>
        <w:keepLines w:val="0"/>
        <w:numPr>
          <w:ilvl w:val="0"/>
          <w:numId w:val="13"/>
        </w:numPr>
        <w:spacing w:after="160" w:line="280" w:lineRule="auto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相机组件先只在笔记页完成真机状态闭环，再恢复四页面接入。</w:t>
      </w:r>
    </w:p>
    <w:p>
      <w:pPr>
        <w:pStyle w:val="Heading1"/>
      </w:pPr>
      <w:r>
        <w:t>J. 全站验收矩阵</w:t>
      </w:r>
    </w:p>
    <w:p>
      <w:pPr>
        <w:pStyle w:val="Heading2"/>
      </w:pPr>
      <w:r>
        <w:t>J1. 页面与状态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50"/>
        <w:gridCol w:w="7410"/>
      </w:tblGrid>
      <w:tr>
        <w:trPr>
          <w:tblHeader w:val="true"/>
        </w:trP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系统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至少验收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更多/设置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未登录、Free、Pro、离线、同步失败、大字体、返回滚动位置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当日到账、重复进入不重发、余额不足、保底、跨设备、迁移后余额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商店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未登录、余额足/不足、Pro、重复点击、网络中断、已拥有、恢复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只读、新增、批量、修改、删除、取消、撤销、无权限、无余额、上游失败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附件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相机拒绝、相册取消、压缩、上传、离线、失败重试、删除撤销、跨端下载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无提醒、普通提醒、闹钟、权限拒绝、厂商后台限制、重启后恢复</w:t>
            </w:r>
          </w:p>
        </w:tc>
      </w:tr>
      <w:tr>
        <w:tc>
          <w:tcPr>
            <w:tcW w:type="dxa" w:w="19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文案</w:t>
            </w:r>
          </w:p>
        </w:tc>
        <w:tc>
          <w:tcPr>
            <w:tcW w:type="dxa" w:w="741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简中/繁中/英文、长昵称、长商品名、复数、动态数字、协议一致</w:t>
            </w:r>
          </w:p>
        </w:tc>
      </w:tr>
    </w:tbl>
    <w:p>
      <w:pPr>
        <w:spacing w:after="0"/>
      </w:pPr>
    </w:p>
    <w:p>
      <w:pPr>
        <w:pStyle w:val="Heading2"/>
      </w:pPr>
      <w:r>
        <w:t>J2. 视觉与交互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同屏字号层级不超过三层，月历高密度区除外。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页面用留白与分隔组织，不以大圆角卡片承担所有分组。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所有行先有 pressed；所有按钮点击区至少 44dp。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标准 Dialog 宽约 86%、小圆角、动作结果明确。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同时最多一个交互 Overlay；关闭后恢复上下文、焦点和滚动锚点。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减少动态效果开启时，取消弹性、缩放和大范围位移。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任何状态不能只靠颜色；图标、文字或位置同时提供证据。</w:t>
      </w:r>
    </w:p>
    <w:p>
      <w:pPr>
        <w:pStyle w:val="Heading1"/>
        <w:pageBreakBefore/>
      </w:pPr>
      <w:r>
        <w:t>K. 决策登记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3400"/>
        <w:gridCol w:w="2600"/>
        <w:gridCol w:w="3360"/>
      </w:tblGrid>
      <w:tr>
        <w:trPr>
          <w:tblHeader w:val="true"/>
        </w:trP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决策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建议状态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6F7F5"/>
          </w:tcPr>
          <w:p>
            <w:pPr>
              <w:spacing w:after="0"/>
            </w:pPr>
            <w:r>
              <w:rPr>
                <w:rFonts w:ascii="Noto Sans CJK SC" w:hAnsi="Noto Sans CJK SC" w:eastAsia="Noto Sans CJK SC"/>
                <w:b/>
                <w:i w:val="0"/>
                <w:color w:val="244735"/>
                <w:sz w:val="19"/>
              </w:rPr>
              <w:t>实施前动作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Free 10 / Pro 50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建议冻结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写入 economy.v1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鹿角不清零、无上限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目标已明确，代码未对齐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迁移旧上限并回归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Pro 官方装扮 0 鹿角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建议冻结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明确领取后永久拥有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商店名称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建议改为装扮商店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全站术语替换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提醒自检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保留并降级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改名提醒诊断，移入设置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AI 对话 1 鹿角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建议维持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发送前规则与余额状态统一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普通附件 vs AI 拍照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必须分离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建立两套入口与数据说明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任务圆点 vs 清单勾选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必须分离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建立两个语义组件</w:t>
            </w:r>
          </w:p>
        </w:tc>
      </w:tr>
      <w:tr>
        <w:tc>
          <w:tcPr>
            <w:tcW w:type="dxa" w:w="34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More 黑色顶部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可保留但改为状态区</w:t>
            </w:r>
          </w:p>
        </w:tc>
        <w:tc>
          <w:tcPr>
            <w:tcW w:type="dxa" w:w="3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19"/>
              </w:rPr>
              <w:t>移除假设置入口与品牌空区</w:t>
            </w:r>
          </w:p>
        </w:tc>
      </w:tr>
    </w:tbl>
    <w:p>
      <w:pPr>
        <w:spacing w:after="0"/>
      </w:pPr>
    </w:p>
    <w:p>
      <w:r/>
    </w:p>
    <w:p>
      <w:pPr>
        <w:pStyle w:val="Heading1"/>
      </w:pPr>
      <w:r>
        <w:t>L. 新增功能全生命周期闭环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1F5B47"/>
                <w:sz w:val="18"/>
              </w:rPr>
              <w:t xml:space="preserve">全局规则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一个功能只有在“用户可以安全地开始，也可以清楚地离开”时才算完成。入口、关闭、移除、删除、恢复和退场不是收尾工作，而是立项时同时设计的产品合同。</w:t>
            </w:r>
          </w:p>
        </w:tc>
      </w:tr>
    </w:tbl>
    <w:p>
      <w:pPr>
        <w:spacing w:after="20"/>
      </w:pPr>
    </w:p>
    <w:p>
      <w:pPr>
        <w:pStyle w:val="Heading2"/>
      </w:pPr>
      <w:r>
        <w:t>L1. 先从全局决定它该不该出现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5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01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问题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是否真实存在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02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位置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进入哪个产品域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03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边界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权限·数据·付费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04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退出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关闭·移除·删除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05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恢复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重新启用·恢复购买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06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退场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导出·兼容·替代</w:t>
            </w:r>
          </w:p>
        </w:tc>
      </w:tr>
    </w:tbl>
    <w:p>
      <w:pPr>
        <w:spacing w:after="20"/>
      </w:pPr>
    </w:p>
    <w:p>
      <w:pPr>
        <w:pStyle w:val="ListBullet"/>
      </w:pPr>
      <w:r>
        <w:t>核心功能优先接入日历、待办、笔记和日记的现有场景，不因为新增能力就扩张一级导航。</w:t>
      </w:r>
    </w:p>
    <w:p>
      <w:pPr>
        <w:pStyle w:val="ListBullet"/>
      </w:pPr>
      <w:r>
        <w:t>低频管理进入设置；商品发现进入装扮商店；方案和支付进入方案页；报错和建议进入用户共建中心。</w:t>
      </w:r>
    </w:p>
    <w:p>
      <w:pPr>
        <w:pStyle w:val="ListBullet"/>
      </w:pPr>
      <w:r>
        <w:t>实验、权限敏感、高成本或会持续打扰的能力默认关闭，以用户主动触发作为启用时机。</w:t>
      </w:r>
    </w:p>
    <w:p>
      <w:pPr>
        <w:pStyle w:val="ListBullet"/>
      </w:pPr>
      <w:r>
        <w:t>先写“不使用会怎样、关闭会怎样、删除会怎样”，再设计宣传入口。</w:t>
      </w:r>
    </w:p>
    <w:p>
      <w:r/>
    </w:p>
    <w:p>
      <w:pPr>
        <w:pStyle w:val="Heading2"/>
      </w:pPr>
      <w:r>
        <w:t>L2. feature.lifecycle.v1：每个功能的出生证与退出证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450"/>
        <w:gridCol w:w="3380"/>
        <w:gridCol w:w="4290"/>
      </w:tblGrid>
      <w:tr>
        <w:trPr>
          <w:tblHeader/>
        </w:trPr>
        <w:tc>
          <w:tcPr>
            <w:tcW w:type="dxa" w:w="14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38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必须设计</w:t>
            </w:r>
          </w:p>
        </w:tc>
        <w:tc>
          <w:tcPr>
            <w:tcW w:type="dxa" w:w="429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闭环标准</w:t>
            </w:r>
          </w:p>
        </w:tc>
      </w:tr>
      <w:t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发现</w:t>
            </w:r>
          </w:p>
        </w:tc>
        <w:tc>
          <w:tcPr>
            <w:tcW w:type="dxa" w:w="33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场景入口、搜索/帮助入口、适用对象</w:t>
            </w:r>
          </w:p>
        </w:tc>
        <w:tc>
          <w:tcPr>
            <w:tcW w:type="dxa" w:w="42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用户知道为什么在这里看到它</w:t>
            </w:r>
          </w:p>
        </w:tc>
      </w:tr>
      <w:tr>
        <w:tc>
          <w:tcPr>
            <w:tcW w:type="dxa" w:w="14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预览</w:t>
            </w:r>
          </w:p>
        </w:tc>
        <w:tc>
          <w:tcPr>
            <w:tcW w:type="dxa" w:w="338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一句话价值、真实能力、费用、权限</w:t>
            </w:r>
          </w:p>
        </w:tc>
        <w:tc>
          <w:tcPr>
            <w:tcW w:type="dxa" w:w="42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不启用也能理解，不承诺规划中能力</w:t>
            </w:r>
          </w:p>
        </w:tc>
      </w:tr>
      <w:t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启用</w:t>
            </w:r>
          </w:p>
        </w:tc>
        <w:tc>
          <w:tcPr>
            <w:tcW w:type="dxa" w:w="33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登录、资格、权限、下载、付费</w:t>
            </w:r>
          </w:p>
        </w:tc>
        <w:tc>
          <w:tcPr>
            <w:tcW w:type="dxa" w:w="42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取消后原地返回，不重复索权</w:t>
            </w:r>
          </w:p>
        </w:tc>
      </w:tr>
      <w:tr>
        <w:tc>
          <w:tcPr>
            <w:tcW w:type="dxa" w:w="14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首用</w:t>
            </w:r>
          </w:p>
        </w:tc>
        <w:tc>
          <w:tcPr>
            <w:tcW w:type="dxa" w:w="338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最小示例、默认值、跳过</w:t>
            </w:r>
          </w:p>
        </w:tc>
        <w:tc>
          <w:tcPr>
            <w:tcW w:type="dxa" w:w="42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不强迫教学，不遮住手工路径</w:t>
            </w:r>
          </w:p>
        </w:tc>
      </w:tr>
      <w:t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日常</w:t>
            </w:r>
          </w:p>
        </w:tc>
        <w:tc>
          <w:tcPr>
            <w:tcW w:type="dxa" w:w="33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保存边界、加载、空、错误、离线</w:t>
            </w:r>
          </w:p>
        </w:tc>
        <w:tc>
          <w:tcPr>
            <w:tcW w:type="dxa" w:w="42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一屏一主动作，失败不丢数据</w:t>
            </w:r>
          </w:p>
        </w:tc>
      </w:tr>
      <w:tr>
        <w:tc>
          <w:tcPr>
            <w:tcW w:type="dxa" w:w="14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关闭</w:t>
            </w:r>
          </w:p>
        </w:tc>
        <w:tc>
          <w:tcPr>
            <w:tcW w:type="dxa" w:w="338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停止能力、通知和后台任务</w:t>
            </w:r>
          </w:p>
        </w:tc>
        <w:tc>
          <w:tcPr>
            <w:tcW w:type="dxa" w:w="42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保留内容，可随时重新开启</w:t>
            </w:r>
          </w:p>
        </w:tc>
      </w:tr>
      <w:t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移除</w:t>
            </w:r>
          </w:p>
        </w:tc>
        <w:tc>
          <w:tcPr>
            <w:tcW w:type="dxa" w:w="33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入口、组件、缓存、关联对象</w:t>
            </w:r>
          </w:p>
        </w:tc>
        <w:tc>
          <w:tcPr>
            <w:tcW w:type="dxa" w:w="42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不默认删除用户创建的数据</w:t>
            </w:r>
          </w:p>
        </w:tc>
      </w:tr>
      <w:tr>
        <w:tc>
          <w:tcPr>
            <w:tcW w:type="dxa" w:w="14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删除</w:t>
            </w:r>
          </w:p>
        </w:tc>
        <w:tc>
          <w:tcPr>
            <w:tcW w:type="dxa" w:w="338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本机、云端、附件、AI 派生范围</w:t>
            </w:r>
          </w:p>
        </w:tc>
        <w:tc>
          <w:tcPr>
            <w:tcW w:type="dxa" w:w="42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先说明、可导出、危险操作独立</w:t>
            </w:r>
          </w:p>
        </w:tc>
      </w:tr>
      <w:tr>
        <w:tc>
          <w:tcPr>
            <w:tcW w:type="dxa" w:w="14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恢复</w:t>
            </w:r>
          </w:p>
        </w:tc>
        <w:tc>
          <w:tcPr>
            <w:tcW w:type="dxa" w:w="338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重新启用、重新下载、恢复购买</w:t>
            </w:r>
          </w:p>
        </w:tc>
        <w:tc>
          <w:tcPr>
            <w:tcW w:type="dxa" w:w="42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不重复收费，不制造重复数据</w:t>
            </w:r>
          </w:p>
        </w:tc>
      </w:tr>
      <w:tr>
        <w:tc>
          <w:tcPr>
            <w:tcW w:type="dxa" w:w="14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退场</w:t>
            </w:r>
          </w:p>
        </w:tc>
        <w:tc>
          <w:tcPr>
            <w:tcW w:type="dxa" w:w="338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替代、通知、导出、兼容期</w:t>
            </w:r>
          </w:p>
        </w:tc>
        <w:tc>
          <w:tcPr>
            <w:tcW w:type="dxa" w:w="42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先建立出口，最后删除入口</w:t>
            </w:r>
          </w:p>
        </w:tc>
      </w:tr>
    </w:tbl>
    <w:p>
      <w:pPr>
        <w:spacing w:after="40"/>
      </w:pPr>
    </w:p>
    <w:p>
      <w:pPr>
        <w:pStyle w:val="Heading2"/>
      </w:pPr>
      <w:r>
        <w:t>L3. 六个容易混淆的动作必须分开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750"/>
        <w:gridCol w:w="3500"/>
        <w:gridCol w:w="3870"/>
      </w:tblGrid>
      <w:tr>
        <w:trPr>
          <w:tblHeader/>
        </w:trPr>
        <w:tc>
          <w:tcPr>
            <w:tcW w:type="dxa" w:w="17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动作</w:t>
            </w:r>
          </w:p>
        </w:tc>
        <w:tc>
          <w:tcPr>
            <w:tcW w:type="dxa" w:w="35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真实含义</w:t>
            </w:r>
          </w:p>
        </w:tc>
        <w:tc>
          <w:tcPr>
            <w:tcW w:type="dxa" w:w="387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用户数据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关闭功能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停止运行、提醒或读取权限</w:t>
            </w:r>
          </w:p>
        </w:tc>
        <w:tc>
          <w:tcPr>
            <w:tcW w:type="dxa" w:w="38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保留；重新开启后继续使用</w:t>
            </w:r>
          </w:p>
        </w:tc>
      </w:tr>
      <w:tr>
        <w:tc>
          <w:tcPr>
            <w:tcW w:type="dxa" w:w="17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移除功能</w:t>
            </w:r>
          </w:p>
        </w:tc>
        <w:tc>
          <w:tcPr>
            <w:tcW w:type="dxa" w:w="3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隐藏入口，移除可下载组件和缓存</w:t>
            </w:r>
          </w:p>
        </w:tc>
        <w:tc>
          <w:tcPr>
            <w:tcW w:type="dxa" w:w="38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默认保留；删除数据另选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删除功能数据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删除本机、云端或派生数据</w:t>
            </w:r>
          </w:p>
        </w:tc>
        <w:tc>
          <w:tcPr>
            <w:tcW w:type="dxa" w:w="38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独立危险确认；先提供导出</w:t>
            </w:r>
          </w:p>
        </w:tc>
      </w:tr>
      <w:tr>
        <w:tc>
          <w:tcPr>
            <w:tcW w:type="dxa" w:w="17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恢复默认</w:t>
            </w:r>
          </w:p>
        </w:tc>
        <w:tc>
          <w:tcPr>
            <w:tcW w:type="dxa" w:w="3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只重置偏好和布局</w:t>
            </w:r>
          </w:p>
        </w:tc>
        <w:tc>
          <w:tcPr>
            <w:tcW w:type="dxa" w:w="38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不删除内容、订单、账号或永久权益</w:t>
            </w:r>
          </w:p>
        </w:tc>
      </w:tr>
      <w:tr>
        <w:tc>
          <w:tcPr>
            <w:tcW w:type="dxa" w:w="17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退出登录</w:t>
            </w:r>
          </w:p>
        </w:tc>
        <w:tc>
          <w:tcPr>
            <w:tcW w:type="dxa" w:w="3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结束本机账号会话</w:t>
            </w:r>
          </w:p>
        </w:tc>
        <w:tc>
          <w:tcPr>
            <w:tcW w:type="dxa" w:w="38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不等于删除云端数据或取消订阅</w:t>
            </w:r>
          </w:p>
        </w:tc>
      </w:tr>
      <w:tr>
        <w:tc>
          <w:tcPr>
            <w:tcW w:type="dxa" w:w="17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注销账号</w:t>
            </w:r>
          </w:p>
        </w:tc>
        <w:tc>
          <w:tcPr>
            <w:tcW w:type="dxa" w:w="3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账号级终止</w:t>
            </w:r>
          </w:p>
        </w:tc>
        <w:tc>
          <w:tcPr>
            <w:tcW w:type="dxa" w:w="38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列出订阅、权益、恢复期及不可逆后果</w:t>
            </w:r>
          </w:p>
        </w:tc>
      </w:tr>
    </w:tbl>
    <w:p>
      <w:pPr>
        <w:spacing w:after="40"/>
      </w:pP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F8EAE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9B3D35"/>
                <w:sz w:val="18"/>
              </w:rPr>
              <w:t xml:space="preserve">禁止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不能用一个模糊的“删除/卸载”按钮同时完成关闭能力、清缓存、删除云端数据和注销账号。</w:t>
            </w:r>
          </w:p>
        </w:tc>
      </w:tr>
    </w:tbl>
    <w:p>
      <w:pPr>
        <w:spacing w:after="20"/>
      </w:pPr>
    </w:p>
    <w:p>
      <w:r/>
    </w:p>
    <w:p>
      <w:pPr>
        <w:pStyle w:val="Heading2"/>
      </w:pPr>
      <w:r>
        <w:t>L4. Lifebear 式退出体验：克制，但后果必须清楚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800"/>
        <w:gridCol w:w="4230"/>
        <w:gridCol w:w="3090"/>
      </w:tblGrid>
      <w:tr>
        <w:trPr>
          <w:tblHeader/>
        </w:trPr>
        <w:tc>
          <w:tcPr>
            <w:tcW w:type="dxa" w:w="18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对象</w:t>
            </w:r>
          </w:p>
        </w:tc>
        <w:tc>
          <w:tcPr>
            <w:tcW w:type="dxa" w:w="423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推荐交互</w:t>
            </w:r>
          </w:p>
        </w:tc>
        <w:tc>
          <w:tcPr>
            <w:tcW w:type="dxa" w:w="309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禁止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普通可逆内容</w:t>
            </w:r>
          </w:p>
        </w:tc>
        <w:tc>
          <w:tcPr>
            <w:tcW w:type="dxa" w:w="42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就地删除 + 短时撤销；必要时进入回收站</w:t>
            </w:r>
          </w:p>
        </w:tc>
        <w:tc>
          <w:tcPr>
            <w:tcW w:type="dxa" w:w="30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每次都弹大型警告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关闭功能</w:t>
            </w:r>
          </w:p>
        </w:tc>
        <w:tc>
          <w:tcPr>
            <w:tcW w:type="dxa" w:w="423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设置行开关或“关闭功能”；一句话说明保留内容</w:t>
            </w:r>
          </w:p>
        </w:tc>
        <w:tc>
          <w:tcPr>
            <w:tcW w:type="dxa" w:w="30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连续挽留、制造焦虑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移除功能</w:t>
            </w:r>
          </w:p>
        </w:tc>
        <w:tc>
          <w:tcPr>
            <w:tcW w:type="dxa" w:w="42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普通确认；“同时删除数据”不得默认勾选</w:t>
            </w:r>
          </w:p>
        </w:tc>
        <w:tc>
          <w:tcPr>
            <w:tcW w:type="dxa" w:w="30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把移除和永久删除捆绑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永久删除</w:t>
            </w:r>
          </w:p>
        </w:tc>
        <w:tc>
          <w:tcPr>
            <w:tcW w:type="dxa" w:w="423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独立危险页；对象、数量、设备/云端、可恢复性</w:t>
            </w:r>
          </w:p>
        </w:tc>
        <w:tc>
          <w:tcPr>
            <w:tcW w:type="dxa" w:w="30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只写“确定吗？”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订阅到期/退款</w:t>
            </w:r>
          </w:p>
        </w:tc>
        <w:tc>
          <w:tcPr>
            <w:tcW w:type="dxa" w:w="42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停止新增 Pro 能力，已有核心内容继续可读</w:t>
            </w:r>
          </w:p>
        </w:tc>
        <w:tc>
          <w:tcPr>
            <w:tcW w:type="dxa" w:w="30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锁住或删除用户记录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重新启用</w:t>
            </w:r>
          </w:p>
        </w:tc>
        <w:tc>
          <w:tcPr>
            <w:tcW w:type="dxa" w:w="423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恢复原设置和数据，先做账号级权益恢复</w:t>
            </w:r>
          </w:p>
        </w:tc>
        <w:tc>
          <w:tcPr>
            <w:tcW w:type="dxa" w:w="30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要求重复付款或重新建数据</w:t>
            </w:r>
          </w:p>
        </w:tc>
      </w:tr>
    </w:tbl>
    <w:p>
      <w:pPr>
        <w:spacing w:after="40"/>
      </w:pP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1F5B47"/>
                <w:sz w:val="18"/>
              </w:rPr>
              <w:t xml:space="preserve">视觉规则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确认层使用白底、小圆角、短标题、两至三行说明、一个主动作和一个取消动作；状态变化 160–220ms，无弹跳、无大插画、无倒计时。</w:t>
            </w:r>
          </w:p>
        </w:tc>
      </w:tr>
    </w:tbl>
    <w:p>
      <w:pPr>
        <w:spacing w:after="20"/>
      </w:pPr>
    </w:p>
    <w:p>
      <w:pPr>
        <w:pStyle w:val="Heading2"/>
      </w:pPr>
      <w:r>
        <w:t>L5. 退场也是产品能力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01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冻结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停止新购与新入口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02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告知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替代与数据说明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03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导出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内容与配置可迁移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04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兼容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旧数据只读可恢复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05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清理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双端·服务端·任务</w:t>
            </w:r>
          </w:p>
        </w:tc>
        <w:tc>
          <w:tcPr>
            <w:tcW w:type="dxa" w:w="15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06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删除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最后移除实现</w:t>
            </w:r>
          </w:p>
        </w:tc>
      </w:tr>
    </w:tbl>
    <w:p>
      <w:pPr>
        <w:spacing w:after="20"/>
      </w:pPr>
    </w:p>
    <w:p>
      <w:pPr>
        <w:pStyle w:val="ListBullet"/>
      </w:pPr>
      <w:r>
        <w:t>删除按钮前先确认仍有替代入口；删除旧路由前先迁移深链；删除页面前先停掉通知和后台任务。</w:t>
      </w:r>
    </w:p>
    <w:p>
      <w:pPr>
        <w:pStyle w:val="ListBullet"/>
      </w:pPr>
      <w:r>
        <w:t>旧付费用户必须保留权益恢复和数据读取；功能下线不能变成隐性毁约。</w:t>
      </w:r>
    </w:p>
    <w:p>
      <w:pPr>
        <w:pStyle w:val="ListBullet"/>
      </w:pPr>
      <w:r>
        <w:t>产品退场后仍保留可追溯的合同版本和迁移记录，但历史文档不再驱动当前页面。</w:t>
      </w:r>
    </w:p>
    <w:p>
      <w:r/>
    </w:p>
    <w:p>
      <w:pPr>
        <w:pStyle w:val="Heading2"/>
      </w:pPr>
      <w:r>
        <w:t>L6. 新功能完成定义：必须走完一次完整来回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200"/>
        <w:gridCol w:w="6920"/>
      </w:tblGrid>
      <w:tr>
        <w:trPr>
          <w:tblHeader/>
        </w:trPr>
        <w:tc>
          <w:tcPr>
            <w:tcW w:type="dxa" w:w="22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门禁</w:t>
            </w:r>
          </w:p>
        </w:tc>
        <w:tc>
          <w:tcPr>
            <w:tcW w:type="dxa" w:w="692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验收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入口与返回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唯一入口、返回、深链、旧入口替代已登记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状态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默认、加载、空、错误、离线、禁用、权限拒绝、成功齐全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退出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关闭、移除、删除数据、恢复四种语义已区分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权益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Free/Pro/Founder、到期、退款、跨设备恢复已定义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资源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后台任务、通知、缓存、权限、云端派生数据有清理规则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双端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Android/Web 差异和替代路径已记录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真机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至少完成一次“启用→使用→关闭→移除→恢复”闭环</w:t>
            </w:r>
          </w:p>
        </w:tc>
      </w:tr>
    </w:tbl>
    <w:p>
      <w:pPr>
        <w:spacing w:after="40"/>
      </w:pPr>
    </w:p>
    <w:p>
      <w:pPr>
        <w:pStyle w:val="Heading2"/>
      </w:pPr>
      <w:r>
        <w:t>L7. 建议的机器合同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200"/>
        <w:gridCol w:w="6920"/>
      </w:tblGrid>
      <w:tr>
        <w:trPr>
          <w:tblHeader/>
        </w:trPr>
        <w:tc>
          <w:tcPr>
            <w:tcW w:type="dxa" w:w="22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字段组</w:t>
            </w:r>
          </w:p>
        </w:tc>
        <w:tc>
          <w:tcPr>
            <w:tcW w:type="dxa" w:w="692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示例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identity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feature_id · version · owner · product_domain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entry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routes · deep_links · eligibility · discovery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activation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default_state · permissions · entitlement · cost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data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local · cloud · derived · cache · export · retention</w:t>
            </w:r>
          </w:p>
        </w:tc>
      </w:tr>
      <w:tr>
        <w:tc>
          <w:tcPr>
            <w:tcW w:type="dxa" w:w="22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exit</w:t>
            </w:r>
          </w:p>
        </w:tc>
        <w:tc>
          <w:tcPr>
            <w:tcW w:type="dxa" w:w="69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disable · remove · delete · restore · sunset</w:t>
            </w:r>
          </w:p>
        </w:tc>
      </w:tr>
      <w:tr>
        <w:tc>
          <w:tcPr>
            <w:tcW w:type="dxa" w:w="22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quality</w:t>
            </w:r>
          </w:p>
        </w:tc>
        <w:tc>
          <w:tcPr>
            <w:tcW w:type="dxa" w:w="69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states · a11y · parity · tests · telemetry</w:t>
            </w:r>
          </w:p>
        </w:tc>
      </w:tr>
    </w:tbl>
    <w:p>
      <w:pPr>
        <w:spacing w:after="40"/>
      </w:pPr>
    </w:p>
    <w:p>
      <w:pPr>
        <w:pStyle w:val="Heading1"/>
      </w:pPr>
      <w:r>
        <w:t>M. Paddle 全球支付系统方案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1F5B47"/>
                <w:sz w:val="18"/>
              </w:rPr>
              <w:t xml:space="preserve">结论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Paddle 适合作为 Looka 的全球 Web Merchant of Record，但不应在当前价格下直接取代所有通道。支付宝可做一次性与订阅；微信支付只支持中国桌面端一次性购买，不支持 Pro 自动续费。</w:t>
            </w:r>
          </w:p>
        </w:tc>
      </w:tr>
    </w:tbl>
    <w:p>
      <w:pPr>
        <w:spacing w:after="20"/>
      </w:pPr>
    </w:p>
    <w:p>
      <w:pPr>
        <w:pStyle w:val="Heading2"/>
      </w:pPr>
      <w:r>
        <w:t>M1. 真实能力边界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050"/>
        <w:gridCol w:w="2800"/>
        <w:gridCol w:w="4270"/>
      </w:tblGrid>
      <w:tr>
        <w:trPr>
          <w:tblHeader/>
        </w:trPr>
        <w:tc>
          <w:tcPr>
            <w:tcW w:type="dxa" w:w="20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场景</w:t>
            </w:r>
          </w:p>
        </w:tc>
        <w:tc>
          <w:tcPr>
            <w:tcW w:type="dxa" w:w="28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建议通道</w:t>
            </w:r>
          </w:p>
        </w:tc>
        <w:tc>
          <w:tcPr>
            <w:tcW w:type="dxa" w:w="427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关键边界</w:t>
            </w:r>
          </w:p>
        </w:tc>
      </w:tr>
      <w:t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Web / PWA</w:t>
            </w:r>
          </w:p>
        </w:tc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Checkout</w:t>
            </w:r>
          </w:p>
        </w:tc>
        <w:tc>
          <w:tcPr>
            <w:tcW w:type="dxa" w:w="42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全球主通道；账号级恢复权益</w:t>
            </w:r>
          </w:p>
        </w:tc>
      </w:tr>
      <w:tr>
        <w:tc>
          <w:tcPr>
            <w:tcW w:type="dxa" w:w="20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官网下载 Android APK</w:t>
            </w:r>
          </w:p>
        </w:tc>
        <w:tc>
          <w:tcPr>
            <w:tcW w:type="dxa" w:w="2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Checkout</w:t>
            </w:r>
          </w:p>
        </w:tc>
        <w:tc>
          <w:tcPr>
            <w:tcW w:type="dxa" w:w="42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网页付款，App 回来自动确认</w:t>
            </w:r>
          </w:p>
        </w:tc>
      </w:tr>
      <w:t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Google Play 版</w:t>
            </w:r>
          </w:p>
        </w:tc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Google Play Billing 为默认</w:t>
            </w:r>
          </w:p>
        </w:tc>
        <w:tc>
          <w:tcPr>
            <w:tcW w:type="dxa" w:w="42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外链仅在符合当期地区/项目规则时展示</w:t>
            </w:r>
          </w:p>
        </w:tc>
      </w:tr>
      <w:tr>
        <w:tc>
          <w:tcPr>
            <w:tcW w:type="dxa" w:w="20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未来 iOS 版</w:t>
            </w:r>
          </w:p>
        </w:tc>
        <w:tc>
          <w:tcPr>
            <w:tcW w:type="dxa" w:w="2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StoreKit IAP 为默认</w:t>
            </w:r>
          </w:p>
        </w:tc>
        <w:tc>
          <w:tcPr>
            <w:tcW w:type="dxa" w:w="42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外链按 storefront 与 entitlement 判断</w:t>
            </w:r>
          </w:p>
        </w:tc>
      </w:tr>
      <w:tr>
        <w:tc>
          <w:tcPr>
            <w:tcW w:type="dxa" w:w="20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中国支付宝</w:t>
            </w:r>
          </w:p>
        </w:tc>
        <w:tc>
          <w:tcPr>
            <w:tcW w:type="dxa" w:w="2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Alipay</w:t>
            </w:r>
          </w:p>
        </w:tc>
        <w:tc>
          <w:tcPr>
            <w:tcW w:type="dxa" w:w="42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需额外审批；CNY；一次性与订阅均支持</w:t>
            </w:r>
          </w:p>
        </w:tc>
      </w:tr>
      <w:tr>
        <w:tc>
          <w:tcPr>
            <w:tcW w:type="dxa" w:w="20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中国微信支付</w:t>
            </w:r>
          </w:p>
        </w:tc>
        <w:tc>
          <w:tcPr>
            <w:tcW w:type="dxa" w:w="2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WeChat Pay</w:t>
            </w:r>
          </w:p>
        </w:tc>
        <w:tc>
          <w:tcPr>
            <w:tcW w:type="dxa" w:w="42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桌面端；CNY/USD；仅一次性；延迟捕获</w:t>
            </w:r>
          </w:p>
        </w:tc>
      </w:tr>
    </w:tbl>
    <w:p>
      <w:pPr>
        <w:spacing w:after="40"/>
      </w:pPr>
    </w:p>
    <w:p>
      <w:pPr>
        <w:pStyle w:val="Heading2"/>
      </w:pPr>
      <w:r>
        <w:t>M2. 低价 SKU 是最大现实约束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FBF5E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8B6118"/>
                <w:sz w:val="18"/>
              </w:rPr>
              <w:t xml:space="preserve">费率基线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Paddle 当前公开标准费率为每笔 5% + US$0.50；官方要求低于 US$10 的产品联系团队讨论定价。</w:t>
            </w:r>
          </w:p>
        </w:tc>
      </w:tr>
    </w:tbl>
    <w:p>
      <w:pPr>
        <w:spacing w:after="20"/>
      </w:pP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100"/>
        <w:gridCol w:w="2600"/>
        <w:gridCol w:w="4420"/>
      </w:tblGrid>
      <w:tr>
        <w:trPr>
          <w:tblHeader/>
        </w:trPr>
        <w:tc>
          <w:tcPr>
            <w:tcW w:type="dxa" w:w="21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SKU</w:t>
            </w:r>
          </w:p>
        </w:tc>
        <w:tc>
          <w:tcPr>
            <w:tcW w:type="dxa" w:w="26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标准费率下约占比</w:t>
            </w:r>
          </w:p>
        </w:tc>
        <w:tc>
          <w:tcPr>
            <w:tcW w:type="dxa" w:w="442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建议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US$5 月付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约 15%</w:t>
            </w:r>
          </w:p>
        </w:tc>
        <w:tc>
          <w:tcPr>
            <w:tcW w:type="dxa" w:w="4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海外 Pro 月付基准；仍申请低价报价</w:t>
            </w:r>
          </w:p>
        </w:tc>
      </w:tr>
      <w:tr>
        <w:tc>
          <w:tcPr>
            <w:tcW w:type="dxa" w:w="21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US$50 年付</w:t>
            </w:r>
          </w:p>
        </w:tc>
        <w:tc>
          <w:tcPr>
            <w:tcW w:type="dxa" w:w="26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约 6%</w:t>
            </w:r>
          </w:p>
        </w:tc>
        <w:tc>
          <w:tcPr>
            <w:tcW w:type="dxa" w:w="44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海外 Pro 年付基准；相对月付省约 17%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¥12 月付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固定 US$0.50 占比高</w:t>
            </w:r>
          </w:p>
        </w:tc>
        <w:tc>
          <w:tcPr>
            <w:tcW w:type="dxa" w:w="4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先谈低价报价；否则保留国内替代通道</w:t>
            </w:r>
          </w:p>
        </w:tc>
      </w:tr>
      <w:tr>
        <w:tc>
          <w:tcPr>
            <w:tcW w:type="dxa" w:w="21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¥19.9 Founder</w:t>
            </w:r>
          </w:p>
        </w:tc>
        <w:tc>
          <w:tcPr>
            <w:tcW w:type="dxa" w:w="26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仍偏高</w:t>
            </w:r>
          </w:p>
        </w:tc>
        <w:tc>
          <w:tcPr>
            <w:tcW w:type="dxa" w:w="44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可限量试点，并监控退款与服务成本</w:t>
            </w:r>
          </w:p>
        </w:tc>
      </w:tr>
      <w:tr>
        <w:tc>
          <w:tcPr>
            <w:tcW w:type="dxa" w:w="21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¥6 鹿角包</w:t>
            </w:r>
          </w:p>
        </w:tc>
        <w:tc>
          <w:tcPr>
            <w:tcW w:type="dxa" w:w="2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经济性很差</w:t>
            </w:r>
          </w:p>
        </w:tc>
        <w:tc>
          <w:tcPr>
            <w:tcW w:type="dxa" w:w="4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首发最低从 ¥18 或更高组合包开始</w:t>
            </w:r>
          </w:p>
        </w:tc>
      </w:tr>
    </w:tbl>
    <w:p>
      <w:pPr>
        <w:spacing w:after="40"/>
      </w:pPr>
    </w:p>
    <w:p>
      <w:pPr>
        <w:pStyle w:val="Heading2"/>
      </w:pPr>
      <w:r>
        <w:t>M3. 一个权益中心，多个合规收款通道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入口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方案页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只展示当前可购 SKU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路由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Offer Resolver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地区·平台·资格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支付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Paddle / Store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托管收款与税务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事件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Webhook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验签·幂等·对账</w:t>
            </w:r>
          </w:p>
        </w:tc>
        <w:tc>
          <w:tcPr>
            <w:tcW w:type="dxa" w:w="15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权益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Resolver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统一 Pro 与鹿角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恢复</w:t>
              <w:br/>
            </w:r>
            <w:r>
              <w:rPr>
                <w:rFonts w:ascii="Arial" w:hAnsi="Arial" w:eastAsia="Source Han Sans SC"/>
                <w:b/>
                <w:color w:val="1B1B1F"/>
                <w:sz w:val="17"/>
              </w:rPr>
              <w:t>全端同步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收据·管理·退款</w:t>
            </w:r>
          </w:p>
        </w:tc>
      </w:tr>
    </w:tbl>
    <w:p>
      <w:pPr>
        <w:spacing w:after="20"/>
      </w:pPr>
    </w:p>
    <w:p>
      <w:pPr>
        <w:spacing w:before="40" w:after="80" w:line="269" w:lineRule="auto"/>
      </w:pPr>
      <w:r>
        <w:rPr>
          <w:rFonts w:ascii="Arial" w:hAnsi="Arial" w:eastAsia="Source Han Sans SC"/>
          <w:b/>
          <w:color w:val="1F5B47"/>
          <w:sz w:val="17"/>
        </w:rPr>
        <w:t xml:space="preserve">权益规则  </w:t>
      </w:r>
      <w:r>
        <w:rPr>
          <w:rFonts w:ascii="Arial" w:hAnsi="Arial" w:eastAsia="Source Han Sans SC"/>
          <w:b w:val="0"/>
          <w:color w:val="1B1B1F"/>
          <w:sz w:val="17"/>
        </w:rPr>
        <w:t>页面只读统一权益；所有渠道写标准事件；新购先恢复已有 Pro，防止重复订阅。</w:t>
      </w:r>
    </w:p>
    <w:p>
      <w:r/>
    </w:p>
    <w:p>
      <w:pPr>
        <w:pStyle w:val="Heading2"/>
      </w:pPr>
      <w:r>
        <w:t>M4. 付款不是终点：支付完整状态机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800"/>
        <w:gridCol w:w="3650"/>
        <w:gridCol w:w="3670"/>
      </w:tblGrid>
      <w:tr>
        <w:trPr>
          <w:tblHeader/>
        </w:trPr>
        <w:tc>
          <w:tcPr>
            <w:tcW w:type="dxa" w:w="18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6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用户界面</w:t>
            </w:r>
          </w:p>
        </w:tc>
        <w:tc>
          <w:tcPr>
            <w:tcW w:type="dxa" w:w="367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服务端责任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可购买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价格、周期、权益、续费说明</w:t>
            </w:r>
          </w:p>
        </w:tc>
        <w:tc>
          <w:tcPr>
            <w:tcW w:type="dxa" w:w="36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创建带账号与 SKU 的短时交易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结账中</w:t>
            </w:r>
          </w:p>
        </w:tc>
        <w:tc>
          <w:tcPr>
            <w:tcW w:type="dxa" w:w="3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托管页；可安全取消</w:t>
            </w:r>
          </w:p>
        </w:tc>
        <w:tc>
          <w:tcPr>
            <w:tcW w:type="dxa" w:w="36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不提前发放权益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待确认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正在确认；可离开后回来</w:t>
            </w:r>
          </w:p>
        </w:tc>
        <w:tc>
          <w:tcPr>
            <w:tcW w:type="dxa" w:w="36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等待可信 Webhook；轮询只作补充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已完成</w:t>
            </w:r>
          </w:p>
        </w:tc>
        <w:tc>
          <w:tcPr>
            <w:tcW w:type="dxa" w:w="3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Pro/鹿角到账、收据、管理入口</w:t>
            </w:r>
          </w:p>
        </w:tc>
        <w:tc>
          <w:tcPr>
            <w:tcW w:type="dxa" w:w="36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幂等记账并刷新所有端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失败/取消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保留方案页和再次尝试</w:t>
            </w:r>
          </w:p>
        </w:tc>
        <w:tc>
          <w:tcPr>
            <w:tcW w:type="dxa" w:w="36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不占 Founder 名额，不留假订单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续费失败</w:t>
            </w:r>
          </w:p>
        </w:tc>
        <w:tc>
          <w:tcPr>
            <w:tcW w:type="dxa" w:w="3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说明宽限和下一步</w:t>
            </w:r>
          </w:p>
        </w:tc>
        <w:tc>
          <w:tcPr>
            <w:tcW w:type="dxa" w:w="36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dunning；最终按合同回落 Free</w:t>
            </w:r>
          </w:p>
        </w:tc>
      </w:tr>
      <w:tr>
        <w:tc>
          <w:tcPr>
            <w:tcW w:type="dxa" w:w="18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取消续费</w:t>
            </w:r>
          </w:p>
        </w:tc>
        <w:tc>
          <w:tcPr>
            <w:tcW w:type="dxa" w:w="3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显示仍可使用到哪一天</w:t>
            </w:r>
          </w:p>
        </w:tc>
        <w:tc>
          <w:tcPr>
            <w:tcW w:type="dxa" w:w="36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订阅结束前不提前回收</w:t>
            </w:r>
          </w:p>
        </w:tc>
      </w:tr>
      <w:tr>
        <w:tc>
          <w:tcPr>
            <w:tcW w:type="dxa" w:w="18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退款/拒付</w:t>
            </w:r>
          </w:p>
        </w:tc>
        <w:tc>
          <w:tcPr>
            <w:tcW w:type="dxa" w:w="3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说明权益变化，核心内容保留</w:t>
            </w:r>
          </w:p>
        </w:tc>
        <w:tc>
          <w:tcPr>
            <w:tcW w:type="dxa" w:w="36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回收后续服务，不删除用户记录</w:t>
            </w:r>
          </w:p>
        </w:tc>
      </w:tr>
    </w:tbl>
    <w:p>
      <w:pPr>
        <w:spacing w:after="40"/>
      </w:pP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1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365E74"/>
                <w:sz w:val="18"/>
              </w:rPr>
              <w:t xml:space="preserve">微信特别规则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微信支付是延迟捕获。前端 checkout.completed 不能作为发货依据；必须等待服务端可信事件并允许“正在确认”持续到捕获完成。</w:t>
            </w:r>
          </w:p>
        </w:tc>
      </w:tr>
    </w:tbl>
    <w:p>
      <w:pPr>
        <w:spacing w:after="20"/>
      </w:pPr>
    </w:p>
    <w:p>
      <w:pPr>
        <w:pStyle w:val="Heading2"/>
      </w:pPr>
      <w:r>
        <w:t>M5. 支付、订阅、账号与数据删除是四条链路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300"/>
        <w:gridCol w:w="4130"/>
        <w:gridCol w:w="2690"/>
      </w:tblGrid>
      <w:tr>
        <w:trPr>
          <w:tblHeader/>
        </w:trPr>
        <w:tc>
          <w:tcPr>
            <w:tcW w:type="dxa" w:w="23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用户意图</w:t>
            </w:r>
          </w:p>
        </w:tc>
        <w:tc>
          <w:tcPr>
            <w:tcW w:type="dxa" w:w="413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正确入口</w:t>
            </w:r>
          </w:p>
        </w:tc>
        <w:tc>
          <w:tcPr>
            <w:tcW w:type="dxa" w:w="269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不能顺带发生</w:t>
            </w:r>
          </w:p>
        </w:tc>
      </w:tr>
      <w:t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管理或取消订阅</w:t>
            </w:r>
          </w:p>
        </w:tc>
        <w:tc>
          <w:tcPr>
            <w:tcW w:type="dxa" w:w="41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方案页 → Paddle Customer Portal / 商店管理页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不删除 Looka 内容或账号</w:t>
            </w:r>
          </w:p>
        </w:tc>
      </w:tr>
      <w:tr>
        <w:tc>
          <w:tcPr>
            <w:tcW w:type="dxa" w:w="23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删除某功能数据</w:t>
            </w:r>
          </w:p>
        </w:tc>
        <w:tc>
          <w:tcPr>
            <w:tcW w:type="dxa" w:w="413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功能管理页 → 导出 → 危险确认</w:t>
            </w:r>
          </w:p>
        </w:tc>
        <w:tc>
          <w:tcPr>
            <w:tcW w:type="dxa" w:w="26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不自动取消订阅</w:t>
            </w:r>
          </w:p>
        </w:tc>
      </w:tr>
      <w:t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退出登录</w:t>
            </w:r>
          </w:p>
        </w:tc>
        <w:tc>
          <w:tcPr>
            <w:tcW w:type="dxa" w:w="41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账号与同步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不撤销云端权益，不停止扣费</w:t>
            </w:r>
          </w:p>
        </w:tc>
      </w:tr>
      <w:tr>
        <w:tc>
          <w:tcPr>
            <w:tcW w:type="dxa" w:w="23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注销账号</w:t>
            </w:r>
          </w:p>
        </w:tc>
        <w:tc>
          <w:tcPr>
            <w:tcW w:type="dxa" w:w="413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账号删除流程；先检查有效订阅</w:t>
            </w:r>
          </w:p>
        </w:tc>
        <w:tc>
          <w:tcPr>
            <w:tcW w:type="dxa" w:w="269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不能假定注销会自动取消 Paddle</w:t>
            </w:r>
          </w:p>
        </w:tc>
      </w:tr>
      <w:tr>
        <w:tc>
          <w:tcPr>
            <w:tcW w:type="dxa" w:w="23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退款/拒付</w:t>
            </w:r>
          </w:p>
        </w:tc>
        <w:tc>
          <w:tcPr>
            <w:tcW w:type="dxa" w:w="413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订单与权益事件</w:t>
            </w:r>
          </w:p>
        </w:tc>
        <w:tc>
          <w:tcPr>
            <w:tcW w:type="dxa" w:w="269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不删除日程、任务、笔记和日记</w:t>
            </w:r>
          </w:p>
        </w:tc>
      </w:tr>
    </w:tbl>
    <w:p>
      <w:pPr>
        <w:spacing w:after="40"/>
      </w:pPr>
    </w:p>
    <w:p>
      <w:r/>
    </w:p>
    <w:p>
      <w:pPr>
        <w:pStyle w:val="Heading2"/>
      </w:pPr>
      <w:r>
        <w:t>M6. 建议的接入顺序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500"/>
        <w:gridCol w:w="4150"/>
        <w:gridCol w:w="3470"/>
      </w:tblGrid>
      <w:tr>
        <w:trPr>
          <w:tblHeader/>
        </w:trPr>
        <w:tc>
          <w:tcPr>
            <w:tcW w:type="dxa" w:w="15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批次</w:t>
            </w:r>
          </w:p>
        </w:tc>
        <w:tc>
          <w:tcPr>
            <w:tcW w:type="dxa" w:w="41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工作</w:t>
            </w:r>
          </w:p>
        </w:tc>
        <w:tc>
          <w:tcPr>
            <w:tcW w:type="dxa" w:w="347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放行条件</w:t>
            </w:r>
          </w:p>
        </w:tc>
      </w:tr>
      <w:t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P0 审核</w:t>
            </w:r>
          </w:p>
        </w:tc>
        <w:tc>
          <w:tcPr>
            <w:tcW w:type="dxa" w:w="4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身份/域名审核；申请 Alipay 和低价费率</w:t>
            </w:r>
          </w:p>
        </w:tc>
        <w:tc>
          <w:tcPr>
            <w:tcW w:type="dxa" w:w="34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书面确认主体、结算和费率</w:t>
            </w:r>
          </w:p>
        </w:tc>
      </w:tr>
      <w:tr>
        <w:tc>
          <w:tcPr>
            <w:tcW w:type="dxa" w:w="1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P1 合同</w:t>
            </w:r>
          </w:p>
        </w:tc>
        <w:tc>
          <w:tcPr>
            <w:tcW w:type="dxa" w:w="41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建立 plans/pricing/economy/catalog 与 provider 映射</w:t>
            </w:r>
          </w:p>
        </w:tc>
        <w:tc>
          <w:tcPr>
            <w:tcW w:type="dxa" w:w="34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App/Web/服务端不手写价格</w:t>
            </w:r>
          </w:p>
        </w:tc>
      </w:tr>
      <w:t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P2 Sandbox</w:t>
            </w:r>
          </w:p>
        </w:tc>
        <w:tc>
          <w:tcPr>
            <w:tcW w:type="dxa" w:w="4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Founder、年付、月付、鹿角 SKU；验签和幂等</w:t>
            </w:r>
          </w:p>
        </w:tc>
        <w:tc>
          <w:tcPr>
            <w:tcW w:type="dxa" w:w="34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重复事件不重复发货</w:t>
            </w:r>
          </w:p>
        </w:tc>
      </w:tr>
      <w:tr>
        <w:tc>
          <w:tcPr>
            <w:tcW w:type="dxa" w:w="1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P3 生命周期</w:t>
            </w:r>
          </w:p>
        </w:tc>
        <w:tc>
          <w:tcPr>
            <w:tcW w:type="dxa" w:w="41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取消、续费失败、退款、拒付、恢复、对账</w:t>
            </w:r>
          </w:p>
        </w:tc>
        <w:tc>
          <w:tcPr>
            <w:tcW w:type="dxa" w:w="34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状态可重复演练</w:t>
            </w:r>
          </w:p>
        </w:tc>
      </w:tr>
      <w:t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P4 灰度</w:t>
            </w:r>
          </w:p>
        </w:tc>
        <w:tc>
          <w:tcPr>
            <w:tcW w:type="dxa" w:w="4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Web 与官网 APK；先年付和 Founder</w:t>
            </w:r>
          </w:p>
        </w:tc>
        <w:tc>
          <w:tcPr>
            <w:tcW w:type="dxa" w:w="34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真实付款与退款闭环通过</w:t>
            </w:r>
          </w:p>
        </w:tc>
      </w:tr>
      <w:tr>
        <w:tc>
          <w:tcPr>
            <w:tcW w:type="dxa" w:w="1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P5 国内</w:t>
            </w:r>
          </w:p>
        </w:tc>
        <w:tc>
          <w:tcPr>
            <w:tcW w:type="dxa" w:w="41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Alipay；WeChat 只用于一次性商品</w:t>
            </w:r>
          </w:p>
        </w:tc>
        <w:tc>
          <w:tcPr>
            <w:tcW w:type="dxa" w:w="34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支付方式、设备和周期文案准确</w:t>
            </w:r>
          </w:p>
        </w:tc>
      </w:tr>
      <w:tr>
        <w:tc>
          <w:tcPr>
            <w:tcW w:type="dxa" w:w="1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P6 商店版</w:t>
            </w:r>
          </w:p>
        </w:tc>
        <w:tc>
          <w:tcPr>
            <w:tcW w:type="dxa" w:w="41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Google Play / iOS 各自合规接入</w:t>
            </w:r>
          </w:p>
        </w:tc>
        <w:tc>
          <w:tcPr>
            <w:tcW w:type="dxa" w:w="34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当期政策与真机审核通过</w:t>
            </w:r>
          </w:p>
        </w:tc>
      </w:tr>
    </w:tbl>
    <w:p>
      <w:pPr>
        <w:spacing w:after="40"/>
      </w:pPr>
    </w:p>
    <w:p>
      <w:pPr>
        <w:pStyle w:val="Heading2"/>
      </w:pPr>
      <w:r>
        <w:t>M7. 切换原则</w:t>
      </w:r>
    </w:p>
    <w:p>
      <w:pPr>
        <w:pStyle w:val="ListBullet"/>
      </w:pPr>
      <w:r>
        <w:t>不在 Paddle Sandbox 通过就立刻删除爱发电与 Ko-fi；旧渠道先承担已购恢复和短期回退。</w:t>
      </w:r>
    </w:p>
    <w:p>
      <w:pPr>
        <w:pStyle w:val="ListBullet"/>
      </w:pPr>
      <w:r>
        <w:t>不把前端回调当支付真相；密钥、验签、发货、退款和对账只在服务端。</w:t>
      </w:r>
    </w:p>
    <w:p>
      <w:pPr>
        <w:pStyle w:val="ListBullet"/>
      </w:pPr>
      <w:r>
        <w:t>不让用户同时看到 Founder 免费、¥19.9、月付、年付和多个渠道；Offer Resolver 每次只展示当前资格可购方案。</w:t>
      </w:r>
    </w:p>
    <w:p>
      <w:pPr>
        <w:pStyle w:val="ListBullet"/>
      </w:pPr>
      <w:r>
        <w:t>不在未取得低价报价前用 Paddle 标准费率出售 ¥6 鹿角包或 US$5 月付。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F8EAE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9B3D35"/>
                <w:sz w:val="18"/>
              </w:rPr>
              <w:t xml:space="preserve">实施边界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本章是产品、UI/UX 与技术合同，不代表 Paddle 已完成账户审批、密钥配置、生产接入或真实付款验证。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M8. App 外跳 looka.foyue.org/pay 定案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1F5B47"/>
                <w:sz w:val="18"/>
              </w:rPr>
              <w:t xml:space="preserve">发行边界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官网下载版 Android App 不内嵌支付表单；使用系统浏览器或 Android Custom Tab 打开 https://looka.foyue.org/pay。Google Play 与未来 iOS 版本按各自商店规则处理。</w:t>
            </w:r>
          </w:p>
        </w:tc>
      </w:tr>
    </w:tbl>
    <w:p>
      <w:pPr>
        <w:spacing w:after="20"/>
      </w:pP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1520"/>
        <w:gridCol w:w="1520"/>
        <w:gridCol w:w="1520"/>
        <w:gridCol w:w="1520"/>
        <w:gridCol w:w="1520"/>
        <w:gridCol w:w="1520"/>
      </w:tblGrid>
      <w:tr>
        <w:trPr>
          <w:tblHeader/>
        </w:trPr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01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升级 Pro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App 主动触发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02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支付会话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服务端短期签名</w:t>
            </w:r>
          </w:p>
        </w:tc>
        <w:tc>
          <w:tcPr>
            <w:tcW w:type="dxa" w:w="15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03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/pay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资格·地区·唯一报价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04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Paddle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托管结账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05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Webhook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验签·幂等发放</w:t>
            </w:r>
          </w:p>
        </w:tc>
        <w:tc>
          <w:tcPr>
            <w:tcW w:type="dxa" w:w="1520"/>
            <w:shd w:fill="F4F5F3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Arial" w:hAnsi="Arial" w:eastAsia="Source Han Sans SC"/>
                <w:b/>
                <w:color w:val="1F5B47"/>
                <w:sz w:val="14"/>
              </w:rPr>
              <w:t>06</w:t>
              <w:br/>
            </w:r>
            <w:r>
              <w:rPr>
                <w:rFonts w:ascii="Arial" w:hAnsi="Arial" w:eastAsia="Source Han Sans SC"/>
                <w:b/>
                <w:color w:val="1B1B1F"/>
                <w:sz w:val="16"/>
              </w:rPr>
              <w:t>返回 App</w:t>
              <w:br/>
            </w:r>
            <w:r>
              <w:rPr>
                <w:rFonts w:ascii="Arial" w:hAnsi="Arial" w:eastAsia="Source Han Sans SC"/>
                <w:b w:val="0"/>
                <w:color w:val="626866"/>
                <w:sz w:val="13"/>
              </w:rPr>
              <w:t>刷新统一权益</w:t>
            </w:r>
          </w:p>
        </w:tc>
      </w:tr>
    </w:tbl>
    <w:p>
      <w:pPr>
        <w:spacing w:after="20"/>
      </w:pP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1650"/>
        <w:gridCol w:w="3900"/>
        <w:gridCol w:w="3570"/>
      </w:tblGrid>
      <w:tr>
        <w:trPr>
          <w:tblHeader/>
        </w:trPr>
        <w:tc>
          <w:tcPr>
            <w:tcW w:type="dxa" w:w="165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节点</w:t>
            </w:r>
          </w:p>
        </w:tc>
        <w:tc>
          <w:tcPr>
            <w:tcW w:type="dxa" w:w="39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规则</w:t>
            </w:r>
          </w:p>
        </w:tc>
        <w:tc>
          <w:tcPr>
            <w:tcW w:type="dxa" w:w="357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用户体验</w:t>
            </w:r>
          </w:p>
        </w:tc>
      </w:tr>
      <w:tr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入口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App 只请求短期支付会话</w:t>
            </w:r>
          </w:p>
        </w:tc>
        <w:tc>
          <w:tcPr>
            <w:tcW w:type="dxa" w:w="35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不在 URL 暴露邮箱、价格、Price ID 或账号</w:t>
            </w:r>
          </w:p>
        </w:tc>
      </w:tr>
      <w:tr>
        <w:tc>
          <w:tcPr>
            <w:tcW w:type="dxa" w:w="1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打开</w:t>
            </w:r>
          </w:p>
        </w:tc>
        <w:tc>
          <w:tcPr>
            <w:tcW w:type="dxa" w:w="39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系统浏览器 / Custom Tab；禁止 WebView</w:t>
            </w:r>
          </w:p>
        </w:tc>
        <w:tc>
          <w:tcPr>
            <w:tcW w:type="dxa" w:w="35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钱包、3DS 与银行验证更可靠</w:t>
            </w:r>
          </w:p>
        </w:tc>
      </w:tr>
      <w:tr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结账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/pay 只展示当前账号唯一可购方案</w:t>
            </w:r>
          </w:p>
        </w:tc>
        <w:tc>
          <w:tcPr>
            <w:tcW w:type="dxa" w:w="35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不同时堆 Founder、月付、年付和多个渠道</w:t>
            </w:r>
          </w:p>
        </w:tc>
      </w:tr>
      <w:tr>
        <w:tc>
          <w:tcPr>
            <w:tcW w:type="dxa" w:w="1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返回</w:t>
            </w:r>
          </w:p>
        </w:tc>
        <w:tc>
          <w:tcPr>
            <w:tcW w:type="dxa" w:w="39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/pay/success 显示“正在确认”与“返回 Looka”</w:t>
            </w:r>
          </w:p>
        </w:tc>
        <w:tc>
          <w:tcPr>
            <w:tcW w:type="dxa" w:w="35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页面可关闭；稍后回到 App 仍能恢复</w:t>
            </w:r>
          </w:p>
        </w:tc>
      </w:tr>
      <w:tr>
        <w:tc>
          <w:tcPr>
            <w:tcW w:type="dxa" w:w="165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开通</w:t>
            </w:r>
          </w:p>
        </w:tc>
        <w:tc>
          <w:tcPr>
            <w:tcW w:type="dxa" w:w="39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仅可信 Paddle Webhook 可发放权益</w:t>
            </w:r>
          </w:p>
        </w:tc>
        <w:tc>
          <w:tcPr>
            <w:tcW w:type="dxa" w:w="357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前端完成事件不制造假开通</w:t>
            </w:r>
          </w:p>
        </w:tc>
      </w:tr>
      <w:tr>
        <w:tc>
          <w:tcPr>
            <w:tcW w:type="dxa" w:w="165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管理</w:t>
            </w:r>
          </w:p>
        </w:tc>
        <w:tc>
          <w:tcPr>
            <w:tcW w:type="dxa" w:w="39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Paddle Customer Portal</w:t>
            </w:r>
          </w:p>
        </w:tc>
        <w:tc>
          <w:tcPr>
            <w:tcW w:type="dxa" w:w="357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取消续费、更新付款方式与收据有固定入口</w:t>
            </w:r>
          </w:p>
        </w:tc>
      </w:tr>
    </w:tbl>
    <w:p>
      <w:pPr>
        <w:spacing w:after="20"/>
      </w:pP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1F5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365E74"/>
                <w:sz w:val="18"/>
              </w:rPr>
              <w:t xml:space="preserve">安全底线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前端跳回 App 不代表付款最终成功。App 恢复时重新读取 EntitlementResolver；延迟、重投和网络中断都必须保持幂等。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</w:pPr>
      <w:r>
        <w:t>M9. 海外 Pro 定价定案</w:t>
      </w:r>
    </w:p>
    <w:tbl>
      <w:tblPr>
        <w:tblStyle w:val="TableGrid"/>
        <w:tblW w:type="dxa" w:w="9120"/>
        <w:tblLayout w:type="fixed"/>
        <w:tblLook w:firstColumn="1" w:firstRow="1" w:lastColumn="0" w:lastRow="0" w:noHBand="0" w:noVBand="1" w:val="04A0"/>
      </w:tblPr>
      <w:tblGrid>
        <w:gridCol w:w="2500"/>
        <w:gridCol w:w="1600"/>
        <w:gridCol w:w="1600"/>
        <w:gridCol w:w="3420"/>
      </w:tblGrid>
      <w:tr>
        <w:trPr>
          <w:tblHeader/>
        </w:trPr>
        <w:tc>
          <w:tcPr>
            <w:tcW w:type="dxa" w:w="25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市场</w:t>
            </w:r>
          </w:p>
        </w:tc>
        <w:tc>
          <w:tcPr>
            <w:tcW w:type="dxa" w:w="16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月付</w:t>
            </w:r>
          </w:p>
        </w:tc>
        <w:tc>
          <w:tcPr>
            <w:tcW w:type="dxa" w:w="160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年付</w:t>
            </w:r>
          </w:p>
        </w:tc>
        <w:tc>
          <w:tcPr>
            <w:tcW w:type="dxa" w:w="3420"/>
            <w:shd w:fill="1F5B4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/>
                <w:color w:val="FFFFFF"/>
                <w:sz w:val="16"/>
              </w:rPr>
              <w:t>年付说明</w:t>
            </w:r>
          </w:p>
        </w:tc>
      </w:tr>
      <w:tr>
        <w:tc>
          <w:tcPr>
            <w:tcW w:type="dxa" w:w="25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中国大陆基准</w:t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¥12</w:t>
            </w:r>
          </w:p>
        </w:tc>
        <w:tc>
          <w:tcPr>
            <w:tcW w:type="dxa" w:w="160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¥98</w:t>
            </w:r>
          </w:p>
        </w:tc>
        <w:tc>
          <w:tcPr>
            <w:tcW w:type="dxa" w:w="342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相对月付省约 32%</w:t>
            </w:r>
          </w:p>
        </w:tc>
      </w:tr>
      <w:tr>
        <w:tc>
          <w:tcPr>
            <w:tcW w:type="dxa" w:w="25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海外 USD 基准</w:t>
            </w:r>
          </w:p>
        </w:tc>
        <w:tc>
          <w:tcPr>
            <w:tcW w:type="dxa" w:w="16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US$5</w:t>
            </w:r>
          </w:p>
        </w:tc>
        <w:tc>
          <w:tcPr>
            <w:tcW w:type="dxa" w:w="160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US$50</w:t>
            </w:r>
          </w:p>
        </w:tc>
        <w:tc>
          <w:tcPr>
            <w:tcW w:type="dxa" w:w="3420"/>
            <w:shd w:fill="F7F8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eastAsia="Source Han Sans SC"/>
                <w:b w:val="0"/>
                <w:color w:val="1B1B1F"/>
                <w:sz w:val="16"/>
              </w:rPr>
              <w:t>相对月付省约 17%，约等于赠送 2 个月</w:t>
            </w:r>
          </w:p>
        </w:tc>
      </w:tr>
    </w:tbl>
    <w:p>
      <w:pPr>
        <w:spacing w:after="20"/>
      </w:pPr>
    </w:p>
    <w:p>
      <w:pPr>
        <w:pStyle w:val="ListBullet"/>
      </w:pPr>
      <w:r>
        <w:t>海外页面使用简洁整数 $5 / month、$50 / year；价格不按界面语言判断，而按账单国家、币种和渠道解析。</w:t>
      </w:r>
    </w:p>
    <w:p>
      <w:pPr>
        <w:pStyle w:val="ListBullet"/>
      </w:pPr>
      <w:r>
        <w:t>Paddle 标准费率下，US$5 月付约承担 US$0.75（15%），US$50 年付约承担 US$3（6%）；年付更适合作为首发主推荐。</w:t>
      </w:r>
    </w:p>
    <w:p>
      <w:pPr>
        <w:pStyle w:val="ListBullet"/>
      </w:pPr>
      <w:r>
        <w:t>支付宝经审批后可承担 CNY 订阅；微信支付只用于 Founder、鹿角包等一次性商品，不用于自动续费 Pro。</w:t>
      </w:r>
    </w:p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FBF5E8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8B6118"/>
                <w:sz w:val="18"/>
              </w:rPr>
              <w:t xml:space="preserve">文案主稿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月付：US$5 / month，可随时取消。年付：US$50 / year，相当于约两个月免费。最终税费、续费日与退款规则以 Paddle Checkout 为准。</w:t>
            </w:r>
          </w:p>
        </w:tc>
      </w:tr>
    </w:tbl>
    <w:p>
      <w:pPr>
        <w:spacing w:after="20"/>
      </w:pPr>
    </w:p>
    <w:p>
      <w:pPr>
        <w:pStyle w:val="Heading1"/>
        <w:pageBreakBefore/>
      </w:pPr>
      <w:r>
        <w:t>附录：证据与现状边界</w:t>
      </w:r>
    </w:p>
    <w:p>
      <w:pPr>
        <w:spacing w:after="120" w:line="264" w:lineRule="auto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本计划依据 2026-08-27 当前仓库静态代码、现有 Lifebear 研究母档、产品战略文档与执行记录形成。当前 Android 编译、Worker 语法和现有主题合同检查通过；相机、商店等最近功能仍需真机完成状态闭环。</w:t>
      </w:r>
    </w:p>
    <w:p>
      <w:pPr>
        <w:pStyle w:val="Heading2"/>
      </w:pPr>
      <w:r>
        <w:t>核心来源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docs/LIFEBEAR-UIUX-GLOBAL-DESIGN-STUDY.md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docs/Lifebear_UIUX_逐页面图鉴与功能链路_2026-08-26.docx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docs/COPY-AND-ENTITLEMENT-SPEC.md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docs/MORE-EXTENSIONS-STORE-ARCHITECTURE.md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docs/UI-SPEC.md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docs/EXECUTION.md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looka所有文档/Lifebear_AI_Life_Companion_产品战略研究母版_v2.0_2026-08-22.docx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looka所有文档/AI小鹿_全球模型与长期记忆架构参考_v1.0_Claude版.docx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app/src/main/java/com/looka/app/ui/common/Attachments.kt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app/src/main/java/com/looka/app/ui/more/MoreScreen.kt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app/src/main/java/com/looka/app/ui/more/ExtraScreens.kt</w:t>
      </w:r>
    </w:p>
    <w:p>
      <w:pPr>
        <w:pStyle w:val="ListBullet"/>
        <w:keepNext w:val="0"/>
        <w:keepLines w:val="0"/>
        <w:ind w:left="720" w:hanging="360"/>
      </w:pPr>
      <w:r>
        <w:rPr>
          <w:rFonts w:ascii="Noto Sans CJK SC" w:hAnsi="Noto Sans CJK SC" w:eastAsia="Noto Sans CJK SC"/>
          <w:b w:val="0"/>
          <w:i w:val="0"/>
          <w:color w:val="202522"/>
          <w:sz w:val="22"/>
        </w:rPr>
        <w:t>server/src/worker.js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blHeader w:val="true"/>
          <w:cantSplit w:val="true"/>
        </w:trPr>
        <w:tc>
          <w:tcPr>
            <w:tcW w:type="dxa" w:w="9360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F7F1E4"/>
          </w:tcPr>
          <w:p>
            <w:pPr>
              <w:spacing w:after="40"/>
            </w:pPr>
            <w:r>
              <w:rPr>
                <w:rFonts w:ascii="Noto Sans CJK SC" w:hAnsi="Noto Sans CJK SC" w:eastAsia="Noto Sans CJK SC"/>
                <w:b/>
                <w:i w:val="0"/>
                <w:color w:val="8A6A2F"/>
                <w:sz w:val="21"/>
              </w:rPr>
              <w:t xml:space="preserve">实施边界  </w:t>
            </w:r>
            <w:r>
              <w:rPr>
                <w:rFonts w:ascii="Noto Sans CJK SC" w:hAnsi="Noto Sans CJK SC" w:eastAsia="Noto Sans CJK SC"/>
                <w:b w:val="0"/>
                <w:i w:val="0"/>
                <w:color w:val="202522"/>
                <w:sz w:val="21"/>
              </w:rPr>
              <w:t>本计划不自动授权修改代码、支付、线上数据或发布。每一批进入实施前，应再次核对当前分支、线上规则和真机版本。</w:t>
            </w:r>
          </w:p>
        </w:tc>
      </w:tr>
    </w:tbl>
    <w:p>
      <w:pPr>
        <w:spacing w:after="0"/>
      </w:pPr>
    </w:p>
    <w:p>
      <w:pPr>
        <w:pStyle w:val="Heading2"/>
      </w:pPr>
      <w:r>
        <w:t>Paddle 与平台支付官方来源（2026-08-27 核对）</w:t>
      </w:r>
    </w:p>
    <w:p>
      <w:pPr>
        <w:pStyle w:val="ListBullet"/>
      </w:pPr>
      <w:r>
        <w:t>Paddle Payment Methods — https://developer.paddle.com/concepts/payment-methods/</w:t>
      </w:r>
    </w:p>
    <w:p>
      <w:pPr>
        <w:pStyle w:val="ListBullet"/>
      </w:pPr>
      <w:r>
        <w:t>Paddle Alipay — https://developer.paddle.com/concepts/payment-methods/alipay/</w:t>
      </w:r>
    </w:p>
    <w:p>
      <w:pPr>
        <w:pStyle w:val="ListBullet"/>
      </w:pPr>
      <w:r>
        <w:t>Paddle WeChat Pay — https://developer.paddle.com/concepts/payment-methods/wechat/</w:t>
      </w:r>
    </w:p>
    <w:p>
      <w:pPr>
        <w:pStyle w:val="ListBullet"/>
      </w:pPr>
      <w:r>
        <w:t>Paddle Pricing — https://www.paddle.com/pricing</w:t>
      </w:r>
    </w:p>
    <w:p>
      <w:pPr>
        <w:pStyle w:val="ListBullet"/>
      </w:pPr>
      <w:r>
        <w:t>Paddle Webhooks — https://developer.paddle.com/webhooks/about/how-webhooks-work/</w:t>
      </w:r>
    </w:p>
    <w:p>
      <w:pPr>
        <w:pStyle w:val="ListBullet"/>
      </w:pPr>
      <w:r>
        <w:t>Apple App Review Guidelines — https://developer.apple.com/app-store/review/guidelines/</w:t>
      </w:r>
    </w:p>
    <w:p>
      <w:pPr>
        <w:pStyle w:val="ListBullet"/>
      </w:pPr>
      <w:r>
        <w:t>Google Play Payments Policy — https://support.google.com/googleplay/android-developer/answer/9858738</w:t>
      </w:r>
    </w:p>
    <w:p/>
    <w:tbl>
      <w:tblPr>
        <w:tblW w:type="dxa" w:w="9120"/>
        <w:tblLayout w:type="fixed"/>
        <w:tblLook w:firstColumn="1" w:firstRow="1" w:lastColumn="0" w:lastRow="0" w:noHBand="0" w:noVBand="1" w:val="04A0"/>
      </w:tblPr>
      <w:tblGrid>
        <w:gridCol w:w="9120"/>
      </w:tblGrid>
      <w:tr>
        <w:trPr>
          <w:tblHeader/>
        </w:trPr>
        <w:tc>
          <w:tcPr>
            <w:tcW w:type="dxa" w:w="9120"/>
            <w:shd w:fill="EAF3EE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" w:hAnsi="Arial" w:eastAsia="Source Han Sans SC"/>
                <w:b/>
                <w:color w:val="1F5B47"/>
                <w:sz w:val="18"/>
              </w:rPr>
              <w:t xml:space="preserve">本次改动边界  </w:t>
            </w:r>
            <w:r>
              <w:rPr>
                <w:rFonts w:ascii="Arial" w:hAnsi="Arial" w:eastAsia="Source Han Sans SC"/>
                <w:b w:val="0"/>
                <w:color w:val="1B1B1F"/>
                <w:sz w:val="18"/>
              </w:rPr>
              <w:t>v1.2 新增 App 外跳官网支付与海外 US$5 / US$50 定价，并同步修订 UI-SPEC.md；未修改 App、网页、Worker、价格合同、支付密钥、线上订单或部署。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oto Sans CJK SC" w:hAnsi="Noto Sans CJK SC" w:eastAsia="Noto Sans CJK SC"/>
        <w:b w:val="0"/>
        <w:i w:val="0"/>
        <w:color w:val="68716B"/>
        <w:sz w:val="17"/>
      </w:rPr>
      <w:t xml:space="preserve">Looka 全站 UI/UX 产品系统统一规划  ·  </w:t>
    </w:r>
    <w:r>
      <w:rPr>
        <w:rFonts w:ascii="Noto Sans CJK SC" w:hAnsi="Noto Sans CJK SC" w:eastAsia="Noto Sans CJK SC"/>
        <w:b w:val="0"/>
        <w:i w:val="0"/>
        <w:color w:val="68716B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oto Sans CJK SC" w:hAnsi="Noto Sans CJK SC" w:eastAsia="Noto Sans CJK SC"/>
        <w:b/>
        <w:i w:val="0"/>
        <w:color w:val="68716B"/>
        <w:sz w:val="17"/>
      </w:rPr>
      <w:t>LOOKA · PRODUCT SYSTEM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Noto Sans CJK SC" w:hAnsi="Noto Sans CJK SC" w:eastAsia="Noto Sans CJK SC"/>
      <w:color w:val="2025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73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15B4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E5F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Noto Sans CJK SC" w:hAnsi="Noto Sans CJK SC" w:eastAsia="Noto Sans CJK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basedOn w:val="Normal"/>
    <w:pPr>
      <w:spacing w:after="80"/>
    </w:pPr>
    <w:rPr>
      <w:rFonts w:eastAsia="Noto Sans CJK SC"/>
      <w:color w:val="68716B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Looka 全站 UI/UX 产品系统统一规划 v1.2</dc:title>
  <dc:subject>App 外跳官网支付、Paddle Checkout 与海外 US$5 / US$50 定价</dc:subject>
  <dc:creator>Looka 产品设计规划</dc:creator>
  <cp:keywords>Looka, Lifebear, UIUX, feature lifecycle, Paddle, payment, entitlement</cp:keywords>
  <dc:description>v1.2: app opens looka.foyue.org/pay; overseas Pro is USD 5 monthly and USD 50 yearly. Documentation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