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 w:line="288" w:lineRule="auto"/>
      </w:pPr>
      <w:r>
        <w:rPr>
          <w:rFonts w:ascii="Arial" w:hAnsi="Arial" w:eastAsia="Noto Sans CJK SC"/>
          <w:b/>
          <w:i w:val="0"/>
          <w:color w:val="6D7671"/>
          <w:sz w:val="20"/>
        </w:rPr>
        <w:t>LOOKA · PRODUCT SYSTEM MASTER</w:t>
      </w:r>
    </w:p>
    <w:p>
      <w:pPr>
        <w:spacing w:after="40" w:line="288" w:lineRule="auto"/>
      </w:pPr>
      <w:r>
        <w:rPr>
          <w:rFonts w:ascii="Arial" w:hAnsi="Arial" w:eastAsia="Noto Sans CJK SC"/>
          <w:b/>
          <w:i w:val="0"/>
          <w:color w:val="1E4B36"/>
          <w:sz w:val="64"/>
        </w:rPr>
        <w:t>Looka 小鹿 AI 2.0</w:t>
      </w:r>
    </w:p>
    <w:p>
      <w:pPr>
        <w:spacing w:after="240" w:line="288" w:lineRule="auto"/>
      </w:pPr>
      <w:r>
        <w:rPr>
          <w:rFonts w:ascii="Arial" w:hAnsi="Arial" w:eastAsia="Noto Sans CJK SC"/>
          <w:b/>
          <w:i w:val="0"/>
          <w:color w:val="1E4B36"/>
          <w:sz w:val="56"/>
        </w:rPr>
        <w:t>付费体系与用户共建中心</w:t>
      </w:r>
    </w:p>
    <w:p>
      <w:pPr>
        <w:spacing w:after="600" w:line="288" w:lineRule="auto"/>
      </w:pPr>
      <w:r>
        <w:rPr>
          <w:rFonts w:ascii="Arial" w:hAnsi="Arial" w:eastAsia="Noto Sans CJK SC"/>
          <w:b w:val="0"/>
          <w:i w:val="0"/>
          <w:color w:val="35644C"/>
          <w:sz w:val="30"/>
        </w:rPr>
        <w:t>界面、布局、功能、交互、动效与全站权益统一设计母档</w:t>
      </w:r>
    </w:p>
    <w:p>
      <w:pPr>
        <w:spacing w:after="480" w:line="288" w:lineRule="auto"/>
      </w:pPr>
      <w:r>
        <w:rPr>
          <w:rFonts w:ascii="Arial" w:hAnsi="Arial" w:eastAsia="Noto Sans CJK SC"/>
          <w:b w:val="0"/>
          <w:i w:val="0"/>
          <w:color w:val="6D7671"/>
          <w:sz w:val="20"/>
        </w:rPr>
        <w:t>版本 v2.1  ·  2026-08-27  ·  给 Claude 的实施参考</w:t>
      </w:r>
    </w:p>
    <w:p>
      <w:pPr>
        <w:spacing w:before="60" w:after="120" w:line="276" w:lineRule="auto"/>
        <w:ind w:left="173" w:right="115"/>
        <w:shd w:fill="EAF2ED"/>
        <w:keepLines/>
        <w:pBdr>
          <w:left w:val="single" w:sz="18" w:color="1E4B36" w:space="8"/>
        </w:pBdr>
      </w:pPr>
      <w:r>
        <w:rPr>
          <w:rFonts w:ascii="Arial" w:hAnsi="Arial" w:eastAsia="Noto Sans CJK SC"/>
          <w:b/>
          <w:i w:val="0"/>
          <w:color w:val="1E4B36"/>
          <w:sz w:val="19"/>
        </w:rPr>
        <w:t xml:space="preserve">这次解决什么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不再新增一份彼此冲突的补充说明，而是把 AI、Free / Pro / Founder、鹿角包、海外价格、报错、建议和定制收进一套可执行产品合同。</w:t>
      </w:r>
    </w:p>
    <w:p>
      <w:pPr>
        <w:spacing w:after="160" w:line="288" w:lineRule="auto"/>
      </w:pPr>
      <w:r>
        <w:rPr>
          <w:rFonts w:ascii="Arial" w:hAnsi="Arial" w:eastAsia="Noto Sans CJK SC"/>
          <w:b/>
          <w:i w:val="0"/>
          <w:color w:val="1E4B36"/>
          <w:sz w:val="26"/>
        </w:rPr>
        <w:t>结论先行：AI 先减层；价格先分阶段；鹿角只管用量；反馈与定制共用一个入口，但绝不混成一张表。</w:t>
      </w:r>
    </w:p>
    <w:p>
      <w:pPr>
        <w:spacing w:after="100" w:line="288" w:lineRule="auto"/>
      </w:pPr>
      <w:r>
        <w:rPr>
          <w:rFonts w:ascii="Arial" w:hAnsi="Arial" w:eastAsia="Noto Sans CJK SC"/>
          <w:b w:val="0"/>
          <w:i w:val="0"/>
          <w:color w:val="6D7671"/>
          <w:sz w:val="18"/>
        </w:rPr>
        <w:t>证据标记：L = 当前代码事实｜D = 用户明确方向｜C = 本文推荐目标｜R = 官方平台规则</w:t>
      </w:r>
    </w:p>
    <w:p>
      <w:pPr>
        <w:pStyle w:val="Heading1"/>
        <w:pageBreakBefore/>
      </w:pPr>
      <w:r>
        <w:t>0｜本轮定案与解释边界</w:t>
      </w:r>
    </w:p>
    <w:p>
      <w:pPr>
        <w:spacing w:before="60" w:after="120" w:line="276" w:lineRule="auto"/>
        <w:ind w:left="173" w:right="115"/>
        <w:shd w:fill="F7F1E5"/>
        <w:keepLines/>
        <w:pBdr>
          <w:left w:val="single" w:sz="18" w:color="A77A2D" w:space="8"/>
        </w:pBdr>
      </w:pPr>
      <w:r>
        <w:rPr>
          <w:rFonts w:ascii="Arial" w:hAnsi="Arial" w:eastAsia="Noto Sans CJK SC"/>
          <w:b/>
          <w:i w:val="0"/>
          <w:color w:val="A77A2D"/>
          <w:sz w:val="19"/>
        </w:rPr>
        <w:t xml:space="preserve">文字解释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用户原文“海报用户怎么定价”本文按“海外用户怎么定价”理解；若实际指“拍海报识别”用户，该能力按识图鹿角计费，不另设人群套餐。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750"/>
        <w:gridCol w:w="4300"/>
        <w:gridCol w:w="3310"/>
      </w:tblGrid>
      <w:tr>
        <w:trPr>
          <w:tblHeader w:val="true"/>
          <w:cantSplit/>
        </w:trPr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5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事项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本文定案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1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边界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创始 100 人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验证账号后永久免费 Founder Pro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全球合计 100 席；不可转让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其后 1000 人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¥19.9 限量买断 Founder Pro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分批开放；成本门不通过则暂停下一批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常规 Pro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¥12 / 月；¥98 / 年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自动续订；年付省 ¥46，约 32%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海外 Pro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$5 / 月；$50 / 年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商店本地化价格；不是实时汇率换算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鹿角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Free 当天使用 +10；Pro / Founder +50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不签到、不补发、不清零；购买桶永不过期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共建中心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报告问题 / 提出建议 / 申请定制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报错优先级按严重度，不按是否付费</w:t>
            </w:r>
          </w:p>
        </w:tc>
      </w:tr>
    </w:tbl>
    <w:p>
      <w:pPr>
        <w:spacing w:after="0"/>
      </w:pPr>
    </w:p>
    <w:p>
      <w:pPr>
        <w:spacing w:before="60" w:after="120" w:line="276" w:lineRule="auto"/>
        <w:ind w:left="173" w:right="115"/>
        <w:shd w:fill="F7ECEA"/>
        <w:keepLines/>
        <w:pBdr>
          <w:left w:val="single" w:sz="18" w:color="9B4B43" w:space="8"/>
        </w:pBdr>
      </w:pPr>
      <w:r>
        <w:rPr>
          <w:rFonts w:ascii="Arial" w:hAnsi="Arial" w:eastAsia="Noto Sans CJK SC"/>
          <w:b/>
          <w:i w:val="0"/>
          <w:color w:val="9B4B43"/>
          <w:sz w:val="19"/>
        </w:rPr>
        <w:t xml:space="preserve">重要风险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“永久 Pro”只包含明确列出的 Pro 权益；不自动包含未来第三方高成本服务、专属定制或鹿角包。否则 ¥19.9 会形成无法估量的永久算力与存储负债。</w:t>
      </w:r>
    </w:p>
    <w:p>
      <w:pPr>
        <w:pStyle w:val="Heading1"/>
        <w:pageBreakBefore/>
      </w:pPr>
      <w:r>
        <w:t>1｜现状审计：AI 不是不够丰富，而是不够收敛</w:t>
      </w:r>
    </w:p>
    <w:p>
      <w:pPr>
        <w:keepNext/>
        <w:keepLines/>
        <w:spacing w:after="40"/>
        <w:jc w:val="center"/>
      </w:pPr>
      <w:r/>
    </w:p>
    <w:p>
      <w:pPr>
        <w:pStyle w:val="Caption"/>
        <w:jc w:val="center"/>
      </w:pPr>
      <w:r>
        <w:t>图 1｜L 级：依据 AiChatScreen.kt 的代码结构绘制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900"/>
        <w:gridCol w:w="900"/>
        <w:gridCol w:w="5560"/>
      </w:tblGrid>
      <w:tr>
        <w:trPr>
          <w:tblHeader w:val="true"/>
          <w:cantSplit/>
        </w:trPr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9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维度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0–4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5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主要问题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系统状态可见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反馈很多，但分散为多条常驻信息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现实语义匹配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手帐任务语义清楚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控制与退出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清空、取消、撤销已有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一致性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AI 文档写 8dp 输入，代码是 22dp；设置路由错位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错误预防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草稿确认较完整，图片纯发送存在缺口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识别优于记忆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图标与横向 chip 增加猜测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效率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场景入口存在，但主页面重复入口多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极简美感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固定层堆叠，屏幕被压缩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错误恢复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重试、退款、撤销方向正确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帮助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空态教学有，但与快捷项重复</w:t>
            </w:r>
          </w:p>
        </w:tc>
      </w:tr>
    </w:tbl>
    <w:p>
      <w:pPr>
        <w:spacing w:after="0"/>
      </w:pPr>
    </w:p>
    <w:p>
      <w:pPr>
        <w:spacing w:before="60" w:after="120" w:line="276" w:lineRule="auto"/>
        <w:ind w:left="173" w:right="115"/>
        <w:shd w:fill="F7ECEA"/>
        <w:keepLines/>
        <w:pBdr>
          <w:left w:val="single" w:sz="18" w:color="9B4B43" w:space="8"/>
        </w:pBdr>
      </w:pPr>
      <w:r>
        <w:rPr>
          <w:rFonts w:ascii="Arial" w:hAnsi="Arial" w:eastAsia="Noto Sans CJK SC"/>
          <w:b/>
          <w:i w:val="0"/>
          <w:color w:val="9B4B43"/>
          <w:sz w:val="19"/>
        </w:rPr>
        <w:t xml:space="preserve">设计健康度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22 / 40，属于“基础可用但需要显著重构”。认知负荷检查失败 6 / 8：单一焦点、分块、层级、一次一事、最少选择和渐进披露均未通过。</w:t>
      </w:r>
    </w:p>
    <w:p>
      <w:pPr>
        <w:pStyle w:val="Heading1"/>
        <w:pageBreakBefore/>
      </w:pPr>
      <w:r>
        <w:t>2｜AI 2.0 页面骨架</w:t>
      </w:r>
    </w:p>
    <w:p>
      <w:pPr>
        <w:keepNext/>
        <w:keepLines/>
        <w:spacing w:after="40"/>
        <w:jc w:val="center"/>
      </w:pPr>
      <w:r/>
    </w:p>
    <w:p>
      <w:pPr>
        <w:pStyle w:val="Caption"/>
        <w:jc w:val="center"/>
      </w:pPr>
      <w:r>
        <w:t>图 2｜C 级目标：对话流唯一主舞台</w:t>
      </w:r>
    </w:p>
    <w:p>
      <w:pPr>
        <w:spacing w:after="6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顶栏的“清空”和“设置”不再各占一个图标；统一进入 More 菜单：历史、AI 设置、清空对话。</w:t>
      </w:r>
    </w:p>
    <w:p>
      <w:pPr>
        <w:spacing w:after="6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从日历、清单或笔记进入时显示一条可关闭上下文条；全局进入时不显示。</w:t>
      </w:r>
    </w:p>
    <w:p>
      <w:pPr>
        <w:spacing w:after="6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动作草稿、主题草稿与结果卡都成为消息流项目，位置跟随触发它的回复。</w:t>
      </w:r>
    </w:p>
    <w:p>
      <w:pPr>
        <w:spacing w:after="6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输入栏上方同一时刻最多出现一个事务层：附件预览、余额提示或错误，不允许同时叠四层。</w:t>
      </w:r>
    </w:p>
    <w:p>
      <w:pPr>
        <w:pStyle w:val="Heading1"/>
        <w:pageBreakBefore/>
      </w:pPr>
      <w:r>
        <w:t>3｜AI 三状态与信息密度</w:t>
      </w:r>
    </w:p>
    <w:p>
      <w:pPr>
        <w:keepNext/>
        <w:keepLines/>
        <w:spacing w:after="40"/>
        <w:jc w:val="center"/>
      </w:pPr>
      <w:r/>
    </w:p>
    <w:p>
      <w:pPr>
        <w:pStyle w:val="Caption"/>
        <w:jc w:val="center"/>
      </w:pPr>
      <w:r>
        <w:t>图 3｜C 级目标：每个屏幕只解决一种认知任务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600"/>
        <w:gridCol w:w="2800"/>
        <w:gridCol w:w="2800"/>
        <w:gridCol w:w="2160"/>
      </w:tblGrid>
      <w:tr>
        <w:trPr>
          <w:tblHeader w:val="true"/>
          <w:cantSplit/>
        </w:trPr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状态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首要内容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隐藏内容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退出方式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空态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一句能力说明 + 3 个建议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历史、鹿角流水、重复 chip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返回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对话态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消息与当前回复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教学卡、常驻建议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返回；历史自动保存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任务态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一张草稿卡或主题卡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其它快捷项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取消草稿；返回保留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失败态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原因 + 重试 / 改用标准线路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成功庆祝、空白气泡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保留原输入和附件</w:t>
            </w:r>
          </w:p>
        </w:tc>
      </w:tr>
    </w:tbl>
    <w:p>
      <w:pPr>
        <w:spacing w:after="0"/>
      </w:pPr>
    </w:p>
    <w:p>
      <w:pPr>
        <w:spacing w:before="60" w:after="120" w:line="276" w:lineRule="auto"/>
        <w:ind w:left="173" w:right="115"/>
        <w:shd w:fill="EAF2ED"/>
        <w:keepLines/>
        <w:pBdr>
          <w:left w:val="single" w:sz="18" w:color="1E4B36" w:space="8"/>
        </w:pBdr>
      </w:pPr>
      <w:r>
        <w:rPr>
          <w:rFonts w:ascii="Arial" w:hAnsi="Arial" w:eastAsia="Noto Sans CJK SC"/>
          <w:b/>
          <w:i w:val="0"/>
          <w:color w:val="1E4B36"/>
          <w:sz w:val="19"/>
        </w:rPr>
        <w:t xml:space="preserve">容量规则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任何决策点可见选择不超过 4 个；空态最多 3 个建议，Proposal 默认显示最多 4 个动作，更多动作折叠为“还有 N 项”。</w:t>
      </w:r>
    </w:p>
    <w:p>
      <w:pPr>
        <w:pStyle w:val="Heading1"/>
        <w:pageBreakBefore/>
      </w:pPr>
      <w:r>
        <w:t>4｜Composer、相机和附件重构</w:t>
      </w:r>
    </w:p>
    <w:p>
      <w:pPr>
        <w:keepNext/>
        <w:keepLines/>
        <w:spacing w:after="40"/>
        <w:jc w:val="center"/>
      </w:pPr>
      <w:r/>
    </w:p>
    <w:p>
      <w:pPr>
        <w:pStyle w:val="Caption"/>
        <w:jc w:val="center"/>
      </w:pPr>
      <w:r>
        <w:t>图 4｜C 级目标：先选意图，再请求能力</w:t>
      </w:r>
    </w:p>
    <w:p>
      <w:pPr>
        <w:spacing w:before="60" w:after="120" w:line="276" w:lineRule="auto"/>
        <w:ind w:left="173" w:right="115"/>
        <w:shd w:fill="F7ECEA"/>
        <w:keepLines/>
        <w:pBdr>
          <w:left w:val="single" w:sz="18" w:color="9B4B43" w:space="8"/>
        </w:pBdr>
      </w:pPr>
      <w:r>
        <w:rPr>
          <w:rFonts w:ascii="Arial" w:hAnsi="Arial" w:eastAsia="Noto Sans CJK SC"/>
          <w:b/>
          <w:i w:val="0"/>
          <w:color w:val="9B4B43"/>
          <w:sz w:val="19"/>
        </w:rPr>
        <w:t xml:space="preserve">现有真 Bug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当前 `canSend` 只检查文字非空，但发送闭包允许图片；因此只选图片不输入文字时发送按钮仍不可用。新合同必须以“文字 / 图片 / 文件任一存在”为可发送条件。</w:t>
      </w:r>
    </w:p>
    <w:p>
      <w:pPr>
        <w:spacing w:after="6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普通附件永不扣鹿角；AI 识图在调用前显示准确消耗，失败按幂等编号退还。</w:t>
      </w:r>
    </w:p>
    <w:p>
      <w:pPr>
        <w:spacing w:after="6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相机权限只在用户点“拍照识别”或“拍照附件”后请求；拒绝后保留相册和文件路径。</w:t>
      </w:r>
    </w:p>
    <w:p>
      <w:pPr>
        <w:spacing w:after="6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输入容器使用 10–12dp 小圆角，不使用 22dp 胶囊；发送键按压不缩到 0.85。</w:t>
      </w:r>
    </w:p>
    <w:p>
      <w:pPr>
        <w:spacing w:after="6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未上线的文件解析不显示“规划中”入口，避免制造空功能。</w:t>
      </w:r>
    </w:p>
    <w:p>
      <w:pPr>
        <w:pStyle w:val="Heading1"/>
        <w:pageBreakBefore/>
      </w:pPr>
      <w:r>
        <w:t>5｜ProposalCard、结果态与功能链路</w:t>
      </w:r>
    </w:p>
    <w:p>
      <w:pPr>
        <w:keepNext/>
        <w:keepLines/>
        <w:spacing w:after="40"/>
        <w:jc w:val="center"/>
      </w:pPr>
      <w:r/>
    </w:p>
    <w:p>
      <w:pPr>
        <w:pStyle w:val="Caption"/>
        <w:jc w:val="center"/>
      </w:pPr>
      <w:r>
        <w:t>图 5｜C 级目标：可解释、可确认、可恢复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500"/>
        <w:gridCol w:w="4100"/>
        <w:gridCol w:w="1700"/>
        <w:gridCol w:w="2060"/>
      </w:tblGrid>
      <w:tr>
        <w:trPr>
          <w:tblHeader w:val="true"/>
          <w:cantSplit/>
        </w:trPr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卡片类型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1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必须显示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主动作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完成后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新建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对象、绝对日期、清单/分类、提醒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创建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状态点 + 打开 + 撤销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修改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旧值 → 新值、冲突说明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确认修改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原位 diff 变结果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删除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对象和后果；默认不勾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删除所选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灰色删除态 + 撤销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主题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迷你月历预览、影响范围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应用主题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显示已应用 + 卸下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6｜AI 功能组织：记录、安排、回看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400"/>
        <w:gridCol w:w="2400"/>
        <w:gridCol w:w="3300"/>
        <w:gridCol w:w="2260"/>
      </w:tblGrid>
      <w:tr>
        <w:trPr>
          <w:tblHeader w:val="true"/>
          <w:cantSplit/>
        </w:trPr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用户意图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4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页面入口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小鹿交付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不做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记录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4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全局 Composer；日程/任务编辑器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结构化日程、任务、笔记草稿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长文写作中心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安排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4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日历选日面板；清单详情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冲突提示、拆解、时间建议草稿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静默改日历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回看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4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周视图或回顾页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基于真实数据的周/月总结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默认读取日记正文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识图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4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Composer “+” 菜单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海报、机票、票据等结构化候选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拍完即保存</w:t>
            </w:r>
          </w:p>
        </w:tc>
      </w:tr>
    </w:tbl>
    <w:p>
      <w:pPr>
        <w:spacing w:after="0"/>
      </w:pPr>
    </w:p>
    <w:p>
      <w:pPr>
        <w:pStyle w:val="Heading2"/>
      </w:pPr>
      <w:r>
        <w:t>入口纪律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场景入口是一行普通动作，不做浮动 AI 球；进入后携带日期、清单或笔记 ID。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全局 AI 页面只保留三种任务心智，不常驻五个具体快捷句。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AI 设置只进入“AI 与隐私”；方案页只处理权益和支付。</w:t>
      </w:r>
    </w:p>
    <w:p>
      <w:pPr>
        <w:pStyle w:val="Heading1"/>
        <w:pageBreakBefore/>
      </w:pPr>
      <w:r>
        <w:t>7｜AI 动效、触觉与无障碍</w:t>
      </w:r>
    </w:p>
    <w:p>
      <w:pPr>
        <w:keepNext/>
        <w:keepLines/>
        <w:spacing w:after="40"/>
        <w:jc w:val="center"/>
      </w:pPr>
      <w:r/>
    </w:p>
    <w:p>
      <w:pPr>
        <w:pStyle w:val="Caption"/>
        <w:jc w:val="center"/>
      </w:pPr>
      <w:r>
        <w:t>图 6｜C 级目标：反馈型动效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500"/>
        <w:gridCol w:w="4000"/>
        <w:gridCol w:w="3860"/>
      </w:tblGrid>
      <w:tr>
        <w:trPr>
          <w:tblHeader w:val="true"/>
          <w:cantSplit/>
        </w:trPr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状态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0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视觉 + 语义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无障碍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思考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小鹿 + 三点呼吸；3 秒后补文字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播报“正在处理”一次，不循环播报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流式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正文逐段出现，不闪光标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按段更新，避免每字播报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完成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状态点 + “已完成”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不能只靠绿色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失败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错误原因 + 重试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焦点移到错误摘要，保留输入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减少动画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0–80ms 淡变，无位移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遵循系统设置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8｜付费现状：同一产品存在四套相反口径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50"/>
        <w:gridCol w:w="3450"/>
        <w:gridCol w:w="3560"/>
      </w:tblGrid>
      <w:tr>
        <w:trPr>
          <w:tblHeader w:val="true"/>
          <w:cantSplit/>
        </w:trPr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证据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5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当前说法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冲突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SUBSCRIPTION.md 顶部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取消终身、鹿角撤出 UI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与 2026-08-27 当前实现相反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economy.v1.json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Free 10 / Pro 50；鹿角可见且通用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这是当前机器合同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App 方案页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Pro 只写“更多鹿角”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没有完整权益、月年选择与限量资格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Web 定价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12 / 月、98 / 年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购买弹窗只给 12 / 月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Ko-fi Worker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$7 以上捐赠给 31 天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与海外 $5 / $50 目标不一致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反馈规划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未到 30 人不公开入口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用户本轮要求现在规划并接入</w:t>
            </w:r>
          </w:p>
        </w:tc>
      </w:tr>
    </w:tbl>
    <w:p>
      <w:pPr>
        <w:spacing w:after="0"/>
      </w:pPr>
    </w:p>
    <w:p>
      <w:pPr>
        <w:spacing w:before="60" w:after="120" w:line="276" w:lineRule="auto"/>
        <w:ind w:left="173" w:right="115"/>
        <w:shd w:fill="F7F1E5"/>
        <w:keepLines/>
        <w:pBdr>
          <w:left w:val="single" w:sz="18" w:color="A77A2D" w:space="8"/>
        </w:pBdr>
      </w:pPr>
      <w:r>
        <w:rPr>
          <w:rFonts w:ascii="Arial" w:hAnsi="Arial" w:eastAsia="Noto Sans CJK SC"/>
          <w:b/>
          <w:i w:val="0"/>
          <w:color w:val="A77A2D"/>
          <w:sz w:val="19"/>
        </w:rPr>
        <w:t xml:space="preserve">取代规则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本文生效后，旧订阅文档只作为决策历史；数字事实必须迁入 `plans.v1 / pricing.v1 / economy.v1 / catalog.v1`，页面和三语文案禁止再次手写。</w:t>
      </w:r>
    </w:p>
    <w:p>
      <w:pPr>
        <w:pStyle w:val="Heading1"/>
        <w:pageBreakBefore/>
      </w:pPr>
      <w:r>
        <w:t>9｜分阶段定价：100 + 1000 + 常规订阅</w:t>
      </w:r>
    </w:p>
    <w:p>
      <w:pPr>
        <w:keepNext/>
        <w:keepLines/>
        <w:spacing w:after="40"/>
        <w:jc w:val="center"/>
      </w:pPr>
      <w:r/>
    </w:p>
    <w:p>
      <w:pPr>
        <w:pStyle w:val="Caption"/>
        <w:jc w:val="center"/>
      </w:pPr>
      <w:r>
        <w:t>图 7｜D + C：用户方向与风险控制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3900"/>
        <w:gridCol w:w="3660"/>
      </w:tblGrid>
      <w:tr>
        <w:trPr>
          <w:tblHeader w:val="true"/>
          <w:cantSplit/>
        </w:trPr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阶段门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开放条件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6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产品承诺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创始 100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账号已验证；服务可支持 100 人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永久免费 Founder Pro；不自动包含定制或未来高成本服务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每批 100 席买断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上一批 30 天成本、崩溃、同步和支持 SLA 达标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¥19.9；支付成功后永久 entitlement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常规订阅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至少 3 项稳定 Pro 增益已上线；恢复购买与退款闭环通过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¥12 / 月或 ¥98 / 年</w:t>
            </w:r>
          </w:p>
        </w:tc>
      </w:tr>
    </w:tbl>
    <w:p>
      <w:pPr>
        <w:spacing w:after="0"/>
      </w:pPr>
    </w:p>
    <w:p>
      <w:pPr>
        <w:spacing w:before="60" w:after="120" w:line="276" w:lineRule="auto"/>
        <w:ind w:left="173" w:right="115"/>
        <w:shd w:fill="F7ECEA"/>
        <w:keepLines/>
        <w:pBdr>
          <w:left w:val="single" w:sz="18" w:color="9B4B43" w:space="8"/>
        </w:pBdr>
      </w:pPr>
      <w:r>
        <w:rPr>
          <w:rFonts w:ascii="Arial" w:hAnsi="Arial" w:eastAsia="Noto Sans CJK SC"/>
          <w:b/>
          <w:i w:val="0"/>
          <w:color w:val="9B4B43"/>
          <w:sz w:val="19"/>
        </w:rPr>
        <w:t xml:space="preserve">为什么分批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1000 个 ¥19.9 买断席一次性总收入只有 ¥19,900；若全部用户长期使用云同步和 AI，永久成本可能超过收入。按 100 席开闸能用真实数据决定是否继续。</w:t>
      </w:r>
    </w:p>
    <w:p>
      <w:pPr>
        <w:pStyle w:val="Heading1"/>
        <w:pageBreakBefore/>
      </w:pPr>
      <w:r>
        <w:t>10｜Founder Pro 永久权益合同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600"/>
        <w:gridCol w:w="2600"/>
        <w:gridCol w:w="4160"/>
      </w:tblGrid>
      <w:tr>
        <w:trPr>
          <w:tblHeader w:val="true"/>
          <w:cantSplit/>
        </w:trPr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包含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不包含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1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当前及未来明确归入 Pro 的功能权益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专属定制开发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1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绑定一个验证账号，不可转售或拆分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按当前 Pro 规则每天获得 50 鹿角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鹿角包与第三方直通成本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1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赠送鹿角规则全体 Pro 同步演进；购买鹿角不受影响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官方装扮 0 鹿角领取并永久保留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企业私有部署、人工迁移服务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1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领取形成 entitlement，卸载不删除所有权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Pro 优先体验与普通咨询优先回复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保证每项建议都会开发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1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数据安全类报错不按付费等级排序</w:t>
            </w:r>
          </w:p>
        </w:tc>
      </w:tr>
    </w:tbl>
    <w:p>
      <w:pPr>
        <w:spacing w:after="0"/>
      </w:pPr>
    </w:p>
    <w:p>
      <w:pPr>
        <w:pStyle w:val="Heading2"/>
      </w:pPr>
      <w:r>
        <w:t>席位与恢复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首 100 席以服务端成功验证时间为准；其后 1000 席以支付成功并入账为准。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支付意图只短时预留席位；未付款不占名额，退款后席位可释放。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换设备、重装或网页端通过同一账号恢复，不以本地 Prefs 判永久资格。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用户可查看资格来源：创始赠送 / 早鸟买断 / 月付 / 年付 / 兑换。</w:t>
      </w:r>
    </w:p>
    <w:p>
      <w:pPr>
        <w:pStyle w:val="Heading1"/>
        <w:pageBreakBefore/>
      </w:pPr>
      <w:r>
        <w:t>11｜Free、Pro、Founder 全站权益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450"/>
        <w:gridCol w:w="2700"/>
        <w:gridCol w:w="3000"/>
        <w:gridCol w:w="2210"/>
      </w:tblGrid>
      <w:tr>
        <w:trPr>
          <w:tblHeader w:val="true"/>
          <w:cantSplit/>
        </w:trPr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能力组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Free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Pro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1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Founder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基础手帐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日历、待办、笔记、日记、提醒、同步、导出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同 Free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同 Pro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鹿角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当天使用 +10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当天使用 +50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当天使用 +50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小鹿 AI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标准动作；按鹿角使用；余额 0 有保底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更多额度、批量与高级能力按上线状态开放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同 Pro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装扮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基础包；其它用鹿角解锁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官方包 0 鹿角领取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同 Pro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深度功能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基础视图与模板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高级筛选、模板、统计、作品导出（上线后）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同 Pro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支持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报错、建议、状态追踪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普通咨询优先、Beta 邀请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可自愿加入创始研究组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期限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无到期日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月付 / 年付到期回 Free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1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永久</w:t>
            </w:r>
          </w:p>
        </w:tc>
      </w:tr>
    </w:tbl>
    <w:p>
      <w:pPr>
        <w:spacing w:after="0"/>
      </w:pPr>
    </w:p>
    <w:p>
      <w:pPr>
        <w:spacing w:before="60" w:after="120" w:line="276" w:lineRule="auto"/>
        <w:ind w:left="173" w:right="115"/>
        <w:shd w:fill="F7ECEA"/>
        <w:keepLines/>
        <w:pBdr>
          <w:left w:val="single" w:sz="18" w:color="9B4B43" w:space="8"/>
        </w:pBdr>
      </w:pPr>
      <w:r>
        <w:rPr>
          <w:rFonts w:ascii="Arial" w:hAnsi="Arial" w:eastAsia="Noto Sans CJK SC"/>
          <w:b/>
          <w:i w:val="0"/>
          <w:color w:val="9B4B43"/>
          <w:sz w:val="19"/>
        </w:rPr>
        <w:t xml:space="preserve">售卖纪律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“上线后”能力不得提前写进购买按钮或主权益卡。公开 Pro 前至少要有 3 项可持续、非一次性、真机验证通过的差异化权益。</w:t>
      </w:r>
    </w:p>
    <w:p>
      <w:pPr>
        <w:pStyle w:val="Heading1"/>
        <w:pageBreakBefore/>
      </w:pPr>
      <w:r>
        <w:t>12｜方案页与支付交互</w:t>
      </w:r>
    </w:p>
    <w:p>
      <w:pPr>
        <w:keepNext/>
        <w:keepLines/>
        <w:spacing w:after="40"/>
        <w:jc w:val="center"/>
      </w:pPr>
      <w:r/>
    </w:p>
    <w:p>
      <w:pPr>
        <w:pStyle w:val="Caption"/>
        <w:jc w:val="center"/>
      </w:pPr>
      <w:r>
        <w:t>图 8｜C 级目标：两档会员 + 独立鹿角包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700"/>
        <w:gridCol w:w="4200"/>
        <w:gridCol w:w="3460"/>
      </w:tblGrid>
      <w:tr>
        <w:trPr>
          <w:tblHeader w:val="true"/>
          <w:cantSplit/>
        </w:trPr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支付状态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2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页面反馈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用户仍可做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准备中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2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按钮内加载，价格和方案不消失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返回，不丢选择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待付款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2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显示订单与“完成付款后返回”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取消支付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已付款待确认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2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原位状态；后台轮询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手动刷新 / 找订单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成功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2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当前计划与到期/永久状态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进入权益；查看订单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失败/退款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2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具体原因和下一步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重试；联系客服；恢复购买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13｜鹿角包定价与经济合同</w:t>
      </w:r>
    </w:p>
    <w:p>
      <w:pPr>
        <w:keepNext/>
        <w:keepLines/>
        <w:spacing w:after="40"/>
        <w:jc w:val="center"/>
      </w:pPr>
      <w:r/>
    </w:p>
    <w:p>
      <w:pPr>
        <w:pStyle w:val="Caption"/>
        <w:jc w:val="center"/>
      </w:pPr>
      <w:r>
        <w:t>图 9｜C 级目标：会员与用量分离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900"/>
        <w:gridCol w:w="1800"/>
        <w:gridCol w:w="2000"/>
        <w:gridCol w:w="3660"/>
      </w:tblGrid>
      <w:tr>
        <w:trPr>
          <w:tblHeader w:val="true"/>
          <w:cantSplit/>
        </w:trPr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鹿角包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中国建议价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海外基准价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6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定位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小袋 300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¥6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$0.99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偶尔识图或解锁装扮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中袋 1000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¥18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$2.99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默认推荐；不含 Pro 权益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大袋 3000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¥48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$6.99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重度用量；不自动续订</w:t>
            </w:r>
          </w:p>
        </w:tc>
      </w:tr>
    </w:tbl>
    <w:p>
      <w:pPr>
        <w:spacing w:after="0"/>
      </w:pPr>
    </w:p>
    <w:p>
      <w:pPr>
        <w:spacing w:before="60" w:after="120" w:line="276" w:lineRule="auto"/>
        <w:ind w:left="173" w:right="115"/>
        <w:shd w:fill="F7F1E5"/>
        <w:keepLines/>
        <w:pBdr>
          <w:left w:val="single" w:sz="18" w:color="A77A2D" w:space="8"/>
        </w:pBdr>
      </w:pPr>
      <w:r>
        <w:rPr>
          <w:rFonts w:ascii="Arial" w:hAnsi="Arial" w:eastAsia="Noto Sans CJK SC"/>
          <w:b/>
          <w:i w:val="0"/>
          <w:color w:val="A77A2D"/>
          <w:sz w:val="19"/>
        </w:rPr>
        <w:t xml:space="preserve">文案修正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当前页面常写“明天自动补充”，但合同是“当天实际使用后惰性到账”。统一改为“下次使用 Looka 时还会获得鹿角”，避免签到和自动到账误解。</w:t>
      </w:r>
    </w:p>
    <w:p>
      <w:pPr>
        <w:pStyle w:val="Heading1"/>
        <w:pageBreakBefore/>
      </w:pPr>
      <w:r>
        <w:t>14｜海外用户定价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1500"/>
        <w:gridCol w:w="1600"/>
        <w:gridCol w:w="1900"/>
        <w:gridCol w:w="2160"/>
      </w:tblGrid>
      <w:tr>
        <w:trPr>
          <w:tblHeader w:val="true"/>
          <w:cantSplit/>
        </w:trPr>
        <w:tc>
          <w:tcPr>
            <w:tcW w:type="dxa" w:w="1872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市场层</w:t>
            </w:r>
          </w:p>
        </w:tc>
        <w:tc>
          <w:tcPr>
            <w:tcW w:type="dxa" w:w="1872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月付</w:t>
            </w:r>
          </w:p>
        </w:tc>
        <w:tc>
          <w:tcPr>
            <w:tcW w:type="dxa" w:w="1872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年付</w:t>
            </w:r>
          </w:p>
        </w:tc>
        <w:tc>
          <w:tcPr>
            <w:tcW w:type="dxa" w:w="1872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Founder 买断</w:t>
            </w:r>
          </w:p>
        </w:tc>
        <w:tc>
          <w:tcPr>
            <w:tcW w:type="dxa" w:w="1872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鹿角包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中国大陆基准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¥12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¥98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¥19.9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¥6 / 18 / 48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海外 USD 基准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r>
              <w:t>$5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r>
              <w:t>$50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$2.99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$0.99 / 2.99 / 6.99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台湾 / 香港 / 日本等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使用商店等价价位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使用商店等价价位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使用商店一次性价位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使用商店消耗型商品价位</w:t>
            </w:r>
          </w:p>
        </w:tc>
      </w:tr>
    </w:tbl>
    <w:p>
      <w:pPr>
        <w:spacing w:after="0"/>
      </w:pP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不每天按汇率改价。以中国和美国为基准市场，让 App Store / Google Play 先做区域等价，再根据转化手动校准。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Apple 可按 storefront 自动等价并考虑税费与汇率；Google Play 可按国家/地区单独控制基础方案。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预算按约 15% 平台费保守估算；税费、退款和渠道成本另算，不把毛收入当净收入。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当前 Ko-fi “金额 ≥ $7 给 31 天”的逻辑要退出，改由明确 SKU、周期和订单合同驱动。</w:t>
      </w:r>
    </w:p>
    <w:p>
      <w:pPr>
        <w:spacing w:before="60" w:after="120" w:line="276" w:lineRule="auto"/>
        <w:ind w:left="173" w:right="115"/>
        <w:shd w:fill="EAF2ED"/>
        <w:keepLines/>
        <w:pBdr>
          <w:left w:val="single" w:sz="18" w:color="1E4B36" w:space="8"/>
        </w:pBdr>
      </w:pPr>
      <w:r>
        <w:rPr>
          <w:rFonts w:ascii="Arial" w:hAnsi="Arial" w:eastAsia="Noto Sans CJK SC"/>
          <w:b/>
          <w:i w:val="0"/>
          <w:color w:val="1E4B36"/>
          <w:sz w:val="19"/>
        </w:rPr>
        <w:t>折扣定位  中国年付相对月付省约 32%；海外 $50 相对 $5 × 12 省约 17%，约等于赠送 2 个月。海外折扣更克制，主价值来自产品而不是促销。</w:t>
      </w:r>
      <w:r>
        <w:rPr>
          <w:rFonts w:ascii="Arial" w:hAnsi="Arial" w:eastAsia="Noto Sans CJK SC"/>
          <w:b w:val="0"/>
          <w:i w:val="0"/>
          <w:color w:val="202522"/>
          <w:sz w:val="19"/>
        </w:rPr>
      </w:r>
    </w:p>
    <w:p>
      <w:pPr>
        <w:pStyle w:val="Heading1"/>
        <w:pageBreakBefore/>
      </w:pPr>
      <w:r>
        <w:t>15｜用户共建中心的信息架构</w:t>
      </w:r>
    </w:p>
    <w:p>
      <w:pPr>
        <w:keepNext/>
        <w:keepLines/>
        <w:spacing w:after="40"/>
        <w:jc w:val="center"/>
      </w:pPr>
      <w:r/>
    </w:p>
    <w:p>
      <w:pPr>
        <w:pStyle w:val="Caption"/>
        <w:jc w:val="center"/>
      </w:pPr>
      <w:r>
        <w:t>图 10｜C 级目标：报错、建议、定制三路径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3800"/>
        <w:gridCol w:w="3760"/>
      </w:tblGrid>
      <w:tr>
        <w:trPr>
          <w:tblHeader w:val="true"/>
          <w:cantSplit/>
        </w:trPr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入口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用户任务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7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承诺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报告问题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报错、卡顿、数据异常、体验不顺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7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确认收到；严重问题按影响处理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提出建议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描述不方便和希望结果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7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评估与状态可见，不承诺开发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申请定制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描述场景、结果、人数、时间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7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先评估范围、费用和验收，再开始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我的提交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查看状态、补充或撤回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7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私密；不默认公开正文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16｜报错体验：少填字段，清楚说明上传什么</w:t>
      </w:r>
    </w:p>
    <w:p>
      <w:pPr>
        <w:keepNext/>
        <w:keepLines/>
        <w:spacing w:after="40"/>
        <w:jc w:val="center"/>
      </w:pPr>
      <w:r/>
    </w:p>
    <w:p>
      <w:pPr>
        <w:pStyle w:val="Caption"/>
        <w:jc w:val="center"/>
      </w:pPr>
      <w:r>
        <w:t>图 11｜C 级目标：用户描述优先，诊断数据透明</w:t>
      </w:r>
    </w:p>
    <w:p>
      <w:pPr>
        <w:spacing w:before="60" w:after="120" w:line="276" w:lineRule="auto"/>
        <w:ind w:left="173" w:right="115"/>
        <w:shd w:fill="EAF2ED"/>
        <w:keepLines/>
        <w:pBdr>
          <w:left w:val="single" w:sz="18" w:color="1E4B36" w:space="8"/>
        </w:pBdr>
      </w:pPr>
      <w:r>
        <w:rPr>
          <w:rFonts w:ascii="Arial" w:hAnsi="Arial" w:eastAsia="Noto Sans CJK SC"/>
          <w:b/>
          <w:i w:val="0"/>
          <w:color w:val="1E4B36"/>
          <w:sz w:val="19"/>
        </w:rPr>
        <w:t xml:space="preserve">严重度公平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崩溃、数据丢失、支付错误和隐私问题按严重程度排序，Free 与 Pro 一视同仁。Pro 只获得普通咨询更快回复，不获得数据安全特权。</w:t>
      </w:r>
    </w:p>
    <w:p>
      <w:pPr>
        <w:spacing w:after="6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提交失败时保留表单与附件；成功后显示编号和“查看进度”。</w:t>
      </w:r>
    </w:p>
    <w:p>
      <w:pPr>
        <w:spacing w:after="6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允许用户在发送前预览自动附带的设备信息与日志；每项都可关闭。</w:t>
      </w:r>
    </w:p>
    <w:p>
      <w:pPr>
        <w:spacing w:after="6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截图需主动选择，默认不读取相册；AI 对话原文和手帐正文永不自动附带。</w:t>
      </w:r>
    </w:p>
    <w:p>
      <w:pPr>
        <w:pStyle w:val="Heading1"/>
        <w:pageBreakBefore/>
      </w:pPr>
      <w:r>
        <w:t>17｜功能建议与定制服务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700"/>
        <w:gridCol w:w="3100"/>
        <w:gridCol w:w="2700"/>
        <w:gridCol w:w="1860"/>
      </w:tblGrid>
      <w:tr>
        <w:trPr>
          <w:tblHeader w:val="true"/>
          <w:cantSplit/>
        </w:trPr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路径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1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最少字段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初期处理</w:t>
            </w:r>
          </w:p>
        </w:tc>
        <w:tc>
          <w:tcPr>
            <w:tcW w:type="dxa" w:w="234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是否收费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建议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不方便；希望结果；功能域；可否联系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人工合并相似主题；状态私密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免费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定制申请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场景；结果；人数；时间；联系方式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先做范围与风险评估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评估免费，开发单独报价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赞助开发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共性价值；资助范围；提前体验约定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成熟后可进入公开产品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书面报价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私有能力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组织、权限、数据、维护要求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账号级 entitlement，不建私人分支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单独报价 + 维护</w:t>
            </w:r>
          </w:p>
        </w:tc>
      </w:tr>
    </w:tbl>
    <w:p>
      <w:pPr>
        <w:spacing w:after="0"/>
      </w:pPr>
    </w:p>
    <w:p>
      <w:pPr>
        <w:pStyle w:val="Heading2"/>
      </w:pPr>
      <w:r>
        <w:t>Pro 服务权益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报错、建议、状态追踪对所有用户开放。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Pro：普通咨询优先回复、Beta 邀请、可申请定制评估；不代表免费开发。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Founder：可自愿参加创始研究组，优先参与访谈和可用性测试；不公开身份排行。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定制合同必须写范围、交付物、时间、修改次数、维护期、数据处理和退款规则。</w:t>
      </w:r>
    </w:p>
    <w:p>
      <w:pPr>
        <w:pStyle w:val="Heading1"/>
        <w:pageBreakBefore/>
      </w:pPr>
      <w:r>
        <w:t>18｜用户可见状态与克制文案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600"/>
        <w:gridCol w:w="5100"/>
        <w:gridCol w:w="2660"/>
      </w:tblGrid>
      <w:tr>
        <w:trPr>
          <w:tblHeader w:val="true"/>
          <w:cantSplit/>
        </w:trPr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状态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1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页面文案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下一步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已收到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已收到，我们会认真查看。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查看提交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需要补充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还需要一点信息，才能继续判断。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补充信息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评估中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正在评估价值、范围和可行性。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无需操作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已计划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已进入计划，时间确定后会更新。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关注状态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开发中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正在制作。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申请体验（如开放）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邀请体验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可以提前试用并告诉我们感受。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参加体验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已上线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已经可以使用。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打开功能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暂不计划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当前不会安排，并说明主要原因。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撤回 / 保留</w:t>
            </w:r>
          </w:p>
        </w:tc>
      </w:tr>
    </w:tbl>
    <w:p>
      <w:pPr>
        <w:spacing w:after="0"/>
      </w:pPr>
    </w:p>
    <w:p>
      <w:pPr>
        <w:spacing w:before="60" w:after="120" w:line="276" w:lineRule="auto"/>
        <w:ind w:left="173" w:right="115"/>
        <w:shd w:fill="F7F1E5"/>
        <w:keepLines/>
        <w:pBdr>
          <w:left w:val="single" w:sz="18" w:color="A77A2D" w:space="8"/>
        </w:pBdr>
      </w:pPr>
      <w:r>
        <w:rPr>
          <w:rFonts w:ascii="Arial" w:hAnsi="Arial" w:eastAsia="Noto Sans CJK SC"/>
          <w:b/>
          <w:i w:val="0"/>
          <w:color w:val="A77A2D"/>
          <w:sz w:val="19"/>
        </w:rPr>
        <w:t xml:space="preserve">语气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不写“许愿池”“你被选中啦”“马上实现”；不以鹿角奖励每一条提交。用户需要的是被认真理解，而不是被游戏化。</w:t>
      </w:r>
    </w:p>
    <w:p>
      <w:pPr>
        <w:pStyle w:val="Heading1"/>
        <w:pageBreakBefore/>
      </w:pPr>
      <w:r>
        <w:t>19｜统一合同与文件系统</w:t>
      </w:r>
    </w:p>
    <w:p>
      <w:pPr>
        <w:keepNext/>
        <w:keepLines/>
        <w:spacing w:after="40"/>
        <w:jc w:val="center"/>
      </w:pPr>
      <w:r/>
    </w:p>
    <w:p>
      <w:pPr>
        <w:pStyle w:val="Caption"/>
        <w:jc w:val="center"/>
      </w:pPr>
      <w:r>
        <w:t>图 12｜C 级目标：所有消费方读取同一事实源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3800"/>
        <w:gridCol w:w="3460"/>
      </w:tblGrid>
      <w:tr>
        <w:trPr>
          <w:tblHeader w:val="true"/>
          <w:cantSplit/>
        </w:trPr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目标合同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负责内容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禁止重复到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plans.v1.json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Free / Pro / Founder 权益与期限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页面、三语字典、Worker 常量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pricing.v1.json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阶段资格、席位、CNY / USD SKU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App 按钮、Web Modal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economy.v1.json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每日赠送、成本、双桶与退款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AI、钱包、商店散写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catalog.v1.json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8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装扮与鹿角包商品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4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客户端兜底价格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20｜现有文档取代与保留关系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00"/>
        <w:gridCol w:w="2300"/>
        <w:gridCol w:w="3960"/>
      </w:tblGrid>
      <w:tr>
        <w:trPr>
          <w:tblHeader w:val="true"/>
          <w:cantSplit/>
        </w:trPr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1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现有文件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处理</w:t>
            </w:r>
          </w:p>
        </w:tc>
        <w:tc>
          <w:tcPr>
            <w:tcW w:type="dxa" w:w="312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理由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product/AI-UX.md v1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升级为 v2；保留动作合同与隐私原则，替换 §4 页面骨架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行为方向正确，布局过度叠层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SUBSCRIPTION.md v2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降为决策历史；顶端指向新机器合同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内部同时保留取消/恢复买断和隐藏/显示鹿角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ANTLER-PLAN.md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保留生成管线研究；价格与 UI 章节失效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顶部“鹿角撤出 UI”已过时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ANALYTICS-FEEDBACK-CUSTOMIZATION-PLAN.md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保留后台、安全和运营；用户页改用本文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原计划等待 30 人才开放，已被本轮方向取代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1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全站 UIUX 规划 / Lifebear 图鉴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继续作为视觉 Token 与全站层级依据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5"/>
              </w:rPr>
              <w:t>与本文互补，不冲突</w:t>
            </w:r>
          </w:p>
        </w:tc>
      </w:tr>
    </w:tbl>
    <w:p>
      <w:pPr>
        <w:spacing w:after="0"/>
      </w:pPr>
    </w:p>
    <w:p>
      <w:pPr>
        <w:spacing w:before="60" w:after="120" w:line="276" w:lineRule="auto"/>
        <w:ind w:left="173" w:right="115"/>
        <w:shd w:fill="F7ECEA"/>
        <w:keepLines/>
        <w:pBdr>
          <w:left w:val="single" w:sz="18" w:color="9B4B43" w:space="8"/>
        </w:pBdr>
      </w:pPr>
      <w:r>
        <w:rPr>
          <w:rFonts w:ascii="Arial" w:hAnsi="Arial" w:eastAsia="Noto Sans CJK SC"/>
          <w:b/>
          <w:i w:val="0"/>
          <w:color w:val="9B4B43"/>
          <w:sz w:val="19"/>
        </w:rPr>
        <w:t xml:space="preserve">纪律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不要再新建第 5 份价格表。所有文档只能解释机器合同，不能拥有另一组数字。</w:t>
      </w:r>
    </w:p>
    <w:p>
      <w:pPr>
        <w:pStyle w:val="Heading1"/>
        <w:pageBreakBefore/>
      </w:pPr>
      <w:r>
        <w:t>21｜实施顺序与批次</w:t>
      </w:r>
    </w:p>
    <w:p>
      <w:pPr>
        <w:keepNext/>
        <w:keepLines/>
        <w:spacing w:after="40"/>
        <w:jc w:val="center"/>
      </w:pPr>
      <w:r/>
    </w:p>
    <w:p>
      <w:pPr>
        <w:pStyle w:val="Caption"/>
        <w:jc w:val="center"/>
      </w:pPr>
      <w:r>
        <w:t>图 13｜C 级目标：先合同，后页面，再支付与验收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468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批次</w:t>
            </w:r>
          </w:p>
        </w:tc>
        <w:tc>
          <w:tcPr>
            <w:tcW w:type="dxa" w:w="468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6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验收重点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P0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合同对账全绿；旧承诺词扫描为 0；不改线上价格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P1–P2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AI 输入纯图可发；Proposal 在流内；键盘、返回和恢复无丢失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P3–P4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Founder / 月付 / 年付 / 鹿角包 / 退款 / 恢复购买全链路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P5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报错、建议、定制三表；隐私同意与我的提交状态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P6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6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Android + Web + Worker + 简繁英 + 320dp / 大字体 + 支付沙盒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22｜交付红线与验收清单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AI：同一时刻只有一个主要事务层；图片无需文字也能发送；相机、相册、文件、普通附件语义分开。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付费：同一用户只看到一个有效优惠；Founder、买断、月付、年付和鹿角包不会同时争抢主按钮。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权益：当前身份、来源、期限和到期后保留内容可解释；恢复购买长期可达。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鹿角：Free 10、Pro/Founder 50；核心记录零消耗；购买桶永不过期；失败退款幂等。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共建：用户知道发送了什么；提交失败不丢内容；报错严重度不因付费而改变。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文案：简中、繁中（台湾）、英文数字一致；英文不靠缩字号；不出现规划中权益销售。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动效：没有 0.85 弹跳、彩带或多重循环；减少动画模式无位移。</w:t>
      </w:r>
    </w:p>
    <w:p>
      <w:pPr>
        <w:spacing w:after="100" w:line="283" w:lineRule="auto"/>
        <w:numPr>
          <w:ilvl w:val="0"/>
          <w:numId w:val="31"/>
        </w:numPr>
      </w:pPr>
      <w:r>
        <w:rPr>
          <w:rFonts w:ascii="Arial" w:hAnsi="Arial" w:eastAsia="Noto Sans CJK SC"/>
          <w:b w:val="0"/>
          <w:i w:val="0"/>
          <w:color w:val="202522"/>
          <w:sz w:val="19"/>
        </w:rPr>
        <w:t>验证：未完成真机、真实浏览器和支付沙盒前，只能标“已实现待测”，不能标完成。</w:t>
      </w:r>
    </w:p>
    <w:p>
      <w:pPr>
        <w:spacing w:before="60" w:after="120" w:line="276" w:lineRule="auto"/>
        <w:ind w:left="173" w:right="115"/>
        <w:shd w:fill="EAF2ED"/>
        <w:keepLines/>
        <w:pBdr>
          <w:left w:val="single" w:sz="18" w:color="1E4B36" w:space="8"/>
        </w:pBdr>
      </w:pPr>
      <w:r>
        <w:rPr>
          <w:rFonts w:ascii="Arial" w:hAnsi="Arial" w:eastAsia="Noto Sans CJK SC"/>
          <w:b/>
          <w:i w:val="0"/>
          <w:color w:val="1E4B36"/>
          <w:sz w:val="19"/>
        </w:rPr>
        <w:t xml:space="preserve">给 Claude 的一句话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先把 `plans / pricing / economy / catalog` 四份合同接成唯一事实源，再按 P1–P6 逐批实现；任何页面局部美化都不得早于合同和信息架构。</w:t>
      </w:r>
    </w:p>
    <w:p>
      <w:r>
        <w:br w:type="page"/>
      </w:r>
    </w:p>
    <w:p>
      <w:pPr>
        <w:pStyle w:val="Heading1"/>
      </w:pPr>
      <w:r>
        <w:t>24｜App 外跳官网支付与海外价格定案</w:t>
      </w: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9120"/>
      </w:tblGrid>
      <w:tr>
        <w:trPr>
          <w:tblHeader/>
        </w:trPr>
        <w:tc>
          <w:tcPr>
            <w:tcW w:type="dxa" w:w="9120"/>
            <w:shd w:fill="EAF3E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Source Han Sans SC"/>
                <w:b/>
                <w:color w:val="1F5B47"/>
                <w:sz w:val="18"/>
              </w:rPr>
              <w:t xml:space="preserve">定案  </w:t>
            </w:r>
            <w:r>
              <w:rPr>
                <w:rFonts w:ascii="Arial" w:hAnsi="Arial" w:eastAsia="Source Han Sans SC"/>
                <w:b w:val="0"/>
                <w:color w:val="1B1B1F"/>
                <w:sz w:val="18"/>
              </w:rPr>
              <w:t>官网下载版 Android App 点击“升级 Pro”后，以系统浏览器或 Custom Tab 打开 looka.foyue.org/pay；海外 Pro 为 US$5/月、US$50/年。</w:t>
            </w:r>
          </w:p>
        </w:tc>
      </w:tr>
    </w:tbl>
    <w:p>
      <w:pPr>
        <w:spacing w:after="20"/>
      </w:pP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rPr>
          <w:tblHeader/>
        </w:trPr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01</w:t>
              <w:br/>
            </w:r>
            <w:r>
              <w:rPr>
                <w:rFonts w:ascii="Arial" w:hAnsi="Arial" w:eastAsia="Source Han Sans SC"/>
                <w:b/>
                <w:color w:val="1B1B1F"/>
                <w:sz w:val="16"/>
              </w:rPr>
              <w:t>App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用户主动升级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02</w:t>
              <w:br/>
            </w:r>
            <w:r>
              <w:rPr>
                <w:rFonts w:ascii="Arial" w:hAnsi="Arial" w:eastAsia="Source Han Sans SC"/>
                <w:b/>
                <w:color w:val="1B1B1F"/>
                <w:sz w:val="16"/>
              </w:rPr>
              <w:t>Session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服务端短期签名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03</w:t>
              <w:br/>
            </w:r>
            <w:r>
              <w:rPr>
                <w:rFonts w:ascii="Arial" w:hAnsi="Arial" w:eastAsia="Source Han Sans SC"/>
                <w:b/>
                <w:color w:val="1B1B1F"/>
                <w:sz w:val="16"/>
              </w:rPr>
              <w:t>/pay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唯一合格报价</w:t>
            </w:r>
          </w:p>
        </w:tc>
        <w:tc>
          <w:tcPr>
            <w:tcW w:type="dxa" w:w="1520"/>
            <w:shd w:fill="EAF3E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04</w:t>
              <w:br/>
            </w:r>
            <w:r>
              <w:rPr>
                <w:rFonts w:ascii="Arial" w:hAnsi="Arial" w:eastAsia="Source Han Sans SC"/>
                <w:b/>
                <w:color w:val="1B1B1F"/>
                <w:sz w:val="16"/>
              </w:rPr>
              <w:t>Paddle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托管支付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05</w:t>
              <w:br/>
            </w:r>
            <w:r>
              <w:rPr>
                <w:rFonts w:ascii="Arial" w:hAnsi="Arial" w:eastAsia="Source Han Sans SC"/>
                <w:b/>
                <w:color w:val="1B1B1F"/>
                <w:sz w:val="16"/>
              </w:rPr>
              <w:t>Webhook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可信开通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06</w:t>
              <w:br/>
            </w:r>
            <w:r>
              <w:rPr>
                <w:rFonts w:ascii="Arial" w:hAnsi="Arial" w:eastAsia="Source Han Sans SC"/>
                <w:b/>
                <w:color w:val="1B1B1F"/>
                <w:sz w:val="16"/>
              </w:rPr>
              <w:t>Looka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跨端恢复权益</w:t>
            </w:r>
          </w:p>
        </w:tc>
      </w:tr>
    </w:tbl>
    <w:p>
      <w:pPr>
        <w:spacing w:after="20"/>
      </w:pP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2350"/>
        <w:gridCol w:w="6770"/>
      </w:tblGrid>
      <w:tr>
        <w:trPr>
          <w:tblHeader/>
        </w:trPr>
        <w:tc>
          <w:tcPr>
            <w:tcW w:type="dxa" w:w="235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677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正式规格</w:t>
            </w:r>
          </w:p>
        </w:tc>
      </w:tr>
      <w:tr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打开方式</w:t>
            </w:r>
          </w:p>
        </w:tc>
        <w:tc>
          <w:tcPr>
            <w:tcW w:type="dxa" w:w="67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系统浏览器或 Android Custom Tab；不使用 App 内 WebView</w:t>
            </w:r>
          </w:p>
        </w:tc>
      </w:tr>
      <w:tr>
        <w:tc>
          <w:tcPr>
            <w:tcW w:type="dxa" w:w="23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支付地址</w:t>
            </w:r>
          </w:p>
        </w:tc>
        <w:tc>
          <w:tcPr>
            <w:tcW w:type="dxa" w:w="67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https://looka.foyue.org/pay?session={short_lived_signed_session}</w:t>
            </w:r>
          </w:p>
        </w:tc>
      </w:tr>
      <w:tr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账号关联</w:t>
            </w:r>
          </w:p>
        </w:tc>
        <w:tc>
          <w:tcPr>
            <w:tcW w:type="dxa" w:w="67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短期签名会话映射 account_id；URL 不暴露邮箱、价格或 Price ID</w:t>
            </w:r>
          </w:p>
        </w:tc>
      </w:tr>
      <w:tr>
        <w:tc>
          <w:tcPr>
            <w:tcW w:type="dxa" w:w="23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付款确认</w:t>
            </w:r>
          </w:p>
        </w:tc>
        <w:tc>
          <w:tcPr>
            <w:tcW w:type="dxa" w:w="67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前端只显示“正在确认”；服务端可信 Webhook 幂等发放</w:t>
            </w:r>
          </w:p>
        </w:tc>
      </w:tr>
      <w:tr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返回 App</w:t>
            </w:r>
          </w:p>
        </w:tc>
        <w:tc>
          <w:tcPr>
            <w:tcW w:type="dxa" w:w="67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App 恢复后重新读取统一权益；允许延迟、关闭页面与稍后恢复</w:t>
            </w:r>
          </w:p>
        </w:tc>
      </w:tr>
      <w:tr>
        <w:tc>
          <w:tcPr>
            <w:tcW w:type="dxa" w:w="23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订阅管理</w:t>
            </w:r>
          </w:p>
        </w:tc>
        <w:tc>
          <w:tcPr>
            <w:tcW w:type="dxa" w:w="67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Paddle Customer Portal；购买页不兼任取消与付款方式管理</w:t>
            </w:r>
          </w:p>
        </w:tc>
      </w:tr>
      <w:tr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商店版本</w:t>
            </w:r>
          </w:p>
        </w:tc>
        <w:tc>
          <w:tcPr>
            <w:tcW w:type="dxa" w:w="67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Google Play / iOS 另走当期合规渠道，不把官网外跳设为默认</w:t>
            </w:r>
          </w:p>
        </w:tc>
      </w:tr>
    </w:tbl>
    <w:p>
      <w:pPr>
        <w:spacing w:after="20"/>
      </w:pP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2300"/>
        <w:gridCol w:w="1550"/>
        <w:gridCol w:w="1550"/>
        <w:gridCol w:w="3720"/>
      </w:tblGrid>
      <w:tr>
        <w:trPr>
          <w:tblHeader/>
        </w:trPr>
        <w:tc>
          <w:tcPr>
            <w:tcW w:type="dxa" w:w="23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市场</w:t>
            </w:r>
          </w:p>
        </w:tc>
        <w:tc>
          <w:tcPr>
            <w:tcW w:type="dxa" w:w="155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月付</w:t>
            </w:r>
          </w:p>
        </w:tc>
        <w:tc>
          <w:tcPr>
            <w:tcW w:type="dxa" w:w="155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年付</w:t>
            </w:r>
          </w:p>
        </w:tc>
        <w:tc>
          <w:tcPr>
            <w:tcW w:type="dxa" w:w="372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中国大陆</w:t>
            </w:r>
          </w:p>
        </w:tc>
        <w:tc>
          <w:tcPr>
            <w:tcW w:type="dxa" w:w="15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¥12</w:t>
            </w:r>
          </w:p>
        </w:tc>
        <w:tc>
          <w:tcPr>
            <w:tcW w:type="dxa" w:w="15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¥98</w:t>
            </w:r>
          </w:p>
        </w:tc>
        <w:tc>
          <w:tcPr>
            <w:tcW w:type="dxa" w:w="37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相对月付省约 32%</w:t>
            </w:r>
          </w:p>
        </w:tc>
      </w:tr>
      <w:tr>
        <w:tc>
          <w:tcPr>
            <w:tcW w:type="dxa" w:w="23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海外 USD</w:t>
            </w:r>
          </w:p>
        </w:tc>
        <w:tc>
          <w:tcPr>
            <w:tcW w:type="dxa" w:w="15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US$5</w:t>
            </w:r>
          </w:p>
        </w:tc>
        <w:tc>
          <w:tcPr>
            <w:tcW w:type="dxa" w:w="15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US$50</w:t>
            </w:r>
          </w:p>
        </w:tc>
        <w:tc>
          <w:tcPr>
            <w:tcW w:type="dxa" w:w="372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相对月付省约 17%，约两个月免费</w:t>
            </w:r>
          </w:p>
        </w:tc>
      </w:tr>
    </w:tbl>
    <w:p>
      <w:pPr>
        <w:spacing w:after="20"/>
      </w:pPr>
    </w:p>
    <w:p>
      <w:pPr>
        <w:pStyle w:val="ListBullet"/>
      </w:pPr>
      <w:r>
        <w:t>海外价格由账单国家、币种和渠道决定，不使用界面语言判断。</w:t>
      </w:r>
    </w:p>
    <w:p>
      <w:pPr>
        <w:pStyle w:val="ListBullet"/>
      </w:pPr>
      <w:r>
        <w:t>Paddle 标准费率下，US$5 月付费用约 15%，US$50 年付约 6%；页面主推荐年付，但不使用倒计时或夸张折扣。</w:t>
      </w:r>
    </w:p>
    <w:p>
      <w:pPr>
        <w:pStyle w:val="ListBullet"/>
      </w:pPr>
      <w:r>
        <w:t>Alipay 审批后可支持订阅；WeChat Pay 只用于一次性商品，不作为 Pro 自动续费方式。</w:t>
      </w: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9120"/>
      </w:tblGrid>
      <w:tr>
        <w:trPr>
          <w:tblHeader/>
        </w:trPr>
        <w:tc>
          <w:tcPr>
            <w:tcW w:type="dxa" w:w="9120"/>
            <w:shd w:fill="FBF5E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Source Han Sans SC"/>
                <w:b/>
                <w:color w:val="8B6118"/>
                <w:sz w:val="18"/>
              </w:rPr>
              <w:t xml:space="preserve">文案  </w:t>
            </w:r>
            <w:r>
              <w:rPr>
                <w:rFonts w:ascii="Arial" w:hAnsi="Arial" w:eastAsia="Source Han Sans SC"/>
                <w:b w:val="0"/>
                <w:color w:val="1B1B1F"/>
                <w:sz w:val="18"/>
              </w:rPr>
              <w:t>US$5 / month · cancel anytime。US$50 / year · about two months free。税费、续费时间和退款规则以 Paddle Checkout 为准。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附录｜官方海外定价依据与计算</w:t>
      </w:r>
    </w:p>
    <w:p>
      <w:pPr>
        <w:spacing w:after="100" w:line="288" w:lineRule="auto"/>
      </w:pPr>
      <w:r>
        <w:rPr>
          <w:rFonts w:ascii="Arial" w:hAnsi="Arial" w:eastAsia="Noto Sans CJK SC"/>
          <w:b w:val="0"/>
          <w:i w:val="0"/>
          <w:color w:val="202522"/>
          <w:sz w:val="18"/>
        </w:rPr>
        <w:t>Apple Developer：App Store 在不同 storefront 提供自动等价价格和大量 price points；可按地区手动调整。</w:t>
      </w:r>
    </w:p>
    <w:p>
      <w:pPr>
        <w:spacing w:after="100" w:line="288" w:lineRule="auto"/>
      </w:pPr>
      <w:r>
        <w:rPr>
          <w:rFonts w:ascii="Arial" w:hAnsi="Arial" w:eastAsia="Noto Sans CJK SC"/>
          <w:b w:val="0"/>
          <w:i w:val="0"/>
          <w:color w:val="3C6C89"/>
          <w:sz w:val="18"/>
        </w:rPr>
        <w:t>https://developer.apple.com/localization/</w:t>
      </w:r>
    </w:p>
    <w:p>
      <w:pPr>
        <w:spacing w:after="100" w:line="288" w:lineRule="auto"/>
      </w:pPr>
      <w:r>
        <w:rPr>
          <w:rFonts w:ascii="Arial" w:hAnsi="Arial" w:eastAsia="Noto Sans CJK SC"/>
          <w:b w:val="0"/>
          <w:i w:val="0"/>
          <w:color w:val="3C6C89"/>
          <w:sz w:val="18"/>
        </w:rPr>
        <w:t>https://developer.apple.com/in-app-purchase/</w:t>
      </w:r>
    </w:p>
    <w:p>
      <w:pPr>
        <w:spacing w:after="100" w:line="288" w:lineRule="auto"/>
      </w:pPr>
      <w:r>
        <w:rPr>
          <w:rFonts w:ascii="Arial" w:hAnsi="Arial" w:eastAsia="Noto Sans CJK SC"/>
          <w:b w:val="0"/>
          <w:i w:val="0"/>
          <w:color w:val="202522"/>
          <w:sz w:val="18"/>
        </w:rPr>
        <w:t>Apple Small Business Program：符合条件的开发者可适用较低佣金；实际资格与地区规则以 App Store Connect 为准。</w:t>
      </w:r>
    </w:p>
    <w:p>
      <w:pPr>
        <w:spacing w:after="100" w:line="288" w:lineRule="auto"/>
      </w:pPr>
      <w:r>
        <w:rPr>
          <w:rFonts w:ascii="Arial" w:hAnsi="Arial" w:eastAsia="Noto Sans CJK SC"/>
          <w:b w:val="0"/>
          <w:i w:val="0"/>
          <w:color w:val="3C6C89"/>
          <w:sz w:val="18"/>
        </w:rPr>
        <w:t>https://developer.apple.com/app-store/small-business-program/</w:t>
      </w:r>
    </w:p>
    <w:p>
      <w:pPr>
        <w:spacing w:after="100" w:line="288" w:lineRule="auto"/>
      </w:pPr>
      <w:r>
        <w:rPr>
          <w:rFonts w:ascii="Arial" w:hAnsi="Arial" w:eastAsia="Noto Sans CJK SC"/>
          <w:b w:val="0"/>
          <w:i w:val="0"/>
          <w:color w:val="202522"/>
          <w:sz w:val="18"/>
        </w:rPr>
        <w:t>Google Play：可按国家/地区配置基础方案；自动续订订阅通常适用平台服务费，具体以当期地区和计划为准。</w:t>
      </w:r>
    </w:p>
    <w:p>
      <w:pPr>
        <w:spacing w:after="100" w:line="288" w:lineRule="auto"/>
      </w:pPr>
      <w:r>
        <w:rPr>
          <w:rFonts w:ascii="Arial" w:hAnsi="Arial" w:eastAsia="Noto Sans CJK SC"/>
          <w:b w:val="0"/>
          <w:i w:val="0"/>
          <w:color w:val="3C6C89"/>
          <w:sz w:val="18"/>
        </w:rPr>
        <w:t>https://support.google.com/googleplay/android-developer/answer/12154973</w:t>
      </w:r>
    </w:p>
    <w:p>
      <w:pPr>
        <w:spacing w:after="100" w:line="288" w:lineRule="auto"/>
      </w:pPr>
      <w:r>
        <w:rPr>
          <w:rFonts w:ascii="Arial" w:hAnsi="Arial" w:eastAsia="Noto Sans CJK SC"/>
          <w:b w:val="0"/>
          <w:i w:val="0"/>
          <w:color w:val="3C6C89"/>
          <w:sz w:val="18"/>
        </w:rPr>
        <w:t>https://support.google.com/googleplay/android-developer/answer/112622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5600"/>
        <w:gridCol w:w="3760"/>
      </w:tblGrid>
      <w:tr>
        <w:trPr>
          <w:tblHeader w:val="true"/>
          <w:cantSplit/>
        </w:trPr>
        <w:tc>
          <w:tcPr>
            <w:tcW w:type="dxa" w:w="468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60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计算</w:t>
            </w:r>
          </w:p>
        </w:tc>
        <w:tc>
          <w:tcPr>
            <w:tcW w:type="dxa" w:w="4680"/>
            <w:shd w:fill="F7F9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760" w:type="dxa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中国年付折扣：1 - 98 / (12 × 12)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7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31.94%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海外年付折扣：1 - 50 / (5 × 12)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760" w:type="dxa"/>
          </w:tcPr>
          <w:p>
            <w:r>
              <w:t>16.67%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560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1000 席买断毛收入：1000 × 19.9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760" w:type="dxa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02522"/>
                <w:sz w:val="16"/>
              </w:rPr>
              <w:t>¥19,900（未扣渠道、税费、退款与长期成本）</w:t>
            </w:r>
          </w:p>
        </w:tc>
      </w:tr>
    </w:tbl>
    <w:p>
      <w:pPr>
        <w:spacing w:after="0"/>
      </w:pPr>
    </w:p>
    <w:p>
      <w:pPr>
        <w:spacing w:before="60" w:after="120" w:line="276" w:lineRule="auto"/>
        <w:ind w:left="173" w:right="115"/>
        <w:shd w:fill="F7F1E5"/>
        <w:keepLines/>
        <w:pBdr>
          <w:left w:val="single" w:sz="18" w:color="A77A2D" w:space="8"/>
        </w:pBdr>
      </w:pPr>
      <w:r>
        <w:rPr>
          <w:rFonts w:ascii="Arial" w:hAnsi="Arial" w:eastAsia="Noto Sans CJK SC"/>
          <w:b/>
          <w:i w:val="0"/>
          <w:color w:val="A77A2D"/>
          <w:sz w:val="19"/>
        </w:rPr>
        <w:t xml:space="preserve">结论  </w:t>
      </w:r>
      <w:r>
        <w:rPr>
          <w:rFonts w:ascii="Arial" w:hAnsi="Arial" w:eastAsia="Noto Sans CJK SC"/>
          <w:b w:val="0"/>
          <w:i w:val="0"/>
          <w:color w:val="202522"/>
          <w:sz w:val="19"/>
        </w:rPr>
        <w:t>海外价格采用本地价位而不是实时换汇；对外显示含税与否、取消、退款和续订规则必须跟随实际支付渠道。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Noto Sans CJK SC"/>
        <w:b w:val="0"/>
        <w:i w:val="0"/>
        <w:color w:val="6D7671"/>
        <w:sz w:val="16"/>
      </w:rPr>
      <w:t xml:space="preserve">Looka 统一设计母档 v2.0  ·  </w:t>
    </w:r>
    <w:r>
      <w:rPr>
        <w:rFonts w:ascii="Arial" w:hAnsi="Arial" w:eastAsia="Noto Sans CJK SC"/>
        <w:b w:val="0"/>
        <w:i w:val="0"/>
        <w:color w:val="6D7671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Noto Sans CJK SC"/>
        <w:b/>
        <w:i w:val="0"/>
        <w:color w:val="6D7671"/>
        <w:sz w:val="16"/>
      </w:rPr>
      <w:t>LOOKA · AI / PRICING / USER CO-CREATION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3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3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E4B3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35644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35644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Arial" w:hAnsi="Arial" w:eastAsia="Noto Sans CJK SC"/>
      <w:b/>
      <w:bCs/>
      <w:color w:val="6D767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Looka AI UI/UX、付费体系与用户共建中心 v2.1</dc:title>
  <dc:subject>Paddle 官网支付、App 外跳与海外 US$5 / US$50 定价定案</dc:subject>
  <dc:creator>Looka Product Design</dc:creator>
  <cp:keywords>Looka, AI UX, Pricing, Pro, Founder, Antler, Feedback, Customization</cp:keywords>
  <dc:description>v2.1: replaces USD 1.99/15.99 with USD 5/50 and defines app-to-web Paddle checkout. Documentation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