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4.png" ContentType="image/png"/>
  <Override PartName="/word/media/rId99.png" ContentType="image/png"/>
  <Override PartName="/word/media/rId60.png" ContentType="image/png"/>
  <Override PartName="/word/media/rId6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 2001–2026</w:t>
      </w:r>
    </w:p>
    <w:p>
      <w:pPr>
        <w:pStyle w:val="Subtitle"/>
      </w:pPr>
      <w:r>
        <w:t xml:space="preserve">Working Paper</w:t>
      </w:r>
    </w:p>
    <w:p>
      <w:pPr>
        <w:pStyle w:val="Author"/>
      </w:pPr>
      <w:r>
        <w:t xml:space="preserve">[Author name], Master of Arts in Economics (Applied Economics), Graduate School of Applied Economics, University of Southeastern Philippines, Davao City</w:t>
      </w:r>
    </w:p>
    <w:p>
      <w:pPr>
        <w:pStyle w:val="Date"/>
      </w:pPr>
      <w:r>
        <w:t xml:space="preserve">October 2026</w:t>
      </w:r>
    </w:p>
    <w:p>
      <w:pPr>
        <w:pStyle w:val="AbstractTitle"/>
      </w:pPr>
      <w:r>
        <w:t xml:space="preserve">Abstract</w:t>
      </w:r>
    </w:p>
    <w:p>
      <w:pPr>
        <w:pStyle w:val="Abstract"/>
      </w:pPr>
      <w:r>
        <w:t xml:space="preserve">This working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p>
      <w:pPr>
        <w:pStyle w:val="Abstract"/>
      </w:pPr>
      <w:r>
        <w:rPr>
          <w:b/>
          <w:bCs/>
        </w:rPr>
        <w:t xml:space="preserve">Keywords:</w:t>
      </w:r>
      <w:r>
        <w:t xml:space="preserve"> </w:t>
      </w:r>
      <w:r>
        <w:t xml:space="preserve">oil price shock; inflation inequality; fuel price pass-through; local projections; bottom 30% CPI; regional inflation; Philippines</w:t>
      </w:r>
    </w:p>
    <w:p>
      <w:pPr>
        <w:pStyle w:val="Abstract"/>
      </w:pPr>
      <w:r>
        <w:rPr>
          <w:b/>
          <w:bCs/>
        </w:rPr>
        <w:t xml:space="preserve">JEL classification:</w:t>
      </w:r>
      <w:r>
        <w:t xml:space="preserve"> </w:t>
      </w:r>
      <w:r>
        <w:t xml:space="preserve">E31, Q41, I32, D31, R12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chapter-1.-introduction"/>
    <w:p>
      <w:pPr>
        <w:pStyle w:val="Heading1"/>
      </w:pPr>
      <w:r>
        <w:t xml:space="preserve">Chapter 1. Introduction</w:t>
      </w:r>
    </w:p>
    <w:bookmarkStart w:id="18" w:name="background-of-the-study"/>
    <w:p>
      <w:pPr>
        <w:pStyle w:val="Heading2"/>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8"/>
    <w:bookmarkStart w:id="19" w:name="rationale"/>
    <w:p>
      <w:pPr>
        <w:pStyle w:val="Heading2"/>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w:t>
      </w:r>
      <w:hyperlink w:anchor="ref-kpodar_liu_2022">
        <w:r>
          <w:rPr>
            <w:rStyle w:val="Hyperlink"/>
          </w:rPr>
          <w:t xml:space="preserve">2022</w:t>
        </w:r>
      </w:hyperlink>
      <w:r>
        <w:t xml:space="preserve">)</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
    <w:bookmarkStart w:id="20" w:name="objectives-of-the-study"/>
    <w:p>
      <w:pPr>
        <w:pStyle w:val="Heading2"/>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01"/>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01"/>
        </w:numPr>
      </w:pPr>
      <w:r>
        <w:rPr>
          <w:b/>
          <w:bCs/>
        </w:rPr>
        <w:t xml:space="preserve">Objective 2 (model estimation).</w:t>
      </w:r>
      <w:r>
        <w:t xml:space="preserve"> </w:t>
      </w:r>
      <w:r>
        <w:t xml:space="preserve">To estimate, using the local projection model of</w:t>
      </w:r>
      <w:r>
        <w:t xml:space="preserve"> </w:t>
      </w:r>
      <w:r>
        <w:t xml:space="preserve">Kpodar and Liu (</w:t>
      </w:r>
      <w:hyperlink w:anchor="ref-kpodar_liu_2022">
        <w:r>
          <w:rPr>
            <w:rStyle w:val="Hyperlink"/>
          </w:rPr>
          <w:t xml:space="preserve">2022</w:t>
        </w:r>
      </w:hyperlink>
      <w:r>
        <w:t xml:space="preserve">)</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01"/>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20"/>
    <w:bookmarkStart w:id="21" w:name="significance-of-the-study"/>
    <w:p>
      <w:pPr>
        <w:pStyle w:val="Heading2"/>
      </w:pPr>
      <w:r>
        <w:t xml:space="preserve">1.4 Significance of the study</w:t>
      </w:r>
    </w:p>
    <w:p>
      <w:pPr>
        <w:pStyle w:val="FirstParagraph"/>
      </w:pPr>
      <w:r>
        <w:t xml:space="preserve">The study is relevant to several groups.</w:t>
      </w:r>
    </w:p>
    <w:p>
      <w:pPr>
        <w:pStyle w:val="Compact"/>
        <w:numPr>
          <w:ilvl w:val="0"/>
          <w:numId w:val="1002"/>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02"/>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02"/>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02"/>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02"/>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02"/>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1"/>
    <w:bookmarkStart w:id="22" w:name="scope-and-limitations"/>
    <w:p>
      <w:pPr>
        <w:pStyle w:val="Heading2"/>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2"/>
    <w:bookmarkStart w:id="23" w:name="definition-of-terms"/>
    <w:p>
      <w:pPr>
        <w:pStyle w:val="Heading2"/>
      </w:pPr>
      <w:r>
        <w:t xml:space="preserve">1.6 Definition of terms</w:t>
      </w:r>
    </w:p>
    <w:p>
      <w:pPr>
        <w:pStyle w:val="Compact"/>
        <w:numPr>
          <w:ilvl w:val="0"/>
          <w:numId w:val="1003"/>
        </w:numPr>
      </w:pPr>
      <w:r>
        <w:rPr>
          <w:b/>
          <w:bCs/>
        </w:rPr>
        <w:t xml:space="preserve">Pass-through.</w:t>
      </w:r>
      <w:r>
        <w:t xml:space="preserve"> </w:t>
      </w:r>
      <w:r>
        <w:t xml:space="preserve">The change in a price index, in percentage points, per 1% change in the fuel price.</w:t>
      </w:r>
    </w:p>
    <w:p>
      <w:pPr>
        <w:pStyle w:val="Compact"/>
        <w:numPr>
          <w:ilvl w:val="0"/>
          <w:numId w:val="1003"/>
        </w:numPr>
      </w:pPr>
      <w:r>
        <w:rPr>
          <w:b/>
          <w:bCs/>
        </w:rPr>
        <w:t xml:space="preserve">Bottom-30% CPI.</w:t>
      </w:r>
      <w:r>
        <w:t xml:space="preserve"> </w:t>
      </w:r>
      <w:r>
        <w:t xml:space="preserve">PSA’s consumer price index for households in the lowest 30% of the income distribution.</w:t>
      </w:r>
    </w:p>
    <w:p>
      <w:pPr>
        <w:pStyle w:val="Compact"/>
        <w:numPr>
          <w:ilvl w:val="0"/>
          <w:numId w:val="1003"/>
        </w:numPr>
      </w:pPr>
      <w:r>
        <w:rPr>
          <w:b/>
          <w:bCs/>
        </w:rPr>
        <w:t xml:space="preserve">Gap.</w:t>
      </w:r>
      <w:r>
        <w:t xml:space="preserve"> </w:t>
      </w:r>
      <w:r>
        <w:t xml:space="preserve">D = ln(CPI all income / CPI bottom 30%). A fall in D means the poor’s prices rose more.</w:t>
      </w:r>
    </w:p>
    <w:p>
      <w:pPr>
        <w:pStyle w:val="Compact"/>
        <w:numPr>
          <w:ilvl w:val="0"/>
          <w:numId w:val="1003"/>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03"/>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03"/>
        </w:numPr>
      </w:pPr>
      <w:r>
        <w:rPr>
          <w:b/>
          <w:bCs/>
        </w:rPr>
        <w:t xml:space="preserve">Local projection.</w:t>
      </w:r>
      <w:r>
        <w:t xml:space="preserve"> </w:t>
      </w:r>
      <w:r>
        <w:t xml:space="preserve">A method that estimates the effect of a shock at each future horizon with a separate regression (Chapter 3).</w:t>
      </w:r>
    </w:p>
    <w:bookmarkEnd w:id="23"/>
    <w:bookmarkEnd w:id="24"/>
    <w:bookmarkStart w:id="35" w:name="chapter-2.-review-of-related-literature"/>
    <w:p>
      <w:pPr>
        <w:pStyle w:val="Heading1"/>
      </w:pPr>
      <w:r>
        <w:t xml:space="preserve">Chapter 2. Review of Related Literature</w:t>
      </w:r>
    </w:p>
    <w:bookmarkStart w:id="25" w:name="how-oil-prices-reach-consumer-prices"/>
    <w:p>
      <w:pPr>
        <w:pStyle w:val="Heading2"/>
      </w:pPr>
      <w:r>
        <w:t xml:space="preserve">2.1 How oil prices reach consumer prices</w:t>
      </w:r>
    </w:p>
    <w:p>
      <w:pPr>
        <w:pStyle w:val="FirstParagraph"/>
      </w:pPr>
      <w:r>
        <w:t xml:space="preserve">An increase in oil prices raises consumer prices through three channels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w:t>
      </w:r>
      <w:hyperlink w:anchor="ref-gelos_ustyugova_2017">
        <w:r>
          <w:rPr>
            <w:rStyle w:val="Hyperlink"/>
          </w:rPr>
          <w:t xml:space="preserve">Gelos and Ustyugova 2017</w:t>
        </w:r>
      </w:hyperlink>
      <w:r>
        <w:t xml:space="preserve">;</w:t>
      </w:r>
      <w:r>
        <w:t xml:space="preserve"> </w:t>
      </w:r>
      <w:hyperlink w:anchor="ref-kpodar_imam_2021">
        <w:r>
          <w:rPr>
            <w:rStyle w:val="Hyperlink"/>
          </w:rPr>
          <w:t xml:space="preserve">Kpodar and Imam 2021</w:t>
        </w:r>
      </w:hyperlink>
      <w:r>
        <w:t xml:space="preserve">)</w:t>
      </w:r>
      <w:r>
        <w:t xml:space="preserve">.</w:t>
      </w:r>
    </w:p>
    <w:bookmarkEnd w:id="25"/>
    <w:bookmarkStart w:id="26" w:name="empirical-evidence-on-pass-through"/>
    <w:p>
      <w:pPr>
        <w:pStyle w:val="Heading2"/>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w:t>
      </w:r>
      <w:hyperlink w:anchor="ref-blanchard_gali_2010">
        <w:r>
          <w:rPr>
            <w:rStyle w:val="Hyperlink"/>
          </w:rPr>
          <w:t xml:space="preserve">Blanchard and Galí 2010</w:t>
        </w:r>
      </w:hyperlink>
      <w:r>
        <w:t xml:space="preserve">)</w:t>
      </w:r>
      <w:r>
        <w:t xml:space="preserve">. Cross-country studies find larger and more persistent effects in developing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Crude oil prices, however, are a poor measure of what consumers pay: retail prices include taxes, margins and, in many developing countries, regulated adjustments.</w:t>
      </w:r>
      <w:r>
        <w:t xml:space="preserve"> </w:t>
      </w:r>
      <w:r>
        <w:t xml:space="preserve">Kpodar and Abdallah (</w:t>
      </w:r>
      <w:hyperlink w:anchor="ref-kpodar_abdallah_2017">
        <w:r>
          <w:rPr>
            <w:rStyle w:val="Hyperlink"/>
          </w:rPr>
          <w:t xml:space="preserve">2017</w:t>
        </w:r>
      </w:hyperlink>
      <w:r>
        <w:t xml:space="preserve">)</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w:t>
      </w:r>
      <w:hyperlink w:anchor="ref-kpodar_liu_2022">
        <w:r>
          <w:rPr>
            <w:rStyle w:val="Hyperlink"/>
          </w:rPr>
          <w:t xml:space="preserve">2022</w:t>
        </w:r>
      </w:hyperlink>
      <w:r>
        <w:t xml:space="preserve">)</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w:t>
      </w:r>
      <w:hyperlink w:anchor="ref-jorda_2005">
        <w:r>
          <w:rPr>
            <w:rStyle w:val="Hyperlink"/>
          </w:rPr>
          <w:t xml:space="preserve">Jordà 2005</w:t>
        </w:r>
      </w:hyperlink>
      <w:r>
        <w:t xml:space="preserve">)</w:t>
      </w:r>
      <w:r>
        <w:t xml:space="preserve">, which estimate impulse responses horizon by horizon without imposing the dynamic structure of a vector autoregression, often with the correction of</w:t>
      </w:r>
      <w:r>
        <w:t xml:space="preserve"> </w:t>
      </w:r>
      <w:r>
        <w:t xml:space="preserve">Teulings and Zubanov (</w:t>
      </w:r>
      <w:hyperlink w:anchor="ref-teulings_zubanov_2014">
        <w:r>
          <w:rPr>
            <w:rStyle w:val="Hyperlink"/>
          </w:rPr>
          <w:t xml:space="preserve">2014</w:t>
        </w:r>
      </w:hyperlink>
      <w:r>
        <w:t xml:space="preserve">)</w:t>
      </w:r>
      <w:r>
        <w:t xml:space="preserve">. Local projections and VARs estimate the same population impulse responses</w:t>
      </w:r>
      <w:r>
        <w:t xml:space="preserve"> </w:t>
      </w:r>
      <w:r>
        <w:t xml:space="preserve">(</w:t>
      </w:r>
      <w:hyperlink w:anchor="ref-plagborg_wolf_2021">
        <w:r>
          <w:rPr>
            <w:rStyle w:val="Hyperlink"/>
          </w:rPr>
          <w:t xml:space="preserve">Plagborg-Møller and Wolf 2021</w:t>
        </w:r>
      </w:hyperlink>
      <w:r>
        <w:t xml:space="preserve">)</w:t>
      </w:r>
      <w:r>
        <w:t xml:space="preserve">, and local projection inference is robust when lags of the variables are included</w:t>
      </w:r>
      <w:r>
        <w:t xml:space="preserve"> </w:t>
      </w:r>
      <w:r>
        <w:t xml:space="preserve">(</w:t>
      </w:r>
      <w:hyperlink w:anchor="ref-montiel_olea_plagborg_2021">
        <w:r>
          <w:rPr>
            <w:rStyle w:val="Hyperlink"/>
          </w:rPr>
          <w:t xml:space="preserve">Montiel Olea and Plagborg-Møller 2021</w:t>
        </w:r>
      </w:hyperlink>
      <w:r>
        <w:t xml:space="preserve">)</w:t>
      </w:r>
      <w:r>
        <w:t xml:space="preserve">.</w:t>
      </w:r>
    </w:p>
    <w:bookmarkEnd w:id="26"/>
    <w:bookmarkStart w:id="27" w:name="who-bears-the-cost-of-fuel-price-changes"/>
    <w:p>
      <w:pPr>
        <w:pStyle w:val="Heading2"/>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w:t>
      </w:r>
      <w:hyperlink w:anchor="ref-coady_etal_2015">
        <w:r>
          <w:rPr>
            <w:rStyle w:val="Hyperlink"/>
          </w:rPr>
          <w:t xml:space="preserve">Coady et al. 2015</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Carbon pricing tends to be progressive in poorer countries</w:t>
      </w:r>
      <w:r>
        <w:t xml:space="preserve"> </w:t>
      </w:r>
      <w:r>
        <w:t xml:space="preserve">(</w:t>
      </w:r>
      <w:hyperlink w:anchor="ref-dorband_etal_2019">
        <w:r>
          <w:rPr>
            <w:rStyle w:val="Hyperlink"/>
          </w:rPr>
          <w:t xml:space="preserve">Dorband et al. 2019</w:t>
        </w:r>
      </w:hyperlink>
      <w:r>
        <w:t xml:space="preserve">)</w:t>
      </w:r>
      <w:r>
        <w:t xml:space="preserve">. A related literature documents that inflation differs across households, usually against the poor</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r>
        <w:t xml:space="preserve"> </w:t>
      </w:r>
      <w:r>
        <w:t xml:space="preserve">Kpodar and Liu (</w:t>
      </w:r>
      <w:hyperlink w:anchor="ref-kpodar_liu_2022">
        <w:r>
          <w:rPr>
            <w:rStyle w:val="Hyperlink"/>
          </w:rPr>
          <w:t xml:space="preserve">2022</w:t>
        </w:r>
      </w:hyperlink>
      <w:r>
        <w:t xml:space="preserve">)</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7"/>
    <w:bookmarkStart w:id="28" w:name="philippine-studies"/>
    <w:p>
      <w:pPr>
        <w:pStyle w:val="Heading2"/>
      </w:pPr>
      <w:r>
        <w:t xml:space="preserve">2.4 Philippine studies</w:t>
      </w:r>
    </w:p>
    <w:p>
      <w:pPr>
        <w:pStyle w:val="FirstParagraph"/>
      </w:pPr>
      <w:r>
        <w:t xml:space="preserve">Allon-Pineda et al. (</w:t>
      </w:r>
      <w:hyperlink w:anchor="ref-allon_pineda_etal_2026">
        <w:r>
          <w:rPr>
            <w:rStyle w:val="Hyperlink"/>
          </w:rPr>
          <w:t xml:space="preserve">2026</w:t>
        </w:r>
      </w:hyperlink>
      <w:r>
        <w:t xml:space="preserve">)</w:t>
      </w:r>
      <w:r>
        <w:t xml:space="preserve"> </w:t>
      </w:r>
      <w:r>
        <w:t xml:space="preserve">estimate the second-round and asymmetric effects of oil and food price shocks on Philippine inflation with local projections.</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w:t>
      </w:r>
      <w:hyperlink w:anchor="ref-armas_2021">
        <w:r>
          <w:rPr>
            <w:rStyle w:val="Hyperlink"/>
          </w:rPr>
          <w:t xml:space="preserve">2021</w:t>
        </w:r>
      </w:hyperlink>
      <w:r>
        <w:t xml:space="preserve">)</w:t>
      </w:r>
      <w:r>
        <w:t xml:space="preserve"> </w:t>
      </w:r>
      <w:r>
        <w:t xml:space="preserve">studies the bank lending channel of monetary policy in the Philippines,</w:t>
      </w:r>
      <w:r>
        <w:t xml:space="preserve"> </w:t>
      </w:r>
      <w:r>
        <w:t xml:space="preserve">Kurita and Kurosaki (</w:t>
      </w:r>
      <w:hyperlink w:anchor="ref-kurita_kurosaki_2011">
        <w:r>
          <w:rPr>
            <w:rStyle w:val="Hyperlink"/>
          </w:rPr>
          <w:t xml:space="preserve">2011</w:t>
        </w:r>
      </w:hyperlink>
      <w:r>
        <w:t xml:space="preserve">)</w:t>
      </w:r>
      <w:r>
        <w:t xml:space="preserve"> </w:t>
      </w:r>
      <w:r>
        <w:t xml:space="preserve">analyse regional growth, poverty and inequality in Thailand and the Philippines, and</w:t>
      </w:r>
      <w:r>
        <w:t xml:space="preserve"> </w:t>
      </w:r>
      <w:r>
        <w:t xml:space="preserve">Pagaduan (</w:t>
      </w:r>
      <w:hyperlink w:anchor="ref-pagaduan_2022">
        <w:r>
          <w:rPr>
            <w:rStyle w:val="Hyperlink"/>
          </w:rPr>
          <w:t xml:space="preserve">2022</w:t>
        </w:r>
      </w:hyperlink>
      <w:r>
        <w:t xml:space="preserve">)</w:t>
      </w:r>
      <w:r>
        <w:t xml:space="preserve"> </w:t>
      </w:r>
      <w:r>
        <w:t xml:space="preserve">studies subnational output measurement.</w:t>
      </w:r>
    </w:p>
    <w:bookmarkEnd w:id="28"/>
    <w:bookmarkStart w:id="29" w:name="X675899c7ffbec3b23dfca21cbb04c2d29f2f5b4"/>
    <w:p>
      <w:pPr>
        <w:pStyle w:val="Heading2"/>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w:t>
      </w:r>
      <w:hyperlink w:anchor="ref-satriawan_shrestha_2018">
        <w:r>
          <w:rPr>
            <w:rStyle w:val="Hyperlink"/>
          </w:rPr>
          <w:t xml:space="preserve">Satriawan and Shrestha 2018</w:t>
        </w:r>
      </w:hyperlink>
      <w:r>
        <w:t xml:space="preserve">)</w:t>
      </w:r>
      <w:r>
        <w:t xml:space="preserve">, food price instability in Asia</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Subnational studies show that regions differ in their exposure to and recovery from shocks</w:t>
      </w:r>
      <w:r>
        <w:t xml:space="preserve"> </w:t>
      </w:r>
      <w:r>
        <w:t xml:space="preserve">(</w:t>
      </w:r>
      <w:hyperlink w:anchor="ref-kataoka_2022">
        <w:r>
          <w:rPr>
            <w:rStyle w:val="Hyperlink"/>
          </w:rPr>
          <w:t xml:space="preserve">Kataoka 2022</w:t>
        </w:r>
      </w:hyperlink>
      <w:r>
        <w:t xml:space="preserve">)</w:t>
      </w:r>
      <w:r>
        <w:t xml:space="preserve">. Work on price transmission in the region has focused on the exchange rate and inflation targeting</w:t>
      </w:r>
      <w:r>
        <w:t xml:space="preserve"> </w:t>
      </w:r>
      <w:r>
        <w:t xml:space="preserve">(</w:t>
      </w:r>
      <w:hyperlink w:anchor="ref-taguchi_sohn_2014">
        <w:r>
          <w:rPr>
            <w:rStyle w:val="Hyperlink"/>
          </w:rPr>
          <w:t xml:space="preserve">Taguchi and Sohn 2014</w:t>
        </w:r>
      </w:hyperlink>
      <w:r>
        <w:t xml:space="preserve">)</w:t>
      </w:r>
      <w:r>
        <w:t xml:space="preserve">.</w:t>
      </w:r>
    </w:p>
    <w:bookmarkEnd w:id="29"/>
    <w:bookmarkStart w:id="30" w:name="synthesis-and-research-gap"/>
    <w:p>
      <w:pPr>
        <w:pStyle w:val="Heading2"/>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30"/>
    <w:bookmarkStart w:id="34" w:name="conceptual-framework"/>
    <w:p>
      <w:pPr>
        <w:pStyle w:val="Heading2"/>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5052060" cy="4468093"/>
            <wp:effectExtent b="0" l="0" r="0" t="0"/>
            <wp:docPr descr="Figure 1. Conceptual framework of the study." title="" id="32" name="Picture"/>
            <a:graphic>
              <a:graphicData uri="http://schemas.openxmlformats.org/drawingml/2006/picture">
                <pic:pic>
                  <pic:nvPicPr>
                    <pic:cNvPr descr="../output/figures/figw0_framework.png" id="33" name="Picture"/>
                    <pic:cNvPicPr>
                      <a:picLocks noChangeArrowheads="1" noChangeAspect="1"/>
                    </pic:cNvPicPr>
                  </pic:nvPicPr>
                  <pic:blipFill>
                    <a:blip r:embed="rId31"/>
                    <a:stretch>
                      <a:fillRect/>
                    </a:stretch>
                  </pic:blipFill>
                  <pic:spPr bwMode="auto">
                    <a:xfrm>
                      <a:off x="0" y="0"/>
                      <a:ext cx="5052060" cy="4468093"/>
                    </a:xfrm>
                    <a:prstGeom prst="rect">
                      <a:avLst/>
                    </a:prstGeom>
                    <a:noFill/>
                    <a:ln w="9525">
                      <a:noFill/>
                      <a:headEnd/>
                      <a:tailEnd/>
                    </a:ln>
                  </pic:spPr>
                </pic:pic>
              </a:graphicData>
            </a:graphic>
          </wp:inline>
        </w:drawing>
      </w:r>
    </w:p>
    <w:p>
      <w:pPr>
        <w:pStyle w:val="ImageCaption"/>
      </w:pPr>
      <w:r>
        <w:t xml:space="preserve">Figure 1. Conceptual framework of the study.</w:t>
      </w:r>
    </w:p>
    <w:bookmarkEnd w:id="34"/>
    <w:bookmarkEnd w:id="35"/>
    <w:bookmarkStart w:id="45" w:name="X87fcbdfac58c1f956e80fe4ec4d34267d0f49c7"/>
    <w:p>
      <w:pPr>
        <w:pStyle w:val="Heading1"/>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36" w:name="the-question-an-impulse-response-answers"/>
    <w:p>
      <w:pPr>
        <w:pStyle w:val="Heading2"/>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36"/>
    <w:bookmarkStart w:id="37" w:name="the-local-projection-idea"/>
    <w:p>
      <w:pPr>
        <w:pStyle w:val="Heading2"/>
      </w:pPr>
      <w:r>
        <w:t xml:space="preserve">3.2 The local projection idea</w:t>
      </w:r>
    </w:p>
    <w:p>
      <w:pPr>
        <w:pStyle w:val="FirstParagraph"/>
      </w:pPr>
      <w:r>
        <w:t xml:space="preserve">Jordà (</w:t>
      </w:r>
      <w:hyperlink w:anchor="ref-jorda_2005">
        <w:r>
          <w:rPr>
            <w:rStyle w:val="Hyperlink"/>
          </w:rPr>
          <w:t xml:space="preserve">2005</w:t>
        </w:r>
      </w:hyperlink>
      <w:r>
        <w:t xml:space="preserve">)</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37"/>
    <w:bookmarkStart w:id="38" w:name="the-specification-term-by-term"/>
    <w:p>
      <w:pPr>
        <w:pStyle w:val="Heading2"/>
      </w:pPr>
      <w:r>
        <w:t xml:space="preserve">3.3 The specification term by term</w:t>
      </w:r>
    </w:p>
    <w:p>
      <w:pPr>
        <w:pStyle w:val="FirstParagraph"/>
      </w:pPr>
      <w:r>
        <w:t xml:space="preserve">The model of</w:t>
      </w:r>
      <w:r>
        <w:t xml:space="preserve"> </w:t>
      </w:r>
      <w:r>
        <w:t xml:space="preserve">Kpodar and Liu (</w:t>
      </w:r>
      <w:hyperlink w:anchor="ref-kpodar_liu_2022">
        <w:r>
          <w:rPr>
            <w:rStyle w:val="Hyperlink"/>
          </w:rPr>
          <w:t xml:space="preserve">2022</w:t>
        </w:r>
      </w:hyperlink>
      <w:r>
        <w:t xml:space="preserve">)</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04"/>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04"/>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04"/>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04"/>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04"/>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w:t>
      </w:r>
      <w:hyperlink w:anchor="ref-teulings_zubanov_2014">
        <w:r>
          <w:rPr>
            <w:rStyle w:val="Hyperlink"/>
          </w:rPr>
          <w:t xml:space="preserve">Teulings and Zubanov 2014</w:t>
        </w:r>
      </w:hyperlink>
      <w:r>
        <w:t xml:space="preserve">)</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04"/>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38"/>
    <w:bookmarkStart w:id="39" w:name="from-monthly-effects-to-the-price-level"/>
    <w:p>
      <w:pPr>
        <w:pStyle w:val="Heading2"/>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39"/>
    <w:bookmarkStart w:id="40" w:name="standard-errors"/>
    <w:p>
      <w:pPr>
        <w:pStyle w:val="Heading2"/>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In the regional panel, all regions are hit by common national shocks in the same month, so errors are correlated across regions as well as over time; Driscoll–Kraay standard errors allow for both</w:t>
      </w:r>
      <w:r>
        <w:t xml:space="preserve"> </w:t>
      </w:r>
      <w:r>
        <w:t xml:space="preserve">(</w:t>
      </w:r>
      <w:hyperlink w:anchor="ref-driscoll_kraay_1998">
        <w:r>
          <w:rPr>
            <w:rStyle w:val="Hyperlink"/>
          </w:rPr>
          <w:t xml:space="preserve">Driscoll and Kraay 1998</w:t>
        </w:r>
      </w:hyperlink>
      <w:r>
        <w:t xml:space="preserve">)</w:t>
      </w:r>
      <w:r>
        <w:t xml:space="preserve">. Confidence bands are 90%, as in the reference study.</w:t>
      </w:r>
    </w:p>
    <w:bookmarkEnd w:id="40"/>
    <w:bookmarkStart w:id="41" w:name="the-panel-version-and-group-differences"/>
    <w:p>
      <w:pPr>
        <w:pStyle w:val="Heading2"/>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41"/>
    <w:bookmarkStart w:id="42" w:name="checking-the-implementation"/>
    <w:p>
      <w:pPr>
        <w:pStyle w:val="Heading2"/>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42"/>
    <w:bookmarkStart w:id="43" w:name="step-by-step-implementation"/>
    <w:p>
      <w:pPr>
        <w:pStyle w:val="Heading2"/>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43"/>
    <w:bookmarkStart w:id="44" w:name="common-pitfalls"/>
    <w:p>
      <w:pPr>
        <w:pStyle w:val="Heading2"/>
      </w:pPr>
      <w:r>
        <w:t xml:space="preserve">3.9 Common pitfalls</w:t>
      </w:r>
    </w:p>
    <w:p>
      <w:pPr>
        <w:pStyle w:val="Compact"/>
        <w:numPr>
          <w:ilvl w:val="0"/>
          <w:numId w:val="1005"/>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05"/>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05"/>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05"/>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05"/>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05"/>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44"/>
    <w:bookmarkEnd w:id="45"/>
    <w:bookmarkStart w:id="58" w:name="chapter-4.-methodology"/>
    <w:p>
      <w:pPr>
        <w:pStyle w:val="Heading1"/>
      </w:pPr>
      <w:r>
        <w:t xml:space="preserve">Chapter 4. Methodology</w:t>
      </w:r>
    </w:p>
    <w:bookmarkStart w:id="46" w:name="research-design"/>
    <w:p>
      <w:pPr>
        <w:pStyle w:val="Heading2"/>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46"/>
    <w:bookmarkStart w:id="50" w:name="data"/>
    <w:p>
      <w:pPr>
        <w:pStyle w:val="Heading2"/>
      </w:pPr>
      <w:r>
        <w:t xml:space="preserve">4.2 Data</w:t>
      </w:r>
    </w:p>
    <w:bookmarkStart w:id="47" w:name="sources-and-variables"/>
    <w:p>
      <w:pPr>
        <w:pStyle w:val="Heading3"/>
      </w:pPr>
      <w:r>
        <w:t xml:space="preserve">4.2.1 Sources and variables</w:t>
      </w:r>
    </w:p>
    <w:p>
      <w:pPr>
        <w:pStyle w:val="FirstParagraph"/>
      </w:pPr>
      <w:r>
        <w:t xml:space="preserve">Table 1 lists the data. All price data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Definition and source</w:t>
            </w:r>
          </w:p>
        </w:tc>
        <w:tc>
          <w:tcPr/>
          <w:p>
            <w:pPr>
              <w:pStyle w:val="Compact"/>
            </w:pPr>
            <w:r>
              <w:t xml:space="preserve">Coverage</w:t>
            </w:r>
          </w:p>
        </w:tc>
        <w:tc>
          <w:tcPr/>
          <w:p>
            <w:pPr>
              <w:pStyle w:val="Compact"/>
            </w:pPr>
            <w:r>
              <w:t xml:space="preserve">Use</w:t>
            </w:r>
          </w:p>
        </w:tc>
      </w:tr>
      <w:tr>
        <w:tc>
          <w:tcPr/>
          <w:p>
            <w:pPr>
              <w:pStyle w:val="Compact"/>
            </w:pPr>
            <w:r>
              <w:t xml:space="preserve">CPI, all income households</w:t>
            </w:r>
          </w:p>
        </w:tc>
        <w:tc>
          <w:tcPr/>
          <w:p>
            <w:pPr>
              <w:pStyle w:val="Compact"/>
            </w:pPr>
            <w:r>
              <w:t xml:space="preserve">All items and 13 COICOP divisions, 2018 = 100;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CPI, bottom 30% income households</w:t>
            </w:r>
          </w:p>
        </w:tc>
        <w:tc>
          <w:tcPr/>
          <w:p>
            <w:pPr>
              <w:pStyle w:val="Compact"/>
            </w:pPr>
            <w:r>
              <w:t xml:space="preserve">All items (from 2000) and commodity groups (from 2012), 2018 = 100; PSA</w:t>
            </w:r>
          </w:p>
        </w:tc>
        <w:tc>
          <w:tcPr/>
          <w:p>
            <w:pPr>
              <w:pStyle w:val="Compact"/>
            </w:pPr>
            <w:r>
              <w:t xml:space="preserve">Jan 2000–Aug 2026; national and 17 regions</w:t>
            </w:r>
          </w:p>
        </w:tc>
        <w:tc>
          <w:tcPr/>
          <w:p>
            <w:pPr>
              <w:pStyle w:val="Compact"/>
            </w:pPr>
            <w:r>
              <w:t xml:space="preserve">Objectives 1–3</w:t>
            </w:r>
          </w:p>
        </w:tc>
      </w:tr>
      <w:tr>
        <w:tc>
          <w:tcPr/>
          <w:p>
            <w:pPr>
              <w:pStyle w:val="Compact"/>
            </w:pPr>
            <w:r>
              <w:t xml:space="preserve">Fuel price index (shock)</w:t>
            </w:r>
          </w:p>
        </w:tc>
        <w:tc>
          <w:tcPr/>
          <w:p>
            <w:pPr>
              <w:pStyle w:val="Compact"/>
            </w:pPr>
            <w:r>
              <w:t xml:space="preserve">CPI sub-index 07.2.2, fuels and lubricants for personal transport equipment;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Gasoline index</w:t>
            </w:r>
          </w:p>
        </w:tc>
        <w:tc>
          <w:tcPr/>
          <w:p>
            <w:pPr>
              <w:pStyle w:val="Compact"/>
            </w:pPr>
            <w:r>
              <w:t xml:space="preserve">CPI sub-index 07.2.2.2; PSA</w:t>
            </w:r>
          </w:p>
        </w:tc>
        <w:tc>
          <w:tcPr/>
          <w:p>
            <w:pPr>
              <w:pStyle w:val="Compact"/>
            </w:pPr>
            <w:r>
              <w:t xml:space="preserve">Jan 2018–Aug 2026</w:t>
            </w:r>
          </w:p>
        </w:tc>
        <w:tc>
          <w:tcPr/>
          <w:p>
            <w:pPr>
              <w:pStyle w:val="Compact"/>
            </w:pPr>
            <w:r>
              <w:t xml:space="preserve">Robustness</w:t>
            </w:r>
          </w:p>
        </w:tc>
      </w:tr>
      <w:tr>
        <w:tc>
          <w:tcPr/>
          <w:p>
            <w:pPr>
              <w:pStyle w:val="Compact"/>
            </w:pPr>
            <w:r>
              <w:t xml:space="preserve">Pump price, Manila RON 91</w:t>
            </w:r>
          </w:p>
        </w:tc>
        <w:tc>
          <w:tcPr/>
          <w:p>
            <w:pPr>
              <w:pStyle w:val="Compact"/>
            </w:pPr>
            <w:r>
              <w:t xml:space="preserve">World Bank Global Fuel Prices Database</w:t>
            </w:r>
            <w:r>
              <w:t xml:space="preserve"> </w:t>
            </w:r>
            <w:r>
              <w:t xml:space="preserve">(</w:t>
            </w:r>
            <w:hyperlink w:anchor="ref-worldbank_gfpd_2025">
              <w:r>
                <w:rPr>
                  <w:rStyle w:val="Hyperlink"/>
                </w:rPr>
                <w:t xml:space="preserve">World Bank 2025</w:t>
              </w:r>
            </w:hyperlink>
            <w:r>
              <w:t xml:space="preserve">)</w:t>
            </w:r>
          </w:p>
        </w:tc>
        <w:tc>
          <w:tcPr/>
          <w:p>
            <w:pPr>
              <w:pStyle w:val="Compact"/>
            </w:pPr>
            <w:r>
              <w:t xml:space="preserve">Jan 2017–Mar 2025</w:t>
            </w:r>
          </w:p>
        </w:tc>
        <w:tc>
          <w:tcPr/>
          <w:p>
            <w:pPr>
              <w:pStyle w:val="Compact"/>
            </w:pPr>
            <w:r>
              <w:t xml:space="preserve">Validation, robustness</w:t>
            </w:r>
          </w:p>
        </w:tc>
      </w:tr>
      <w:tr>
        <w:tc>
          <w:tcPr/>
          <w:p>
            <w:pPr>
              <w:pStyle w:val="Compact"/>
            </w:pPr>
            <w:r>
              <w:t xml:space="preserve">Dubai and Brent crude prices</w:t>
            </w:r>
          </w:p>
        </w:tc>
        <w:tc>
          <w:tcPr/>
          <w:p>
            <w:pPr>
              <w:pStyle w:val="Compact"/>
            </w:pPr>
            <w:r>
              <w:t xml:space="preserve">World Bank Pink Sheet</w:t>
            </w:r>
            <w:r>
              <w:t xml:space="preserve"> </w:t>
            </w:r>
            <w:r>
              <w:t xml:space="preserve">(</w:t>
            </w:r>
            <w:hyperlink w:anchor="ref-worldbank_cmo_2026">
              <w:r>
                <w:rPr>
                  <w:rStyle w:val="Hyperlink"/>
                </w:rPr>
                <w:t xml:space="preserve">World Bank 2026</w:t>
              </w:r>
            </w:hyperlink>
            <w:r>
              <w:t xml:space="preserve">)</w:t>
            </w:r>
          </w:p>
        </w:tc>
        <w:tc>
          <w:tcPr/>
          <w:p>
            <w:pPr>
              <w:pStyle w:val="Compact"/>
            </w:pPr>
            <w:r>
              <w:t xml:space="preserve">Monthly, to Sep 2026</w:t>
            </w:r>
          </w:p>
        </w:tc>
        <w:tc>
          <w:tcPr/>
          <w:p>
            <w:pPr>
              <w:pStyle w:val="Compact"/>
            </w:pPr>
            <w:r>
              <w:t xml:space="preserve">Robustness</w:t>
            </w:r>
          </w:p>
        </w:tc>
      </w:tr>
      <w:tr>
        <w:tc>
          <w:tcPr/>
          <w:p>
            <w:pPr>
              <w:pStyle w:val="Compact"/>
            </w:pPr>
            <w:r>
              <w:t xml:space="preserve">Peso–dollar rate; policy rate</w:t>
            </w:r>
          </w:p>
        </w:tc>
        <w:tc>
          <w:tcPr/>
          <w:p>
            <w:pPr>
              <w:pStyle w:val="Compact"/>
            </w:pPr>
            <w:r>
              <w:t xml:space="preserve">BSP; BIS policy rate database</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w:t>
            </w:r>
          </w:p>
        </w:tc>
        <w:tc>
          <w:tcPr/>
          <w:p>
            <w:pPr>
              <w:pStyle w:val="Compact"/>
            </w:pPr>
            <w:r>
              <w:t xml:space="preserve">Control</w:t>
            </w:r>
          </w:p>
        </w:tc>
      </w:tr>
      <w:tr>
        <w:tc>
          <w:tcPr/>
          <w:p>
            <w:pPr>
              <w:pStyle w:val="Compact"/>
            </w:pPr>
            <w:r>
              <w:t xml:space="preserve">CPI weights, both baskets</w:t>
            </w:r>
          </w:p>
        </w:tc>
        <w:tc>
          <w:tcPr/>
          <w:p>
            <w:pPr>
              <w:pStyle w:val="Compact"/>
            </w:pPr>
            <w:r>
              <w:t xml:space="preserve">PSA, 2018 basket</w:t>
            </w:r>
          </w:p>
        </w:tc>
        <w:tc>
          <w:tcPr/>
          <w:p>
            <w:pPr>
              <w:pStyle w:val="Compact"/>
            </w:pPr>
            <w:r>
              <w:t xml:space="preserve">National and regional</w:t>
            </w:r>
          </w:p>
        </w:tc>
        <w:tc>
          <w:tcPr/>
          <w:p>
            <w:pPr>
              <w:pStyle w:val="Compact"/>
            </w:pPr>
            <w:r>
              <w:t xml:space="preserve">Decompositions, region groups</w:t>
            </w:r>
          </w:p>
        </w:tc>
      </w:tr>
      <w:tr>
        <w:tc>
          <w:tcPr/>
          <w:p>
            <w:pPr>
              <w:pStyle w:val="Compact"/>
            </w:pPr>
            <w:r>
              <w:t xml:space="preserve">Poverty incidence and thresholds</w:t>
            </w:r>
          </w:p>
        </w:tc>
        <w:tc>
          <w:tcPr/>
          <w:p>
            <w:pPr>
              <w:pStyle w:val="Compact"/>
            </w:pPr>
            <w:r>
              <w:t xml:space="preserve">PSA official poverty statistics</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EU harmonised CPI; EU pump prices with and without taxes</w:t>
            </w:r>
          </w:p>
        </w:tc>
        <w:tc>
          <w:tcPr/>
          <w:p>
            <w:pPr>
              <w:pStyle w:val="Compact"/>
            </w:pPr>
            <w:r>
              <w:t xml:space="preserve">Eurostat; European Commission Weekly Oil Bulletin</w:t>
            </w:r>
            <w:r>
              <w:t xml:space="preserve"> </w:t>
            </w:r>
            <w:r>
              <w:t xml:space="preserve">(</w:t>
            </w:r>
            <w:hyperlink w:anchor="ref-ec_wob_2026">
              <w:r>
                <w:rPr>
                  <w:rStyle w:val="Hyperlink"/>
                </w:rPr>
                <w:t xml:space="preserve">European Commission 2026</w:t>
              </w:r>
            </w:hyperlink>
            <w:r>
              <w:t xml:space="preserve">)</w:t>
            </w:r>
          </w:p>
        </w:tc>
        <w:tc>
          <w:tcPr/>
          <w:p>
            <w:pPr>
              <w:pStyle w:val="Compact"/>
            </w:pPr>
            <w:r>
              <w:t xml:space="preserve">2000–2019</w:t>
            </w:r>
          </w:p>
        </w:tc>
        <w:tc>
          <w:tcPr/>
          <w:p>
            <w:pPr>
              <w:pStyle w:val="Compact"/>
            </w:pPr>
            <w:r>
              <w:t xml:space="preserve">Validation</w:t>
            </w:r>
          </w:p>
        </w:tc>
      </w:tr>
    </w:tbl>
    <w:bookmarkEnd w:id="47"/>
    <w:bookmarkStart w:id="48" w:name="data-collection-procedure"/>
    <w:p>
      <w:pPr>
        <w:pStyle w:val="Heading3"/>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48"/>
    <w:bookmarkStart w:id="49" w:name="data-processing"/>
    <w:p>
      <w:pPr>
        <w:pStyle w:val="Heading3"/>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49"/>
    <w:bookmarkEnd w:id="50"/>
    <w:bookmarkStart w:id="54" w:name="methods-by-objective"/>
    <w:p>
      <w:pPr>
        <w:pStyle w:val="Heading2"/>
      </w:pPr>
      <w:r>
        <w:t xml:space="preserve">4.3 Methods by objective</w:t>
      </w:r>
    </w:p>
    <w:bookmarkStart w:id="51" w:name="X17aee22bf335df8505200699c08e8d51a830b07"/>
    <w:p>
      <w:pPr>
        <w:pStyle w:val="Heading3"/>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51"/>
    <w:bookmarkStart w:id="52" w:name="Xae5ebd5f1329c62e6cab65ef817f7c815c5afbc"/>
    <w:p>
      <w:pPr>
        <w:pStyle w:val="Heading3"/>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06"/>
        </w:numPr>
      </w:pPr>
      <w:r>
        <w:rPr>
          <w:b/>
          <w:bCs/>
        </w:rPr>
        <w:t xml:space="preserve">RQ1:</w:t>
      </w:r>
      <w:r>
        <w:t xml:space="preserve"> </w:t>
      </w:r>
      <w:r>
        <w:t xml:space="preserve">national, outcome Δln CPI all income and Δln CPI bottom 30%; Newey–West errors.</w:t>
      </w:r>
    </w:p>
    <w:p>
      <w:pPr>
        <w:pStyle w:val="Compact"/>
        <w:numPr>
          <w:ilvl w:val="0"/>
          <w:numId w:val="1006"/>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06"/>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06"/>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06"/>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52"/>
    <w:bookmarkStart w:id="53" w:name="objective-3-policy-implications"/>
    <w:p>
      <w:pPr>
        <w:pStyle w:val="Heading3"/>
      </w:pPr>
      <w:r>
        <w:t xml:space="preserve">4.3.3 Objective 3: policy implications</w:t>
      </w:r>
    </w:p>
    <w:p>
      <w:pPr>
        <w:pStyle w:val="Compact"/>
        <w:numPr>
          <w:ilvl w:val="0"/>
          <w:numId w:val="1007"/>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07"/>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07"/>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07"/>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07"/>
        </w:numPr>
      </w:pPr>
      <w:r>
        <w:rPr>
          <w:b/>
          <w:bCs/>
        </w:rPr>
        <w:t xml:space="preserve">Assessment of instruments.</w:t>
      </w:r>
      <w:r>
        <w:t xml:space="preserve"> </w:t>
      </w:r>
      <w:r>
        <w:t xml:space="preserve">The results are used to assess the targeting of the 2026 policy instruments.</w:t>
      </w:r>
    </w:p>
    <w:bookmarkEnd w:id="53"/>
    <w:bookmarkEnd w:id="54"/>
    <w:bookmarkStart w:id="55" w:name="validation"/>
    <w:p>
      <w:pPr>
        <w:pStyle w:val="Heading2"/>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w:t>
      </w:r>
      <w:hyperlink w:anchor="ref-kpodar_liu_2022">
        <w:r>
          <w:rPr>
            <w:rStyle w:val="Hyperlink"/>
          </w:rPr>
          <w:t xml:space="preserve">2022</w:t>
        </w:r>
      </w:hyperlink>
      <w:r>
        <w:t xml:space="preserve">)</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55"/>
    <w:bookmarkStart w:id="56" w:name="software-and-reproducibility"/>
    <w:p>
      <w:pPr>
        <w:pStyle w:val="Heading2"/>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56"/>
    <w:bookmarkStart w:id="57" w:name="ethical-considerations"/>
    <w:p>
      <w:pPr>
        <w:pStyle w:val="Heading2"/>
      </w:pPr>
      <w:r>
        <w:t xml:space="preserve">4.6 Ethical considerations</w:t>
      </w:r>
    </w:p>
    <w:p>
      <w:pPr>
        <w:pStyle w:val="FirstParagraph"/>
      </w:pPr>
      <w:r>
        <w:t xml:space="preserve">The study uses published aggregate statistics; no individual or household data were collected. AI tools were used in data processing, coding and drafting; [the author to complete a disclosure statement and confirm review of and responsibility for all content].</w:t>
      </w:r>
    </w:p>
    <w:bookmarkEnd w:id="57"/>
    <w:bookmarkEnd w:id="58"/>
    <w:bookmarkStart w:id="106" w:name="chapter-5.-results-and-discussion"/>
    <w:p>
      <w:pPr>
        <w:pStyle w:val="Heading1"/>
      </w:pPr>
      <w:r>
        <w:t xml:space="preserve">Chapter 5. Results and Discussion</w:t>
      </w:r>
    </w:p>
    <w:bookmarkStart w:id="71" w:name="X8cdd37dbaed98c4aa8b28c068e1a2b5bec7d811"/>
    <w:p>
      <w:pPr>
        <w:pStyle w:val="Heading2"/>
      </w:pPr>
      <w:r>
        <w:t xml:space="preserve">5.1 Objective 1: descriptive statistics and trend analysis</w:t>
      </w:r>
    </w:p>
    <w:bookmarkStart w:id="59" w:name="summary-statistics"/>
    <w:p>
      <w:pPr>
        <w:pStyle w:val="Heading3"/>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 (monthly, pp)</w:t>
            </w:r>
          </w:p>
        </w:tc>
        <w:tc>
          <w:tcPr/>
          <w:p>
            <w:pPr>
              <w:pStyle w:val="Compact"/>
            </w:pPr>
            <w:r>
              <w:t xml:space="preserve">Annualised 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5.39</w:t>
            </w:r>
          </w:p>
        </w:tc>
        <w:tc>
          <w:tcPr/>
          <w:p>
            <w:pPr>
              <w:pStyle w:val="Compact"/>
            </w:pPr>
            <w:r>
              <w:t xml:space="preserve">4.367</w:t>
            </w:r>
          </w:p>
        </w:tc>
        <w:tc>
          <w:tcPr/>
          <w:p>
            <w:pPr>
              <w:pStyle w:val="Compact"/>
            </w:pPr>
            <w:r>
              <w:t xml:space="preserve">−18.10</w:t>
            </w:r>
          </w:p>
        </w:tc>
        <w:tc>
          <w:tcPr/>
          <w:p>
            <w:pPr>
              <w:pStyle w:val="Compact"/>
            </w:pPr>
            <w:r>
              <w:t xml:space="preserve">31.79</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3.77</w:t>
            </w:r>
          </w:p>
        </w:tc>
        <w:tc>
          <w:tcPr/>
          <w:p>
            <w:pPr>
              <w:pStyle w:val="Compact"/>
            </w:pPr>
            <w:r>
              <w:t xml:space="preserve">0.386</w:t>
            </w:r>
          </w:p>
        </w:tc>
        <w:tc>
          <w:tcPr/>
          <w:p>
            <w:pPr>
              <w:pStyle w:val="Compact"/>
            </w:pPr>
            <w:r>
              <w:t xml:space="preserve">−0.59</w:t>
            </w:r>
          </w:p>
        </w:tc>
        <w:tc>
          <w:tcPr/>
          <w:p>
            <w:pPr>
              <w:pStyle w:val="Compact"/>
            </w:pPr>
            <w:r>
              <w:t xml:space="preserve">2.60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4.33</w:t>
            </w:r>
          </w:p>
        </w:tc>
        <w:tc>
          <w:tcPr/>
          <w:p>
            <w:pPr>
              <w:pStyle w:val="Compact"/>
            </w:pPr>
            <w:r>
              <w:t xml:space="preserve">0.565</w:t>
            </w:r>
          </w:p>
        </w:tc>
        <w:tc>
          <w:tcPr/>
          <w:p>
            <w:pPr>
              <w:pStyle w:val="Compact"/>
            </w:pPr>
            <w:r>
              <w:t xml:space="preserve">−0.88</w:t>
            </w:r>
          </w:p>
        </w:tc>
        <w:tc>
          <w:tcPr/>
          <w:p>
            <w:pPr>
              <w:pStyle w:val="Compact"/>
            </w:pPr>
            <w:r>
              <w:t xml:space="preserve">3.89</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−0.56</w:t>
            </w:r>
          </w:p>
        </w:tc>
        <w:tc>
          <w:tcPr/>
          <w:p>
            <w:pPr>
              <w:pStyle w:val="Compact"/>
            </w:pPr>
            <w:r>
              <w:t xml:space="preserve">0.303</w:t>
            </w:r>
          </w:p>
        </w:tc>
        <w:tc>
          <w:tcPr/>
          <w:p>
            <w:pPr>
              <w:pStyle w:val="Compact"/>
            </w:pPr>
            <w:r>
              <w:t xml:space="preserve">−2.27</w:t>
            </w:r>
          </w:p>
        </w:tc>
        <w:tc>
          <w:tcPr/>
          <w:p>
            <w:pPr>
              <w:pStyle w:val="Compact"/>
            </w:pPr>
            <w:r>
              <w:t xml:space="preserve">0.71</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7.25</w:t>
            </w:r>
          </w:p>
        </w:tc>
        <w:tc>
          <w:tcPr/>
          <w:p>
            <w:pPr>
              <w:pStyle w:val="Compact"/>
            </w:pPr>
            <w:r>
              <w:t xml:space="preserve">2.862</w:t>
            </w:r>
          </w:p>
        </w:tc>
        <w:tc>
          <w:tcPr/>
          <w:p>
            <w:pPr>
              <w:pStyle w:val="Compact"/>
            </w:pPr>
            <w:r>
              <w:t xml:space="preserve">−12.49</w:t>
            </w:r>
          </w:p>
        </w:tc>
        <w:tc>
          <w:tcPr/>
          <w:p>
            <w:pPr>
              <w:pStyle w:val="Compact"/>
            </w:pPr>
            <w:r>
              <w:t xml:space="preserve">8.66</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4.22</w:t>
            </w:r>
          </w:p>
        </w:tc>
        <w:tc>
          <w:tcPr/>
          <w:p>
            <w:pPr>
              <w:pStyle w:val="Compact"/>
            </w:pPr>
            <w:r>
              <w:t xml:space="preserve">0.350</w:t>
            </w:r>
          </w:p>
        </w:tc>
        <w:tc>
          <w:tcPr/>
          <w:p>
            <w:pPr>
              <w:pStyle w:val="Compact"/>
            </w:pPr>
            <w:r>
              <w:t xml:space="preserve">−0.44</w:t>
            </w:r>
          </w:p>
        </w:tc>
        <w:tc>
          <w:tcPr/>
          <w:p>
            <w:pPr>
              <w:pStyle w:val="Compact"/>
            </w:pPr>
            <w:r>
              <w:t xml:space="preserve">1.61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5.07</w:t>
            </w:r>
          </w:p>
        </w:tc>
        <w:tc>
          <w:tcPr/>
          <w:p>
            <w:pPr>
              <w:pStyle w:val="Compact"/>
            </w:pPr>
            <w:r>
              <w:t xml:space="preserve">0.617</w:t>
            </w:r>
          </w:p>
        </w:tc>
        <w:tc>
          <w:tcPr/>
          <w:p>
            <w:pPr>
              <w:pStyle w:val="Compact"/>
            </w:pPr>
            <w:r>
              <w:t xml:space="preserve">−0.88</w:t>
            </w:r>
          </w:p>
        </w:tc>
        <w:tc>
          <w:tcPr/>
          <w:p>
            <w:pPr>
              <w:pStyle w:val="Compact"/>
            </w:pPr>
            <w:r>
              <w:t xml:space="preserve">3.89</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−0.85</w:t>
            </w:r>
          </w:p>
        </w:tc>
        <w:tc>
          <w:tcPr/>
          <w:p>
            <w:pPr>
              <w:pStyle w:val="Compact"/>
            </w:pPr>
            <w:r>
              <w:t xml:space="preserve">0.379</w:t>
            </w:r>
          </w:p>
        </w:tc>
        <w:tc>
          <w:tcPr/>
          <w:p>
            <w:pPr>
              <w:pStyle w:val="Compact"/>
            </w:pPr>
            <w:r>
              <w:t xml:space="preserve">−2.27</w:t>
            </w:r>
          </w:p>
        </w:tc>
        <w:tc>
          <w:tcPr/>
          <w:p>
            <w:pPr>
              <w:pStyle w:val="Compact"/>
            </w:pPr>
            <w:r>
              <w:t xml:space="preserve">0.71</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−0.34</w:t>
            </w:r>
          </w:p>
        </w:tc>
        <w:tc>
          <w:tcPr/>
          <w:p>
            <w:pPr>
              <w:pStyle w:val="Compact"/>
            </w:pPr>
            <w:r>
              <w:t xml:space="preserve">3.716</w:t>
            </w:r>
          </w:p>
        </w:tc>
        <w:tc>
          <w:tcPr/>
          <w:p>
            <w:pPr>
              <w:pStyle w:val="Compact"/>
            </w:pPr>
            <w:r>
              <w:t xml:space="preserve">−12.59</w:t>
            </w:r>
          </w:p>
        </w:tc>
        <w:tc>
          <w:tcPr/>
          <w:p>
            <w:pPr>
              <w:pStyle w:val="Compact"/>
            </w:pPr>
            <w:r>
              <w:t xml:space="preserve">6.48</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2.68</w:t>
            </w:r>
          </w:p>
        </w:tc>
        <w:tc>
          <w:tcPr/>
          <w:p>
            <w:pPr>
              <w:pStyle w:val="Compact"/>
            </w:pPr>
            <w:r>
              <w:t xml:space="preserve">0.279</w:t>
            </w:r>
          </w:p>
        </w:tc>
        <w:tc>
          <w:tcPr/>
          <w:p>
            <w:pPr>
              <w:pStyle w:val="Compact"/>
            </w:pPr>
            <w:r>
              <w:t xml:space="preserve">−0.59</w:t>
            </w:r>
          </w:p>
        </w:tc>
        <w:tc>
          <w:tcPr/>
          <w:p>
            <w:pPr>
              <w:pStyle w:val="Compact"/>
            </w:pPr>
            <w:r>
              <w:t xml:space="preserve">0.98</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2.86</w:t>
            </w:r>
          </w:p>
        </w:tc>
        <w:tc>
          <w:tcPr/>
          <w:p>
            <w:pPr>
              <w:pStyle w:val="Compact"/>
            </w:pPr>
            <w:r>
              <w:t xml:space="preserve">0.354</w:t>
            </w:r>
          </w:p>
        </w:tc>
        <w:tc>
          <w:tcPr/>
          <w:p>
            <w:pPr>
              <w:pStyle w:val="Compact"/>
            </w:pPr>
            <w:r>
              <w:t xml:space="preserve">−0.78</w:t>
            </w:r>
          </w:p>
        </w:tc>
        <w:tc>
          <w:tcPr/>
          <w:p>
            <w:pPr>
              <w:pStyle w:val="Compact"/>
            </w:pPr>
            <w:r>
              <w:t xml:space="preserve">1.57</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−0.18</w:t>
            </w:r>
          </w:p>
        </w:tc>
        <w:tc>
          <w:tcPr/>
          <w:p>
            <w:pPr>
              <w:pStyle w:val="Compact"/>
            </w:pPr>
            <w:r>
              <w:t xml:space="preserve">0.171</w:t>
            </w:r>
          </w:p>
        </w:tc>
        <w:tc>
          <w:tcPr/>
          <w:p>
            <w:pPr>
              <w:pStyle w:val="Compact"/>
            </w:pPr>
            <w:r>
              <w:t xml:space="preserve">−0.58</w:t>
            </w:r>
          </w:p>
        </w:tc>
        <w:tc>
          <w:tcPr/>
          <w:p>
            <w:pPr>
              <w:pStyle w:val="Compact"/>
            </w:pPr>
            <w:r>
              <w:t xml:space="preserve">0.30</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3.52</w:t>
            </w:r>
          </w:p>
        </w:tc>
        <w:tc>
          <w:tcPr/>
          <w:p>
            <w:pPr>
              <w:pStyle w:val="Compact"/>
            </w:pPr>
            <w:r>
              <w:t xml:space="preserve">4.699</w:t>
            </w:r>
          </w:p>
        </w:tc>
        <w:tc>
          <w:tcPr/>
          <w:p>
            <w:pPr>
              <w:pStyle w:val="Compact"/>
            </w:pPr>
            <w:r>
              <w:t xml:space="preserve">−18.10</w:t>
            </w:r>
          </w:p>
        </w:tc>
        <w:tc>
          <w:tcPr/>
          <w:p>
            <w:pPr>
              <w:pStyle w:val="Compact"/>
            </w:pPr>
            <w:r>
              <w:t xml:space="preserve">12.00</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3.75</w:t>
            </w:r>
          </w:p>
        </w:tc>
        <w:tc>
          <w:tcPr/>
          <w:p>
            <w:pPr>
              <w:pStyle w:val="Compact"/>
            </w:pPr>
            <w:r>
              <w:t xml:space="preserve">0.432</w:t>
            </w:r>
          </w:p>
        </w:tc>
        <w:tc>
          <w:tcPr/>
          <w:p>
            <w:pPr>
              <w:pStyle w:val="Compact"/>
            </w:pPr>
            <w:r>
              <w:t xml:space="preserve">−0.39</w:t>
            </w:r>
          </w:p>
        </w:tc>
        <w:tc>
          <w:tcPr/>
          <w:p>
            <w:pPr>
              <w:pStyle w:val="Compact"/>
            </w:pPr>
            <w:r>
              <w:t xml:space="preserve">1.66</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4.06</w:t>
            </w:r>
          </w:p>
        </w:tc>
        <w:tc>
          <w:tcPr/>
          <w:p>
            <w:pPr>
              <w:pStyle w:val="Compact"/>
            </w:pPr>
            <w:r>
              <w:t xml:space="preserve">0.546</w:t>
            </w:r>
          </w:p>
        </w:tc>
        <w:tc>
          <w:tcPr/>
          <w:p>
            <w:pPr>
              <w:pStyle w:val="Compact"/>
            </w:pPr>
            <w:r>
              <w:t xml:space="preserve">−0.85</w:t>
            </w:r>
          </w:p>
        </w:tc>
        <w:tc>
          <w:tcPr/>
          <w:p>
            <w:pPr>
              <w:pStyle w:val="Compact"/>
            </w:pPr>
            <w:r>
              <w:t xml:space="preserve">1.97</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−0.31</w:t>
            </w:r>
          </w:p>
        </w:tc>
        <w:tc>
          <w:tcPr/>
          <w:p>
            <w:pPr>
              <w:pStyle w:val="Compact"/>
            </w:pPr>
            <w:r>
              <w:t xml:space="preserve">0.245</w:t>
            </w:r>
          </w:p>
        </w:tc>
        <w:tc>
          <w:tcPr/>
          <w:p>
            <w:pPr>
              <w:pStyle w:val="Compact"/>
            </w:pPr>
            <w:r>
              <w:t xml:space="preserve">−0.76</w:t>
            </w:r>
          </w:p>
        </w:tc>
        <w:tc>
          <w:tcPr/>
          <w:p>
            <w:pPr>
              <w:pStyle w:val="Compact"/>
            </w:pPr>
            <w:r>
              <w:t xml:space="preserve">0.55</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48.75</w:t>
            </w:r>
          </w:p>
        </w:tc>
        <w:tc>
          <w:tcPr/>
          <w:p>
            <w:pPr>
              <w:pStyle w:val="Compact"/>
            </w:pPr>
            <w:r>
              <w:t xml:space="preserve">16.215</w:t>
            </w:r>
          </w:p>
        </w:tc>
        <w:tc>
          <w:tcPr/>
          <w:p>
            <w:pPr>
              <w:pStyle w:val="Compact"/>
            </w:pPr>
            <w:r>
              <w:t xml:space="preserve">−17.71</w:t>
            </w:r>
          </w:p>
        </w:tc>
        <w:tc>
          <w:tcPr/>
          <w:p>
            <w:pPr>
              <w:pStyle w:val="Compact"/>
            </w:pPr>
            <w:r>
              <w:t xml:space="preserve">31.79</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7.21</w:t>
            </w:r>
          </w:p>
        </w:tc>
        <w:tc>
          <w:tcPr/>
          <w:p>
            <w:pPr>
              <w:pStyle w:val="Compact"/>
            </w:pPr>
            <w:r>
              <w:t xml:space="preserve">0.999</w:t>
            </w:r>
          </w:p>
        </w:tc>
        <w:tc>
          <w:tcPr/>
          <w:p>
            <w:pPr>
              <w:pStyle w:val="Compact"/>
            </w:pPr>
            <w:r>
              <w:t xml:space="preserve">−0.51</w:t>
            </w:r>
          </w:p>
        </w:tc>
        <w:tc>
          <w:tcPr/>
          <w:p>
            <w:pPr>
              <w:pStyle w:val="Compact"/>
            </w:pPr>
            <w:r>
              <w:t xml:space="preserve">2.60</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8.97</w:t>
            </w:r>
          </w:p>
        </w:tc>
        <w:tc>
          <w:tcPr/>
          <w:p>
            <w:pPr>
              <w:pStyle w:val="Compact"/>
            </w:pPr>
            <w:r>
              <w:t xml:space="preserve">1.129</w:t>
            </w:r>
          </w:p>
        </w:tc>
        <w:tc>
          <w:tcPr/>
          <w:p>
            <w:pPr>
              <w:pStyle w:val="Compact"/>
            </w:pPr>
            <w:r>
              <w:t xml:space="preserve">−0.43</w:t>
            </w:r>
          </w:p>
        </w:tc>
        <w:tc>
          <w:tcPr/>
          <w:p>
            <w:pPr>
              <w:pStyle w:val="Compact"/>
            </w:pPr>
            <w:r>
              <w:t xml:space="preserve">3.13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−1.76</w:t>
            </w:r>
          </w:p>
        </w:tc>
        <w:tc>
          <w:tcPr/>
          <w:p>
            <w:pPr>
              <w:pStyle w:val="Compact"/>
            </w:pPr>
            <w:r>
              <w:t xml:space="preserve">0.300</w:t>
            </w:r>
          </w:p>
        </w:tc>
        <w:tc>
          <w:tcPr/>
          <w:p>
            <w:pPr>
              <w:pStyle w:val="Compact"/>
            </w:pPr>
            <w:r>
              <w:t xml:space="preserve">−0.53</w:t>
            </w:r>
          </w:p>
        </w:tc>
        <w:tc>
          <w:tcPr/>
          <w:p>
            <w:pPr>
              <w:pStyle w:val="Compact"/>
            </w:pPr>
            <w:r>
              <w:t xml:space="preserve">0.23</w:t>
            </w:r>
          </w:p>
        </w:tc>
      </w:tr>
    </w:tbl>
    <w:bookmarkEnd w:id="59"/>
    <w:bookmarkStart w:id="63" w:name="trends-in-inflation-and-fuel-prices"/>
    <w:p>
      <w:pPr>
        <w:pStyle w:val="Heading3"/>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646420" cy="5079101"/>
            <wp:effectExtent b="0" l="0" r="0" t="0"/>
            <wp:docPr descr="Figure 2. Inflation of all income and bottom-30% households, the gap between them, and the retail fuel index, January 2001–August 2026 (year-on-year)." title="" id="61" name="Picture"/>
            <a:graphic>
              <a:graphicData uri="http://schemas.openxmlformats.org/drawingml/2006/picture">
                <pic:pic>
                  <pic:nvPicPr>
                    <pic:cNvPr descr="../output/figures/figd1_trends.png" id="62" name="Picture"/>
                    <pic:cNvPicPr>
                      <a:picLocks noChangeArrowheads="1" noChangeAspect="1"/>
                    </pic:cNvPicPr>
                  </pic:nvPicPr>
                  <pic:blipFill>
                    <a:blip r:embed="rId60"/>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Inflation, all income (%)</w:t>
            </w:r>
          </w:p>
        </w:tc>
        <w:tc>
          <w:tcPr/>
          <w:p>
            <w:pPr>
              <w:pStyle w:val="Compact"/>
            </w:pPr>
            <w:r>
              <w:t xml:space="preserve">Inflation, bottom 30% (%)</w:t>
            </w:r>
          </w:p>
        </w:tc>
        <w:tc>
          <w:tcPr/>
          <w:p>
            <w:pPr>
              <w:pStyle w:val="Compact"/>
            </w:pPr>
            <w:r>
              <w:t xml:space="preserve">Gap, b30 − all (pp)</w:t>
            </w:r>
          </w:p>
        </w:tc>
        <w:tc>
          <w:tcPr/>
          <w:p>
            <w:pPr>
              <w:pStyle w:val="Compact"/>
            </w:pPr>
            <w:r>
              <w:t xml:space="preserve">Fuel index (% y/y)</w:t>
            </w:r>
          </w:p>
        </w:tc>
      </w:tr>
      <w:tr>
        <w:tc>
          <w:tcPr/>
          <w:p>
            <w:pPr>
              <w:pStyle w:val="Compact"/>
            </w:pPr>
            <w:r>
              <w:t xml:space="preserve">2001</w:t>
            </w:r>
          </w:p>
        </w:tc>
        <w:tc>
          <w:tcPr/>
          <w:p>
            <w:pPr>
              <w:pStyle w:val="Compact"/>
            </w:pPr>
            <w:r>
              <w:t xml:space="preserve">5.41</w:t>
            </w:r>
          </w:p>
        </w:tc>
        <w:tc>
          <w:tcPr/>
          <w:p>
            <w:pPr>
              <w:pStyle w:val="Compact"/>
            </w:pPr>
            <w:r>
              <w:t xml:space="preserve">5.39</w:t>
            </w:r>
          </w:p>
        </w:tc>
        <w:tc>
          <w:tcPr/>
          <w:p>
            <w:pPr>
              <w:pStyle w:val="Compact"/>
            </w:pPr>
            <w:r>
              <w:t xml:space="preserve">−0.02</w:t>
            </w:r>
          </w:p>
        </w:tc>
        <w:tc>
          <w:tcPr/>
          <w:p>
            <w:pPr>
              <w:pStyle w:val="Compact"/>
            </w:pPr>
            <w:r>
              <w:t xml:space="preserve">11.8</w:t>
            </w:r>
          </w:p>
        </w:tc>
      </w:tr>
      <w:tr>
        <w:tc>
          <w:tcPr/>
          <w:p>
            <w:pPr>
              <w:pStyle w:val="Compact"/>
            </w:pPr>
            <w:r>
              <w:t xml:space="preserve">2002</w:t>
            </w:r>
          </w:p>
        </w:tc>
        <w:tc>
          <w:tcPr/>
          <w:p>
            <w:pPr>
              <w:pStyle w:val="Compact"/>
            </w:pPr>
            <w:r>
              <w:t xml:space="preserve">2.73</w:t>
            </w:r>
          </w:p>
        </w:tc>
        <w:tc>
          <w:tcPr/>
          <w:p>
            <w:pPr>
              <w:pStyle w:val="Compact"/>
            </w:pPr>
            <w:r>
              <w:t xml:space="preserve">2.98</w:t>
            </w:r>
          </w:p>
        </w:tc>
        <w:tc>
          <w:tcPr/>
          <w:p>
            <w:pPr>
              <w:pStyle w:val="Compact"/>
            </w:pPr>
            <w:r>
              <w:t xml:space="preserve">+0.25</w:t>
            </w:r>
          </w:p>
        </w:tc>
        <w:tc>
          <w:tcPr/>
          <w:p>
            <w:pPr>
              <w:pStyle w:val="Compact"/>
            </w:pPr>
            <w:r>
              <w:t xml:space="preserve">0.1</w:t>
            </w:r>
          </w:p>
        </w:tc>
      </w:tr>
      <w:tr>
        <w:tc>
          <w:tcPr/>
          <w:p>
            <w:pPr>
              <w:pStyle w:val="Compact"/>
            </w:pPr>
            <w:r>
              <w:t xml:space="preserve">2003</w:t>
            </w:r>
          </w:p>
        </w:tc>
        <w:tc>
          <w:tcPr/>
          <w:p>
            <w:pPr>
              <w:pStyle w:val="Compact"/>
            </w:pPr>
            <w:r>
              <w:t xml:space="preserve">2.25</w:t>
            </w:r>
          </w:p>
        </w:tc>
        <w:tc>
          <w:tcPr/>
          <w:p>
            <w:pPr>
              <w:pStyle w:val="Compact"/>
            </w:pPr>
            <w:r>
              <w:t xml:space="preserve">2.40</w:t>
            </w:r>
          </w:p>
        </w:tc>
        <w:tc>
          <w:tcPr/>
          <w:p>
            <w:pPr>
              <w:pStyle w:val="Compact"/>
            </w:pPr>
            <w:r>
              <w:t xml:space="preserve">+0.15</w:t>
            </w:r>
          </w:p>
        </w:tc>
        <w:tc>
          <w:tcPr/>
          <w:p>
            <w:pPr>
              <w:pStyle w:val="Compact"/>
            </w:pPr>
            <w:r>
              <w:t xml:space="preserve">10.9</w:t>
            </w:r>
          </w:p>
        </w:tc>
      </w:tr>
      <w:tr>
        <w:tc>
          <w:tcPr/>
          <w:p>
            <w:pPr>
              <w:pStyle w:val="Compact"/>
            </w:pPr>
            <w:r>
              <w:t xml:space="preserve">2004</w:t>
            </w:r>
          </w:p>
        </w:tc>
        <w:tc>
          <w:tcPr/>
          <w:p>
            <w:pPr>
              <w:pStyle w:val="Compact"/>
            </w:pPr>
            <w:r>
              <w:t xml:space="preserve">4.80</w:t>
            </w:r>
          </w:p>
        </w:tc>
        <w:tc>
          <w:tcPr/>
          <w:p>
            <w:pPr>
              <w:pStyle w:val="Compact"/>
            </w:pPr>
            <w:r>
              <w:t xml:space="preserve">5.93</w:t>
            </w:r>
          </w:p>
        </w:tc>
        <w:tc>
          <w:tcPr/>
          <w:p>
            <w:pPr>
              <w:pStyle w:val="Compact"/>
            </w:pPr>
            <w:r>
              <w:t xml:space="preserve">+1.13</w:t>
            </w:r>
          </w:p>
        </w:tc>
        <w:tc>
          <w:tcPr/>
          <w:p>
            <w:pPr>
              <w:pStyle w:val="Compact"/>
            </w:pPr>
            <w:r>
              <w:t xml:space="preserve">15.8</w:t>
            </w:r>
          </w:p>
        </w:tc>
      </w:tr>
      <w:tr>
        <w:tc>
          <w:tcPr/>
          <w:p>
            <w:pPr>
              <w:pStyle w:val="Compact"/>
            </w:pPr>
            <w:r>
              <w:t xml:space="preserve">2005</w:t>
            </w:r>
          </w:p>
        </w:tc>
        <w:tc>
          <w:tcPr/>
          <w:p>
            <w:pPr>
              <w:pStyle w:val="Compact"/>
            </w:pPr>
            <w:r>
              <w:t xml:space="preserve">6.61</w:t>
            </w:r>
          </w:p>
        </w:tc>
        <w:tc>
          <w:tcPr/>
          <w:p>
            <w:pPr>
              <w:pStyle w:val="Compact"/>
            </w:pPr>
            <w:r>
              <w:t xml:space="preserve">7.91</w:t>
            </w:r>
          </w:p>
        </w:tc>
        <w:tc>
          <w:tcPr/>
          <w:p>
            <w:pPr>
              <w:pStyle w:val="Compact"/>
            </w:pPr>
            <w:r>
              <w:t xml:space="preserve">+1.30</w:t>
            </w:r>
          </w:p>
        </w:tc>
        <w:tc>
          <w:tcPr/>
          <w:p>
            <w:pPr>
              <w:pStyle w:val="Compact"/>
            </w:pPr>
            <w:r>
              <w:t xml:space="preserve">23.4</w:t>
            </w:r>
          </w:p>
        </w:tc>
      </w:tr>
      <w:tr>
        <w:tc>
          <w:tcPr/>
          <w:p>
            <w:pPr>
              <w:pStyle w:val="Compact"/>
            </w:pPr>
            <w:r>
              <w:t xml:space="preserve">2006</w:t>
            </w:r>
          </w:p>
        </w:tc>
        <w:tc>
          <w:tcPr/>
          <w:p>
            <w:pPr>
              <w:pStyle w:val="Compact"/>
            </w:pPr>
            <w:r>
              <w:t xml:space="preserve">5.48</w:t>
            </w:r>
          </w:p>
        </w:tc>
        <w:tc>
          <w:tcPr/>
          <w:p>
            <w:pPr>
              <w:pStyle w:val="Compact"/>
            </w:pPr>
            <w:r>
              <w:t xml:space="preserve">6.62</w:t>
            </w:r>
          </w:p>
        </w:tc>
        <w:tc>
          <w:tcPr/>
          <w:p>
            <w:pPr>
              <w:pStyle w:val="Compact"/>
            </w:pPr>
            <w:r>
              <w:t xml:space="preserve">+1.14</w:t>
            </w:r>
          </w:p>
        </w:tc>
        <w:tc>
          <w:tcPr/>
          <w:p>
            <w:pPr>
              <w:pStyle w:val="Compact"/>
            </w:pPr>
            <w:r>
              <w:t xml:space="preserve">19.0</w:t>
            </w:r>
          </w:p>
        </w:tc>
      </w:tr>
      <w:tr>
        <w:tc>
          <w:tcPr/>
          <w:p>
            <w:pPr>
              <w:pStyle w:val="Compact"/>
            </w:pPr>
            <w:r>
              <w:t xml:space="preserve">2007</w:t>
            </w:r>
          </w:p>
        </w:tc>
        <w:tc>
          <w:tcPr/>
          <w:p>
            <w:pPr>
              <w:pStyle w:val="Compact"/>
            </w:pPr>
            <w:r>
              <w:t xml:space="preserve">2.94</w:t>
            </w:r>
          </w:p>
        </w:tc>
        <w:tc>
          <w:tcPr/>
          <w:p>
            <w:pPr>
              <w:pStyle w:val="Compact"/>
            </w:pPr>
            <w:r>
              <w:t xml:space="preserve">3.26</w:t>
            </w:r>
          </w:p>
        </w:tc>
        <w:tc>
          <w:tcPr/>
          <w:p>
            <w:pPr>
              <w:pStyle w:val="Compact"/>
            </w:pPr>
            <w:r>
              <w:t xml:space="preserve">+0.32</w:t>
            </w:r>
          </w:p>
        </w:tc>
        <w:tc>
          <w:tcPr/>
          <w:p>
            <w:pPr>
              <w:pStyle w:val="Compact"/>
            </w:pPr>
            <w:r>
              <w:t xml:space="preserve">1.4</w:t>
            </w:r>
          </w:p>
        </w:tc>
      </w:tr>
      <w:tr>
        <w:tc>
          <w:tcPr/>
          <w:p>
            <w:pPr>
              <w:pStyle w:val="Compact"/>
            </w:pPr>
            <w:r>
              <w:t xml:space="preserve">2008</w:t>
            </w:r>
          </w:p>
        </w:tc>
        <w:tc>
          <w:tcPr/>
          <w:p>
            <w:pPr>
              <w:pStyle w:val="Compact"/>
            </w:pPr>
            <w:r>
              <w:t xml:space="preserve">8.17</w:t>
            </w:r>
          </w:p>
        </w:tc>
        <w:tc>
          <w:tcPr/>
          <w:p>
            <w:pPr>
              <w:pStyle w:val="Compact"/>
            </w:pPr>
            <w:r>
              <w:t xml:space="preserve">13.91</w:t>
            </w:r>
          </w:p>
        </w:tc>
        <w:tc>
          <w:tcPr/>
          <w:p>
            <w:pPr>
              <w:pStyle w:val="Compact"/>
            </w:pPr>
            <w:r>
              <w:t xml:space="preserve">+5.74</w:t>
            </w:r>
          </w:p>
        </w:tc>
        <w:tc>
          <w:tcPr/>
          <w:p>
            <w:pPr>
              <w:pStyle w:val="Compact"/>
            </w:pPr>
            <w:r>
              <w:t xml:space="preserve">20.9</w:t>
            </w:r>
          </w:p>
        </w:tc>
      </w:tr>
      <w:tr>
        <w:tc>
          <w:tcPr/>
          <w:p>
            <w:pPr>
              <w:pStyle w:val="Compact"/>
            </w:pPr>
            <w:r>
              <w:t xml:space="preserve">2009</w:t>
            </w:r>
          </w:p>
        </w:tc>
        <w:tc>
          <w:tcPr/>
          <w:p>
            <w:pPr>
              <w:pStyle w:val="Compact"/>
            </w:pPr>
            <w:r>
              <w:t xml:space="preserve">4.26</w:t>
            </w:r>
          </w:p>
        </w:tc>
        <w:tc>
          <w:tcPr/>
          <w:p>
            <w:pPr>
              <w:pStyle w:val="Compact"/>
            </w:pPr>
            <w:r>
              <w:t xml:space="preserve">5.38</w:t>
            </w:r>
          </w:p>
        </w:tc>
        <w:tc>
          <w:tcPr/>
          <w:p>
            <w:pPr>
              <w:pStyle w:val="Compact"/>
            </w:pPr>
            <w:r>
              <w:t xml:space="preserve">+1.12</w:t>
            </w:r>
          </w:p>
        </w:tc>
        <w:tc>
          <w:tcPr/>
          <w:p>
            <w:pPr>
              <w:pStyle w:val="Compact"/>
            </w:pPr>
            <w:r>
              <w:t xml:space="preserve">−15.9</w:t>
            </w:r>
          </w:p>
        </w:tc>
      </w:tr>
      <w:tr>
        <w:tc>
          <w:tcPr/>
          <w:p>
            <w:pPr>
              <w:pStyle w:val="Compact"/>
            </w:pPr>
            <w:r>
              <w:t xml:space="preserve">2010</w:t>
            </w:r>
          </w:p>
        </w:tc>
        <w:tc>
          <w:tcPr/>
          <w:p>
            <w:pPr>
              <w:pStyle w:val="Compact"/>
            </w:pPr>
            <w:r>
              <w:t xml:space="preserve">3.79</w:t>
            </w:r>
          </w:p>
        </w:tc>
        <w:tc>
          <w:tcPr/>
          <w:p>
            <w:pPr>
              <w:pStyle w:val="Compact"/>
            </w:pPr>
            <w:r>
              <w:t xml:space="preserve">3.61</w:t>
            </w:r>
          </w:p>
        </w:tc>
        <w:tc>
          <w:tcPr/>
          <w:p>
            <w:pPr>
              <w:pStyle w:val="Compact"/>
            </w:pPr>
            <w:r>
              <w:t xml:space="preserve">−0.17</w:t>
            </w:r>
          </w:p>
        </w:tc>
        <w:tc>
          <w:tcPr/>
          <w:p>
            <w:pPr>
              <w:pStyle w:val="Compact"/>
            </w:pPr>
            <w:r>
              <w:t xml:space="preserve">12.9</w:t>
            </w:r>
          </w:p>
        </w:tc>
      </w:tr>
      <w:tr>
        <w:tc>
          <w:tcPr/>
          <w:p>
            <w:pPr>
              <w:pStyle w:val="Compact"/>
            </w:pPr>
            <w:r>
              <w:t xml:space="preserve">2011</w:t>
            </w:r>
          </w:p>
        </w:tc>
        <w:tc>
          <w:tcPr/>
          <w:p>
            <w:pPr>
              <w:pStyle w:val="Compact"/>
            </w:pPr>
            <w:r>
              <w:t xml:space="preserve">4.72</w:t>
            </w:r>
          </w:p>
        </w:tc>
        <w:tc>
          <w:tcPr/>
          <w:p>
            <w:pPr>
              <w:pStyle w:val="Compact"/>
            </w:pPr>
            <w:r>
              <w:t xml:space="preserve">5.13</w:t>
            </w:r>
          </w:p>
        </w:tc>
        <w:tc>
          <w:tcPr/>
          <w:p>
            <w:pPr>
              <w:pStyle w:val="Compact"/>
            </w:pPr>
            <w:r>
              <w:t xml:space="preserve">+0.41</w:t>
            </w:r>
          </w:p>
        </w:tc>
        <w:tc>
          <w:tcPr/>
          <w:p>
            <w:pPr>
              <w:pStyle w:val="Compact"/>
            </w:pPr>
            <w:r>
              <w:t xml:space="preserve">11.9</w:t>
            </w:r>
          </w:p>
        </w:tc>
      </w:tr>
      <w:tr>
        <w:tc>
          <w:tcPr/>
          <w:p>
            <w:pPr>
              <w:pStyle w:val="Compact"/>
            </w:pPr>
            <w:r>
              <w:t xml:space="preserve">2012</w:t>
            </w:r>
          </w:p>
        </w:tc>
        <w:tc>
          <w:tcPr/>
          <w:p>
            <w:pPr>
              <w:pStyle w:val="Compact"/>
            </w:pPr>
            <w:r>
              <w:t xml:space="preserve">3.17</w:t>
            </w:r>
          </w:p>
        </w:tc>
        <w:tc>
          <w:tcPr/>
          <w:p>
            <w:pPr>
              <w:pStyle w:val="Compact"/>
            </w:pPr>
            <w:r>
              <w:t xml:space="preserve">2.82</w:t>
            </w:r>
          </w:p>
        </w:tc>
        <w:tc>
          <w:tcPr/>
          <w:p>
            <w:pPr>
              <w:pStyle w:val="Compact"/>
            </w:pPr>
            <w:r>
              <w:t xml:space="preserve">−0.36</w:t>
            </w:r>
          </w:p>
        </w:tc>
        <w:tc>
          <w:tcPr/>
          <w:p>
            <w:pPr>
              <w:pStyle w:val="Compact"/>
            </w:pPr>
            <w:r>
              <w:t xml:space="preserve">2.1</w:t>
            </w:r>
          </w:p>
        </w:tc>
      </w:tr>
      <w:tr>
        <w:tc>
          <w:tcPr/>
          <w:p>
            <w:pPr>
              <w:pStyle w:val="Compact"/>
            </w:pPr>
            <w:r>
              <w:t xml:space="preserve">2013</w:t>
            </w:r>
          </w:p>
        </w:tc>
        <w:tc>
          <w:tcPr/>
          <w:p>
            <w:pPr>
              <w:pStyle w:val="Compact"/>
            </w:pPr>
            <w:r>
              <w:t xml:space="preserve">2.58</w:t>
            </w:r>
          </w:p>
        </w:tc>
        <w:tc>
          <w:tcPr/>
          <w:p>
            <w:pPr>
              <w:pStyle w:val="Compact"/>
            </w:pPr>
            <w:r>
              <w:t xml:space="preserve">3.05</w:t>
            </w:r>
          </w:p>
        </w:tc>
        <w:tc>
          <w:tcPr/>
          <w:p>
            <w:pPr>
              <w:pStyle w:val="Compact"/>
            </w:pPr>
            <w:r>
              <w:t xml:space="preserve">+0.46</w:t>
            </w:r>
          </w:p>
        </w:tc>
        <w:tc>
          <w:tcPr/>
          <w:p>
            <w:pPr>
              <w:pStyle w:val="Compact"/>
            </w:pPr>
            <w:r>
              <w:t xml:space="preserve">−1.4</w:t>
            </w:r>
          </w:p>
        </w:tc>
      </w:tr>
      <w:tr>
        <w:tc>
          <w:tcPr/>
          <w:p>
            <w:pPr>
              <w:pStyle w:val="Compact"/>
            </w:pPr>
            <w:r>
              <w:t xml:space="preserve">2014</w:t>
            </w:r>
          </w:p>
        </w:tc>
        <w:tc>
          <w:tcPr/>
          <w:p>
            <w:pPr>
              <w:pStyle w:val="Compact"/>
            </w:pPr>
            <w:r>
              <w:t xml:space="preserve">3.60</w:t>
            </w:r>
          </w:p>
        </w:tc>
        <w:tc>
          <w:tcPr/>
          <w:p>
            <w:pPr>
              <w:pStyle w:val="Compact"/>
            </w:pPr>
            <w:r>
              <w:t xml:space="preserve">4.68</w:t>
            </w:r>
          </w:p>
        </w:tc>
        <w:tc>
          <w:tcPr/>
          <w:p>
            <w:pPr>
              <w:pStyle w:val="Compact"/>
            </w:pPr>
            <w:r>
              <w:t xml:space="preserve">+1.08</w:t>
            </w:r>
          </w:p>
        </w:tc>
        <w:tc>
          <w:tcPr/>
          <w:p>
            <w:pPr>
              <w:pStyle w:val="Compact"/>
            </w:pPr>
            <w:r>
              <w:t xml:space="preserve">−0.4</w:t>
            </w:r>
          </w:p>
        </w:tc>
      </w:tr>
      <w:tr>
        <w:tc>
          <w:tcPr/>
          <w:p>
            <w:pPr>
              <w:pStyle w:val="Compact"/>
            </w:pPr>
            <w:r>
              <w:t xml:space="preserve">2015</w:t>
            </w:r>
          </w:p>
        </w:tc>
        <w:tc>
          <w:tcPr/>
          <w:p>
            <w:pPr>
              <w:pStyle w:val="Compact"/>
            </w:pPr>
            <w:r>
              <w:t xml:space="preserve">0.68</w:t>
            </w:r>
          </w:p>
        </w:tc>
        <w:tc>
          <w:tcPr/>
          <w:p>
            <w:pPr>
              <w:pStyle w:val="Compact"/>
            </w:pPr>
            <w:r>
              <w:t xml:space="preserve">1.32</w:t>
            </w:r>
          </w:p>
        </w:tc>
        <w:tc>
          <w:tcPr/>
          <w:p>
            <w:pPr>
              <w:pStyle w:val="Compact"/>
            </w:pPr>
            <w:r>
              <w:t xml:space="preserve">+0.64</w:t>
            </w:r>
          </w:p>
        </w:tc>
        <w:tc>
          <w:tcPr/>
          <w:p>
            <w:pPr>
              <w:pStyle w:val="Compact"/>
            </w:pPr>
            <w:r>
              <w:t xml:space="preserve">−24.3</w:t>
            </w:r>
          </w:p>
        </w:tc>
      </w:tr>
      <w:tr>
        <w:tc>
          <w:tcPr/>
          <w:p>
            <w:pPr>
              <w:pStyle w:val="Compact"/>
            </w:pPr>
            <w:r>
              <w:t xml:space="preserve">2016</w:t>
            </w:r>
          </w:p>
        </w:tc>
        <w:tc>
          <w:tcPr/>
          <w:p>
            <w:pPr>
              <w:pStyle w:val="Compact"/>
            </w:pPr>
            <w:r>
              <w:t xml:space="preserve">1.25</w:t>
            </w:r>
          </w:p>
        </w:tc>
        <w:tc>
          <w:tcPr/>
          <w:p>
            <w:pPr>
              <w:pStyle w:val="Compact"/>
            </w:pPr>
            <w:r>
              <w:t xml:space="preserve">1.11</w:t>
            </w:r>
          </w:p>
        </w:tc>
        <w:tc>
          <w:tcPr/>
          <w:p>
            <w:pPr>
              <w:pStyle w:val="Compact"/>
            </w:pPr>
            <w:r>
              <w:t xml:space="preserve">−0.14</w:t>
            </w:r>
          </w:p>
        </w:tc>
        <w:tc>
          <w:tcPr/>
          <w:p>
            <w:pPr>
              <w:pStyle w:val="Compact"/>
            </w:pPr>
            <w:r>
              <w:t xml:space="preserve">−7.3</w:t>
            </w:r>
          </w:p>
        </w:tc>
      </w:tr>
      <w:tr>
        <w:tc>
          <w:tcPr/>
          <w:p>
            <w:pPr>
              <w:pStyle w:val="Compact"/>
            </w:pPr>
            <w:r>
              <w:t xml:space="preserve">2017</w:t>
            </w:r>
          </w:p>
        </w:tc>
        <w:tc>
          <w:tcPr/>
          <w:p>
            <w:pPr>
              <w:pStyle w:val="Compact"/>
            </w:pPr>
            <w:r>
              <w:t xml:space="preserve">2.85</w:t>
            </w:r>
          </w:p>
        </w:tc>
        <w:tc>
          <w:tcPr/>
          <w:p>
            <w:pPr>
              <w:pStyle w:val="Compact"/>
            </w:pPr>
            <w:r>
              <w:t xml:space="preserve">2.30</w:t>
            </w:r>
          </w:p>
        </w:tc>
        <w:tc>
          <w:tcPr/>
          <w:p>
            <w:pPr>
              <w:pStyle w:val="Compact"/>
            </w:pPr>
            <w:r>
              <w:t xml:space="preserve">−0.55</w:t>
            </w:r>
          </w:p>
        </w:tc>
        <w:tc>
          <w:tcPr/>
          <w:p>
            <w:pPr>
              <w:pStyle w:val="Compact"/>
            </w:pPr>
            <w:r>
              <w:t xml:space="preserve">14.0</w:t>
            </w:r>
          </w:p>
        </w:tc>
      </w:tr>
      <w:tr>
        <w:tc>
          <w:tcPr/>
          <w:p>
            <w:pPr>
              <w:pStyle w:val="Compact"/>
            </w:pPr>
            <w:r>
              <w:t xml:space="preserve">2018</w:t>
            </w:r>
          </w:p>
        </w:tc>
        <w:tc>
          <w:tcPr/>
          <w:p>
            <w:pPr>
              <w:pStyle w:val="Compact"/>
            </w:pPr>
            <w:r>
              <w:t xml:space="preserve">5.23</w:t>
            </w:r>
          </w:p>
        </w:tc>
        <w:tc>
          <w:tcPr/>
          <w:p>
            <w:pPr>
              <w:pStyle w:val="Compact"/>
            </w:pPr>
            <w:r>
              <w:t xml:space="preserve">5.99</w:t>
            </w:r>
          </w:p>
        </w:tc>
        <w:tc>
          <w:tcPr/>
          <w:p>
            <w:pPr>
              <w:pStyle w:val="Compact"/>
            </w:pPr>
            <w:r>
              <w:t xml:space="preserve">+0.76</w:t>
            </w:r>
          </w:p>
        </w:tc>
        <w:tc>
          <w:tcPr/>
          <w:p>
            <w:pPr>
              <w:pStyle w:val="Compact"/>
            </w:pPr>
            <w:r>
              <w:t xml:space="preserve">23.2</w:t>
            </w:r>
          </w:p>
        </w:tc>
      </w:tr>
      <w:tr>
        <w:tc>
          <w:tcPr/>
          <w:p>
            <w:pPr>
              <w:pStyle w:val="Compact"/>
            </w:pPr>
            <w:r>
              <w:t xml:space="preserve">2019</w:t>
            </w:r>
          </w:p>
        </w:tc>
        <w:tc>
          <w:tcPr/>
          <w:p>
            <w:pPr>
              <w:pStyle w:val="Compact"/>
            </w:pPr>
            <w:r>
              <w:t xml:space="preserve">2.41</w:t>
            </w:r>
          </w:p>
        </w:tc>
        <w:tc>
          <w:tcPr/>
          <w:p>
            <w:pPr>
              <w:pStyle w:val="Compact"/>
            </w:pPr>
            <w:r>
              <w:t xml:space="preserve">1.91</w:t>
            </w:r>
          </w:p>
        </w:tc>
        <w:tc>
          <w:tcPr/>
          <w:p>
            <w:pPr>
              <w:pStyle w:val="Compact"/>
            </w:pPr>
            <w:r>
              <w:t xml:space="preserve">−0.50</w:t>
            </w:r>
          </w:p>
        </w:tc>
        <w:tc>
          <w:tcPr/>
          <w:p>
            <w:pPr>
              <w:pStyle w:val="Compact"/>
            </w:pPr>
            <w:r>
              <w:t xml:space="preserve">−1.0</w:t>
            </w:r>
          </w:p>
        </w:tc>
      </w:tr>
      <w:tr>
        <w:tc>
          <w:tcPr/>
          <w:p>
            <w:pPr>
              <w:pStyle w:val="Compact"/>
            </w:pPr>
            <w:r>
              <w:t xml:space="preserve">2020</w:t>
            </w:r>
          </w:p>
        </w:tc>
        <w:tc>
          <w:tcPr/>
          <w:p>
            <w:pPr>
              <w:pStyle w:val="Compact"/>
            </w:pPr>
            <w:r>
              <w:t xml:space="preserve">2.39</w:t>
            </w:r>
          </w:p>
        </w:tc>
        <w:tc>
          <w:tcPr/>
          <w:p>
            <w:pPr>
              <w:pStyle w:val="Compact"/>
            </w:pPr>
            <w:r>
              <w:t xml:space="preserve">2.59</w:t>
            </w:r>
          </w:p>
        </w:tc>
        <w:tc>
          <w:tcPr/>
          <w:p>
            <w:pPr>
              <w:pStyle w:val="Compact"/>
            </w:pPr>
            <w:r>
              <w:t xml:space="preserve">+0.20</w:t>
            </w:r>
          </w:p>
        </w:tc>
        <w:tc>
          <w:tcPr/>
          <w:p>
            <w:pPr>
              <w:pStyle w:val="Compact"/>
            </w:pPr>
            <w:r>
              <w:t xml:space="preserve">−11.2</w:t>
            </w:r>
          </w:p>
        </w:tc>
      </w:tr>
      <w:tr>
        <w:tc>
          <w:tcPr/>
          <w:p>
            <w:pPr>
              <w:pStyle w:val="Compact"/>
            </w:pPr>
            <w:r>
              <w:t xml:space="preserve">2021</w:t>
            </w:r>
          </w:p>
        </w:tc>
        <w:tc>
          <w:tcPr/>
          <w:p>
            <w:pPr>
              <w:pStyle w:val="Compact"/>
            </w:pPr>
            <w:r>
              <w:t xml:space="preserve">3.93</w:t>
            </w:r>
          </w:p>
        </w:tc>
        <w:tc>
          <w:tcPr/>
          <w:p>
            <w:pPr>
              <w:pStyle w:val="Compact"/>
            </w:pPr>
            <w:r>
              <w:t xml:space="preserve">4.22</w:t>
            </w:r>
          </w:p>
        </w:tc>
        <w:tc>
          <w:tcPr/>
          <w:p>
            <w:pPr>
              <w:pStyle w:val="Compact"/>
            </w:pPr>
            <w:r>
              <w:t xml:space="preserve">+0.29</w:t>
            </w:r>
          </w:p>
        </w:tc>
        <w:tc>
          <w:tcPr/>
          <w:p>
            <w:pPr>
              <w:pStyle w:val="Compact"/>
            </w:pPr>
            <w:r>
              <w:t xml:space="preserve">20.8</w:t>
            </w:r>
          </w:p>
        </w:tc>
      </w:tr>
      <w:tr>
        <w:tc>
          <w:tcPr/>
          <w:p>
            <w:pPr>
              <w:pStyle w:val="Compact"/>
            </w:pPr>
            <w:r>
              <w:t xml:space="preserve">2022</w:t>
            </w:r>
          </w:p>
        </w:tc>
        <w:tc>
          <w:tcPr/>
          <w:p>
            <w:pPr>
              <w:pStyle w:val="Compact"/>
            </w:pPr>
            <w:r>
              <w:t xml:space="preserve">5.81</w:t>
            </w:r>
          </w:p>
        </w:tc>
        <w:tc>
          <w:tcPr/>
          <w:p>
            <w:pPr>
              <w:pStyle w:val="Compact"/>
            </w:pPr>
            <w:r>
              <w:t xml:space="preserve">6.56</w:t>
            </w:r>
          </w:p>
        </w:tc>
        <w:tc>
          <w:tcPr/>
          <w:p>
            <w:pPr>
              <w:pStyle w:val="Compact"/>
            </w:pPr>
            <w:r>
              <w:t xml:space="preserve">+0.75</w:t>
            </w:r>
          </w:p>
        </w:tc>
        <w:tc>
          <w:tcPr/>
          <w:p>
            <w:pPr>
              <w:pStyle w:val="Compact"/>
            </w:pPr>
            <w:r>
              <w:t xml:space="preserve">39.7</w:t>
            </w:r>
          </w:p>
        </w:tc>
      </w:tr>
      <w:tr>
        <w:tc>
          <w:tcPr/>
          <w:p>
            <w:pPr>
              <w:pStyle w:val="Compact"/>
            </w:pPr>
            <w:r>
              <w:t xml:space="preserve">2023</w:t>
            </w:r>
          </w:p>
        </w:tc>
        <w:tc>
          <w:tcPr/>
          <w:p>
            <w:pPr>
              <w:pStyle w:val="Compact"/>
            </w:pPr>
            <w:r>
              <w:t xml:space="preserve">6.01</w:t>
            </w:r>
          </w:p>
        </w:tc>
        <w:tc>
          <w:tcPr/>
          <w:p>
            <w:pPr>
              <w:pStyle w:val="Compact"/>
            </w:pPr>
            <w:r>
              <w:t xml:space="preserve">6.77</w:t>
            </w:r>
          </w:p>
        </w:tc>
        <w:tc>
          <w:tcPr/>
          <w:p>
            <w:pPr>
              <w:pStyle w:val="Compact"/>
            </w:pPr>
            <w:r>
              <w:t xml:space="preserve">+0.76</w:t>
            </w:r>
          </w:p>
        </w:tc>
        <w:tc>
          <w:tcPr/>
          <w:p>
            <w:pPr>
              <w:pStyle w:val="Compact"/>
            </w:pPr>
            <w:r>
              <w:t xml:space="preserve">−9.1</w:t>
            </w:r>
          </w:p>
        </w:tc>
      </w:tr>
      <w:tr>
        <w:tc>
          <w:tcPr/>
          <w:p>
            <w:pPr>
              <w:pStyle w:val="Compact"/>
            </w:pPr>
            <w:r>
              <w:t xml:space="preserve">2024</w:t>
            </w:r>
          </w:p>
        </w:tc>
        <w:tc>
          <w:tcPr/>
          <w:p>
            <w:pPr>
              <w:pStyle w:val="Compact"/>
            </w:pPr>
            <w:r>
              <w:t xml:space="preserve">3.22</w:t>
            </w:r>
          </w:p>
        </w:tc>
        <w:tc>
          <w:tcPr/>
          <w:p>
            <w:pPr>
              <w:pStyle w:val="Compact"/>
            </w:pPr>
            <w:r>
              <w:t xml:space="preserve">4.18</w:t>
            </w:r>
          </w:p>
        </w:tc>
        <w:tc>
          <w:tcPr/>
          <w:p>
            <w:pPr>
              <w:pStyle w:val="Compact"/>
            </w:pPr>
            <w:r>
              <w:t xml:space="preserve">+0.97</w:t>
            </w:r>
          </w:p>
        </w:tc>
        <w:tc>
          <w:tcPr/>
          <w:p>
            <w:pPr>
              <w:pStyle w:val="Compact"/>
            </w:pPr>
            <w:r>
              <w:t xml:space="preserve">−3.0</w:t>
            </w:r>
          </w:p>
        </w:tc>
      </w:tr>
      <w:tr>
        <w:tc>
          <w:tcPr/>
          <w:p>
            <w:pPr>
              <w:pStyle w:val="Compact"/>
            </w:pPr>
            <w:r>
              <w:t xml:space="preserve">2025</w:t>
            </w:r>
          </w:p>
        </w:tc>
        <w:tc>
          <w:tcPr/>
          <w:p>
            <w:pPr>
              <w:pStyle w:val="Compact"/>
            </w:pPr>
            <w:r>
              <w:t xml:space="preserve">1.66</w:t>
            </w:r>
          </w:p>
        </w:tc>
        <w:tc>
          <w:tcPr/>
          <w:p>
            <w:pPr>
              <w:pStyle w:val="Compact"/>
            </w:pPr>
            <w:r>
              <w:t xml:space="preserve">0.29</w:t>
            </w:r>
          </w:p>
        </w:tc>
        <w:tc>
          <w:tcPr/>
          <w:p>
            <w:pPr>
              <w:pStyle w:val="Compact"/>
            </w:pPr>
            <w:r>
              <w:t xml:space="preserve">−1.37</w:t>
            </w:r>
          </w:p>
        </w:tc>
        <w:tc>
          <w:tcPr/>
          <w:p>
            <w:pPr>
              <w:pStyle w:val="Compact"/>
            </w:pPr>
            <w:r>
              <w:t xml:space="preserve">−4.3</w:t>
            </w:r>
          </w:p>
        </w:tc>
      </w:tr>
      <w:tr>
        <w:tc>
          <w:tcPr/>
          <w:p>
            <w:pPr>
              <w:pStyle w:val="Compact"/>
            </w:pPr>
            <w:r>
              <w:t xml:space="preserve">2026*</w:t>
            </w:r>
          </w:p>
        </w:tc>
        <w:tc>
          <w:tcPr/>
          <w:p>
            <w:pPr>
              <w:pStyle w:val="Compact"/>
            </w:pPr>
            <w:r>
              <w:t xml:space="preserve">5.16</w:t>
            </w:r>
          </w:p>
        </w:tc>
        <w:tc>
          <w:tcPr/>
          <w:p>
            <w:pPr>
              <w:pStyle w:val="Compact"/>
            </w:pPr>
            <w:r>
              <w:t xml:space="preserve">6.20</w:t>
            </w:r>
          </w:p>
        </w:tc>
        <w:tc>
          <w:tcPr/>
          <w:p>
            <w:pPr>
              <w:pStyle w:val="Compact"/>
            </w:pPr>
            <w:r>
              <w:t xml:space="preserve">+1.04</w:t>
            </w:r>
          </w:p>
        </w:tc>
        <w:tc>
          <w:tcPr/>
          <w:p>
            <w:pPr>
              <w:pStyle w:val="Compact"/>
            </w:pPr>
            <w:r>
              <w:t xml:space="preserve">33.8</w:t>
            </w:r>
          </w:p>
        </w:tc>
      </w:tr>
    </w:tbl>
    <w:p>
      <w:pPr>
        <w:pStyle w:val="BodyText"/>
      </w:pPr>
      <w:r>
        <w:rPr>
          <w:i/>
          <w:iCs/>
        </w:rPr>
        <w:t xml:space="preserve">Notes:</w:t>
      </w:r>
      <w:r>
        <w:t xml:space="preserve"> </w:t>
      </w:r>
      <w:r>
        <w:t xml:space="preserve">Average of monthly year-on-year rates. *2026: January–August.</w:t>
      </w:r>
    </w:p>
    <w:bookmarkEnd w:id="63"/>
    <w:bookmarkStart w:id="64" w:name="fuel-shock-episodes"/>
    <w:p>
      <w:pPr>
        <w:pStyle w:val="Heading3"/>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Episode</w:t>
            </w:r>
          </w:p>
        </w:tc>
        <w:tc>
          <w:tcPr/>
          <w:p>
            <w:pPr>
              <w:pStyle w:val="Compact"/>
            </w:pPr>
            <w:r>
              <w:t xml:space="preserve">Months</w:t>
            </w:r>
          </w:p>
        </w:tc>
        <w:tc>
          <w:tcPr/>
          <w:p>
            <w:pPr>
              <w:pStyle w:val="Compact"/>
            </w:pPr>
            <w:r>
              <w:t xml:space="preserve">Peak fuel rise (% y/y)</w:t>
            </w:r>
          </w:p>
        </w:tc>
        <w:tc>
          <w:tcPr/>
          <w:p>
            <w:pPr>
              <w:pStyle w:val="Compact"/>
            </w:pPr>
            <w:r>
              <w:t xml:space="preserve">Inflation, all (%)</w:t>
            </w:r>
          </w:p>
        </w:tc>
        <w:tc>
          <w:tcPr/>
          <w:p>
            <w:pPr>
              <w:pStyle w:val="Compact"/>
            </w:pPr>
            <w:r>
              <w:t xml:space="preserve">Inflation, b30 (%)</w:t>
            </w:r>
          </w:p>
        </w:tc>
        <w:tc>
          <w:tcPr/>
          <w:p>
            <w:pPr>
              <w:pStyle w:val="Compact"/>
            </w:pPr>
            <w:r>
              <w:t xml:space="preserve">Gap, b30 − all (pp)</w:t>
            </w:r>
          </w:p>
        </w:tc>
      </w:tr>
      <w:tr>
        <w:tc>
          <w:tcPr/>
          <w:p>
            <w:pPr>
              <w:pStyle w:val="Compact"/>
            </w:pPr>
            <w:r>
              <w:t xml:space="preserve">2001-01 to 2001-03</w:t>
            </w:r>
          </w:p>
        </w:tc>
        <w:tc>
          <w:tcPr/>
          <w:p>
            <w:pPr>
              <w:pStyle w:val="Compact"/>
            </w:pPr>
            <w:r>
              <w:t xml:space="preserve">3</w:t>
            </w:r>
          </w:p>
        </w:tc>
        <w:tc>
          <w:tcPr/>
          <w:p>
            <w:pPr>
              <w:pStyle w:val="Compact"/>
            </w:pPr>
            <w:r>
              <w:t xml:space="preserve">22.8</w:t>
            </w:r>
          </w:p>
        </w:tc>
        <w:tc>
          <w:tcPr/>
          <w:p>
            <w:pPr>
              <w:pStyle w:val="Compact"/>
            </w:pPr>
            <w:r>
              <w:t xml:space="preserve">5.83</w:t>
            </w:r>
          </w:p>
        </w:tc>
        <w:tc>
          <w:tcPr/>
          <w:p>
            <w:pPr>
              <w:pStyle w:val="Compact"/>
            </w:pPr>
            <w:r>
              <w:t xml:space="preserve">5.90</w:t>
            </w:r>
          </w:p>
        </w:tc>
        <w:tc>
          <w:tcPr/>
          <w:p>
            <w:pPr>
              <w:pStyle w:val="Compact"/>
            </w:pPr>
            <w:r>
              <w:t xml:space="preserve">+0.07</w:t>
            </w:r>
          </w:p>
        </w:tc>
      </w:tr>
      <w:tr>
        <w:tc>
          <w:tcPr/>
          <w:p>
            <w:pPr>
              <w:pStyle w:val="Compact"/>
            </w:pPr>
            <w:r>
              <w:t xml:space="preserve">2004-06 to 2006-09</w:t>
            </w:r>
          </w:p>
        </w:tc>
        <w:tc>
          <w:tcPr/>
          <w:p>
            <w:pPr>
              <w:pStyle w:val="Compact"/>
            </w:pPr>
            <w:r>
              <w:t xml:space="preserve">28</w:t>
            </w:r>
          </w:p>
        </w:tc>
        <w:tc>
          <w:tcPr/>
          <w:p>
            <w:pPr>
              <w:pStyle w:val="Compact"/>
            </w:pPr>
            <w:r>
              <w:t xml:space="preserve">28.3</w:t>
            </w:r>
          </w:p>
        </w:tc>
        <w:tc>
          <w:tcPr/>
          <w:p>
            <w:pPr>
              <w:pStyle w:val="Compact"/>
            </w:pPr>
            <w:r>
              <w:t xml:space="preserve">6.21</w:t>
            </w:r>
          </w:p>
        </w:tc>
        <w:tc>
          <w:tcPr/>
          <w:p>
            <w:pPr>
              <w:pStyle w:val="Compact"/>
            </w:pPr>
            <w:r>
              <w:t xml:space="preserve">7.53</w:t>
            </w:r>
          </w:p>
        </w:tc>
        <w:tc>
          <w:tcPr/>
          <w:p>
            <w:pPr>
              <w:pStyle w:val="Compact"/>
            </w:pPr>
            <w:r>
              <w:t xml:space="preserve">+1.32</w:t>
            </w:r>
          </w:p>
        </w:tc>
      </w:tr>
      <w:tr>
        <w:tc>
          <w:tcPr/>
          <w:p>
            <w:pPr>
              <w:pStyle w:val="Compact"/>
            </w:pPr>
            <w:r>
              <w:t xml:space="preserve">2008-02 to 2008-10</w:t>
            </w:r>
          </w:p>
        </w:tc>
        <w:tc>
          <w:tcPr/>
          <w:p>
            <w:pPr>
              <w:pStyle w:val="Compact"/>
            </w:pPr>
            <w:r>
              <w:t xml:space="preserve">9</w:t>
            </w:r>
          </w:p>
        </w:tc>
        <w:tc>
          <w:tcPr/>
          <w:p>
            <w:pPr>
              <w:pStyle w:val="Compact"/>
            </w:pPr>
            <w:r>
              <w:t xml:space="preserve">40.3</w:t>
            </w:r>
          </w:p>
        </w:tc>
        <w:tc>
          <w:tcPr/>
          <w:p>
            <w:pPr>
              <w:pStyle w:val="Compact"/>
            </w:pPr>
            <w:r>
              <w:t xml:space="preserve">8.50</w:t>
            </w:r>
          </w:p>
        </w:tc>
        <w:tc>
          <w:tcPr/>
          <w:p>
            <w:pPr>
              <w:pStyle w:val="Compact"/>
            </w:pPr>
            <w:r>
              <w:t xml:space="preserve">14.68</w:t>
            </w:r>
          </w:p>
        </w:tc>
        <w:tc>
          <w:tcPr/>
          <w:p>
            <w:pPr>
              <w:pStyle w:val="Compact"/>
            </w:pPr>
            <w:r>
              <w:t xml:space="preserve">+6.17</w:t>
            </w:r>
          </w:p>
        </w:tc>
      </w:tr>
      <w:tr>
        <w:tc>
          <w:tcPr/>
          <w:p>
            <w:pPr>
              <w:pStyle w:val="Compact"/>
            </w:pPr>
            <w:r>
              <w:t xml:space="preserve">2010-01 to 2010-05</w:t>
            </w:r>
          </w:p>
        </w:tc>
        <w:tc>
          <w:tcPr/>
          <w:p>
            <w:pPr>
              <w:pStyle w:val="Compact"/>
            </w:pPr>
            <w:r>
              <w:t xml:space="preserve">5</w:t>
            </w:r>
          </w:p>
        </w:tc>
        <w:tc>
          <w:tcPr/>
          <w:p>
            <w:pPr>
              <w:pStyle w:val="Compact"/>
            </w:pPr>
            <w:r>
              <w:t xml:space="preserve">23.5</w:t>
            </w:r>
          </w:p>
        </w:tc>
        <w:tc>
          <w:tcPr/>
          <w:p>
            <w:pPr>
              <w:pStyle w:val="Compact"/>
            </w:pPr>
            <w:r>
              <w:t xml:space="preserve">3.92</w:t>
            </w:r>
          </w:p>
        </w:tc>
        <w:tc>
          <w:tcPr/>
          <w:p>
            <w:pPr>
              <w:pStyle w:val="Compact"/>
            </w:pPr>
            <w:r>
              <w:t xml:space="preserve">3.88</w:t>
            </w:r>
          </w:p>
        </w:tc>
        <w:tc>
          <w:tcPr/>
          <w:p>
            <w:pPr>
              <w:pStyle w:val="Compact"/>
            </w:pPr>
            <w:r>
              <w:t xml:space="preserve">−0.04</w:t>
            </w:r>
          </w:p>
        </w:tc>
      </w:tr>
      <w:tr>
        <w:tc>
          <w:tcPr/>
          <w:p>
            <w:pPr>
              <w:pStyle w:val="Compact"/>
            </w:pPr>
            <w:r>
              <w:t xml:space="preserve">2017-01 to 2017-03</w:t>
            </w:r>
          </w:p>
        </w:tc>
        <w:tc>
          <w:tcPr/>
          <w:p>
            <w:pPr>
              <w:pStyle w:val="Compact"/>
            </w:pPr>
            <w:r>
              <w:t xml:space="preserve">3</w:t>
            </w:r>
          </w:p>
        </w:tc>
        <w:tc>
          <w:tcPr/>
          <w:p>
            <w:pPr>
              <w:pStyle w:val="Compact"/>
            </w:pPr>
            <w:r>
              <w:t xml:space="preserve">24.6</w:t>
            </w:r>
          </w:p>
        </w:tc>
        <w:tc>
          <w:tcPr/>
          <w:p>
            <w:pPr>
              <w:pStyle w:val="Compact"/>
            </w:pPr>
            <w:r>
              <w:t xml:space="preserve">2.88</w:t>
            </w:r>
          </w:p>
        </w:tc>
        <w:tc>
          <w:tcPr/>
          <w:p>
            <w:pPr>
              <w:pStyle w:val="Compact"/>
            </w:pPr>
            <w:r>
              <w:t xml:space="preserve">2.12</w:t>
            </w:r>
          </w:p>
        </w:tc>
        <w:tc>
          <w:tcPr/>
          <w:p>
            <w:pPr>
              <w:pStyle w:val="Compact"/>
            </w:pPr>
            <w:r>
              <w:t xml:space="preserve">−0.76</w:t>
            </w:r>
          </w:p>
        </w:tc>
      </w:tr>
      <w:tr>
        <w:tc>
          <w:tcPr/>
          <w:p>
            <w:pPr>
              <w:pStyle w:val="Compact"/>
            </w:pPr>
            <w:r>
              <w:t xml:space="preserve">2017-09 to 2017-11</w:t>
            </w:r>
          </w:p>
        </w:tc>
        <w:tc>
          <w:tcPr/>
          <w:p>
            <w:pPr>
              <w:pStyle w:val="Compact"/>
            </w:pPr>
            <w:r>
              <w:t xml:space="preserve">3</w:t>
            </w:r>
          </w:p>
        </w:tc>
        <w:tc>
          <w:tcPr/>
          <w:p>
            <w:pPr>
              <w:pStyle w:val="Compact"/>
            </w:pPr>
            <w:r>
              <w:t xml:space="preserve">15.9</w:t>
            </w:r>
          </w:p>
        </w:tc>
        <w:tc>
          <w:tcPr/>
          <w:p>
            <w:pPr>
              <w:pStyle w:val="Compact"/>
            </w:pPr>
            <w:r>
              <w:t xml:space="preserve">3.06</w:t>
            </w:r>
          </w:p>
        </w:tc>
        <w:tc>
          <w:tcPr/>
          <w:p>
            <w:pPr>
              <w:pStyle w:val="Compact"/>
            </w:pPr>
            <w:r>
              <w:t xml:space="preserve">2.61</w:t>
            </w:r>
          </w:p>
        </w:tc>
        <w:tc>
          <w:tcPr/>
          <w:p>
            <w:pPr>
              <w:pStyle w:val="Compact"/>
            </w:pPr>
            <w:r>
              <w:t xml:space="preserve">−0.44</w:t>
            </w:r>
          </w:p>
        </w:tc>
      </w:tr>
      <w:tr>
        <w:tc>
          <w:tcPr/>
          <w:p>
            <w:pPr>
              <w:pStyle w:val="Compact"/>
            </w:pPr>
            <w:r>
              <w:t xml:space="preserve">2018-02 to 2018-11</w:t>
            </w:r>
          </w:p>
        </w:tc>
        <w:tc>
          <w:tcPr/>
          <w:p>
            <w:pPr>
              <w:pStyle w:val="Compact"/>
            </w:pPr>
            <w:r>
              <w:t xml:space="preserve">10</w:t>
            </w:r>
          </w:p>
        </w:tc>
        <w:tc>
          <w:tcPr/>
          <w:p>
            <w:pPr>
              <w:pStyle w:val="Compact"/>
            </w:pPr>
            <w:r>
              <w:t xml:space="preserve">33.5</w:t>
            </w:r>
          </w:p>
        </w:tc>
        <w:tc>
          <w:tcPr/>
          <w:p>
            <w:pPr>
              <w:pStyle w:val="Compact"/>
            </w:pPr>
            <w:r>
              <w:t xml:space="preserve">5.42</w:t>
            </w:r>
          </w:p>
        </w:tc>
        <w:tc>
          <w:tcPr/>
          <w:p>
            <w:pPr>
              <w:pStyle w:val="Compact"/>
            </w:pPr>
            <w:r>
              <w:t xml:space="preserve">6.22</w:t>
            </w:r>
          </w:p>
        </w:tc>
        <w:tc>
          <w:tcPr/>
          <w:p>
            <w:pPr>
              <w:pStyle w:val="Compact"/>
            </w:pPr>
            <w:r>
              <w:t xml:space="preserve">+0.81</w:t>
            </w:r>
          </w:p>
        </w:tc>
      </w:tr>
      <w:tr>
        <w:tc>
          <w:tcPr/>
          <w:p>
            <w:pPr>
              <w:pStyle w:val="Compact"/>
            </w:pPr>
            <w:r>
              <w:t xml:space="preserve">2021-04 to 2022-12</w:t>
            </w:r>
          </w:p>
        </w:tc>
        <w:tc>
          <w:tcPr/>
          <w:p>
            <w:pPr>
              <w:pStyle w:val="Compact"/>
            </w:pPr>
            <w:r>
              <w:t xml:space="preserve">21</w:t>
            </w:r>
          </w:p>
        </w:tc>
        <w:tc>
          <w:tcPr/>
          <w:p>
            <w:pPr>
              <w:pStyle w:val="Compact"/>
            </w:pPr>
            <w:r>
              <w:t xml:space="preserve">62.7</w:t>
            </w:r>
          </w:p>
        </w:tc>
        <w:tc>
          <w:tcPr/>
          <w:p>
            <w:pPr>
              <w:pStyle w:val="Compact"/>
            </w:pPr>
            <w:r>
              <w:t xml:space="preserve">4.99</w:t>
            </w:r>
          </w:p>
        </w:tc>
        <w:tc>
          <w:tcPr/>
          <w:p>
            <w:pPr>
              <w:pStyle w:val="Compact"/>
            </w:pPr>
            <w:r>
              <w:t xml:space="preserve">5.52</w:t>
            </w:r>
          </w:p>
        </w:tc>
        <w:tc>
          <w:tcPr/>
          <w:p>
            <w:pPr>
              <w:pStyle w:val="Compact"/>
            </w:pPr>
            <w:r>
              <w:t xml:space="preserve">+0.53</w:t>
            </w:r>
          </w:p>
        </w:tc>
      </w:tr>
      <w:tr>
        <w:tc>
          <w:tcPr/>
          <w:p>
            <w:pPr>
              <w:pStyle w:val="Compact"/>
            </w:pPr>
            <w:r>
              <w:t xml:space="preserve">2026-03 to 2026-08</w:t>
            </w:r>
          </w:p>
        </w:tc>
        <w:tc>
          <w:tcPr/>
          <w:p>
            <w:pPr>
              <w:pStyle w:val="Compact"/>
            </w:pPr>
            <w:r>
              <w:t xml:space="preserve">6</w:t>
            </w:r>
          </w:p>
        </w:tc>
        <w:tc>
          <w:tcPr/>
          <w:p>
            <w:pPr>
              <w:pStyle w:val="Compact"/>
            </w:pPr>
            <w:r>
              <w:t xml:space="preserve">76.3</w:t>
            </w:r>
          </w:p>
        </w:tc>
        <w:tc>
          <w:tcPr/>
          <w:p>
            <w:pPr>
              <w:pStyle w:val="Compact"/>
            </w:pPr>
            <w:r>
              <w:t xml:space="preserve">6.14</w:t>
            </w:r>
          </w:p>
        </w:tc>
        <w:tc>
          <w:tcPr/>
          <w:p>
            <w:pPr>
              <w:pStyle w:val="Compact"/>
            </w:pPr>
            <w:r>
              <w:t xml:space="preserve">7.58</w:t>
            </w:r>
          </w:p>
        </w:tc>
        <w:tc>
          <w:tcPr/>
          <w:p>
            <w:pPr>
              <w:pStyle w:val="Compact"/>
            </w:pPr>
            <w:r>
              <w:t xml:space="preserve">+1.44</w:t>
            </w:r>
          </w:p>
        </w:tc>
      </w:tr>
    </w:tbl>
    <w:bookmarkEnd w:id="64"/>
    <w:bookmarkStart w:id="65" w:name="timing-of-co-movement"/>
    <w:p>
      <w:pPr>
        <w:pStyle w:val="Heading3"/>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 k (months)</w:t>
            </w:r>
          </w:p>
        </w:tc>
        <w:tc>
          <w:tcPr/>
          <w:p>
            <w:pPr>
              <w:pStyle w:val="Compact"/>
            </w:pPr>
            <w:r>
              <w:t xml:space="preserve">Corr(Δfuel_t, Δln CPI all_t+k)</w:t>
            </w:r>
          </w:p>
        </w:tc>
        <w:tc>
          <w:tcPr/>
          <w:p>
            <w:pPr>
              <w:pStyle w:val="Compact"/>
            </w:pPr>
            <w:r>
              <w:t xml:space="preserve">Corr(Δfuel_t, Δln CPI b30_t+k)</w:t>
            </w:r>
          </w:p>
        </w:tc>
        <w:tc>
          <w:tcPr/>
          <w:p>
            <w:pPr>
              <w:pStyle w:val="Compact"/>
            </w:pPr>
            <w:r>
              <w:t xml:space="preserve">Corr(Δfuel_t, ΔGap_t+k)</w:t>
            </w:r>
          </w:p>
        </w:tc>
      </w:tr>
      <w:tr>
        <w:tc>
          <w:tcPr/>
          <w:p>
            <w:pPr>
              <w:pStyle w:val="Compact"/>
            </w:pPr>
            <w:r>
              <w:t xml:space="preserve">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65"/>
    <w:bookmarkStart w:id="69" w:name="regional-patterns"/>
    <w:p>
      <w:pPr>
        <w:pStyle w:val="Heading3"/>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646420" cy="3470520"/>
            <wp:effectExtent b="0" l="0" r="0" t="0"/>
            <wp:docPr descr="Figure 3. Average inflation by group, 2001–2025, and cumulative change in the gap, by region." title="" id="67" name="Picture"/>
            <a:graphic>
              <a:graphicData uri="http://schemas.openxmlformats.org/drawingml/2006/picture">
                <pic:pic>
                  <pic:nvPicPr>
                    <pic:cNvPr descr="../output/figures/figd2_regional.png" id="68" name="Picture"/>
                    <pic:cNvPicPr>
                      <a:picLocks noChangeArrowheads="1" noChangeAspect="1"/>
                    </pic:cNvPicPr>
                  </pic:nvPicPr>
                  <pic:blipFill>
                    <a:blip r:embed="rId66"/>
                    <a:stretch>
                      <a:fillRect/>
                    </a:stretch>
                  </pic:blipFill>
                  <pic:spPr bwMode="auto">
                    <a:xfrm>
                      <a:off x="0" y="0"/>
                      <a:ext cx="5646420" cy="3470520"/>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Food share 2018 (%)</w:t>
            </w:r>
          </w:p>
        </w:tc>
        <w:tc>
          <w:tcPr/>
          <w:p>
            <w:pPr>
              <w:pStyle w:val="Compact"/>
            </w:pPr>
            <w:r>
              <w:t xml:space="preserve">Inflation all, 2001–2025 (%)</w:t>
            </w:r>
          </w:p>
        </w:tc>
        <w:tc>
          <w:tcPr/>
          <w:p>
            <w:pPr>
              <w:pStyle w:val="Compact"/>
            </w:pPr>
            <w:r>
              <w:t xml:space="preserve">Inflation b30, 2001–2025 (%)</w:t>
            </w:r>
          </w:p>
        </w:tc>
        <w:tc>
          <w:tcPr/>
          <w:p>
            <w:pPr>
              <w:pStyle w:val="Compact"/>
            </w:pPr>
            <w:r>
              <w:t xml:space="preserve">Cumulative gap 2001–2025 (×100)</w:t>
            </w:r>
          </w:p>
        </w:tc>
        <w:tc>
          <w:tcPr/>
          <w:p>
            <w:pPr>
              <w:pStyle w:val="Compact"/>
            </w:pPr>
            <w:r>
              <w:t xml:space="preserve">Fuel volatility (SD, pp/month)</w:t>
            </w:r>
          </w:p>
        </w:tc>
        <w:tc>
          <w:tcPr/>
          <w:p>
            <w:pPr>
              <w:pStyle w:val="Compact"/>
            </w:pPr>
            <w:r>
              <w:t xml:space="preserve">Inflation b30, Aug 2026 (% y/y)</w:t>
            </w:r>
          </w:p>
        </w:tc>
      </w:tr>
      <w:tr>
        <w:tc>
          <w:tcPr/>
          <w:p>
            <w:pPr>
              <w:pStyle w:val="Compact"/>
            </w:pPr>
            <w:r>
              <w:t xml:space="preserve">National Capital Region</w:t>
            </w:r>
          </w:p>
        </w:tc>
        <w:tc>
          <w:tcPr/>
          <w:p>
            <w:pPr>
              <w:pStyle w:val="Compact"/>
            </w:pPr>
            <w:r>
              <w:t xml:space="preserve">2.2</w:t>
            </w:r>
          </w:p>
        </w:tc>
        <w:tc>
          <w:tcPr/>
          <w:p>
            <w:pPr>
              <w:pStyle w:val="Compact"/>
            </w:pPr>
            <w:r>
              <w:t xml:space="preserve">29.5</w:t>
            </w:r>
          </w:p>
        </w:tc>
        <w:tc>
          <w:tcPr/>
          <w:p>
            <w:pPr>
              <w:pStyle w:val="Compact"/>
            </w:pPr>
            <w:r>
              <w:t xml:space="preserve">3.57</w:t>
            </w:r>
          </w:p>
        </w:tc>
        <w:tc>
          <w:tcPr/>
          <w:p>
            <w:pPr>
              <w:pStyle w:val="Compact"/>
            </w:pPr>
            <w:r>
              <w:t xml:space="preserve">4.15</w:t>
            </w:r>
          </w:p>
        </w:tc>
        <w:tc>
          <w:tcPr/>
          <w:p>
            <w:pPr>
              <w:pStyle w:val="Compact"/>
            </w:pPr>
            <w:r>
              <w:t xml:space="preserve">−12.3</w:t>
            </w:r>
          </w:p>
        </w:tc>
        <w:tc>
          <w:tcPr/>
          <w:p>
            <w:pPr>
              <w:pStyle w:val="Compact"/>
            </w:pPr>
            <w:r>
              <w:t xml:space="preserve">4.96</w:t>
            </w:r>
          </w:p>
        </w:tc>
        <w:tc>
          <w:tcPr/>
          <w:p>
            <w:pPr>
              <w:pStyle w:val="Compact"/>
            </w:pPr>
            <w:r>
              <w:t xml:space="preserve">4.3</w:t>
            </w:r>
          </w:p>
        </w:tc>
      </w:tr>
      <w:tr>
        <w:tc>
          <w:tcPr/>
          <w:p>
            <w:pPr>
              <w:pStyle w:val="Compact"/>
            </w:pPr>
            <w:r>
              <w:t xml:space="preserve">Cordillera (CAR)</w:t>
            </w:r>
          </w:p>
        </w:tc>
        <w:tc>
          <w:tcPr/>
          <w:p>
            <w:pPr>
              <w:pStyle w:val="Compact"/>
            </w:pPr>
            <w:r>
              <w:t xml:space="preserve">12.0</w:t>
            </w:r>
          </w:p>
        </w:tc>
        <w:tc>
          <w:tcPr/>
          <w:p>
            <w:pPr>
              <w:pStyle w:val="Compact"/>
            </w:pPr>
            <w:r>
              <w:t xml:space="preserve">35.8</w:t>
            </w:r>
          </w:p>
        </w:tc>
        <w:tc>
          <w:tcPr/>
          <w:p>
            <w:pPr>
              <w:pStyle w:val="Compact"/>
            </w:pPr>
            <w:r>
              <w:t xml:space="preserve">3.72</w:t>
            </w:r>
          </w:p>
        </w:tc>
        <w:tc>
          <w:tcPr/>
          <w:p>
            <w:pPr>
              <w:pStyle w:val="Compact"/>
            </w:pPr>
            <w:r>
              <w:t xml:space="preserve">4.08</w:t>
            </w:r>
          </w:p>
        </w:tc>
        <w:tc>
          <w:tcPr/>
          <w:p>
            <w:pPr>
              <w:pStyle w:val="Compact"/>
            </w:pPr>
            <w:r>
              <w:t xml:space="preserve">−6.9</w:t>
            </w:r>
          </w:p>
        </w:tc>
        <w:tc>
          <w:tcPr/>
          <w:p>
            <w:pPr>
              <w:pStyle w:val="Compact"/>
            </w:pPr>
            <w:r>
              <w:t xml:space="preserve">4.41</w:t>
            </w:r>
          </w:p>
        </w:tc>
        <w:tc>
          <w:tcPr/>
          <w:p>
            <w:pPr>
              <w:pStyle w:val="Compact"/>
            </w:pPr>
            <w:r>
              <w:t xml:space="preserve">8.3</w:t>
            </w:r>
          </w:p>
        </w:tc>
      </w:tr>
      <w:tr>
        <w:tc>
          <w:tcPr/>
          <w:p>
            <w:pPr>
              <w:pStyle w:val="Compact"/>
            </w:pPr>
            <w:r>
              <w:t xml:space="preserve">I Ilocos</w:t>
            </w:r>
          </w:p>
        </w:tc>
        <w:tc>
          <w:tcPr/>
          <w:p>
            <w:pPr>
              <w:pStyle w:val="Compact"/>
            </w:pPr>
            <w:r>
              <w:t xml:space="preserve">9.9</w:t>
            </w:r>
          </w:p>
        </w:tc>
        <w:tc>
          <w:tcPr/>
          <w:p>
            <w:pPr>
              <w:pStyle w:val="Compact"/>
            </w:pPr>
            <w:r>
              <w:t xml:space="preserve">38.4</w:t>
            </w:r>
          </w:p>
        </w:tc>
        <w:tc>
          <w:tcPr/>
          <w:p>
            <w:pPr>
              <w:pStyle w:val="Compact"/>
            </w:pPr>
            <w:r>
              <w:t xml:space="preserve">3.62</w:t>
            </w:r>
          </w:p>
        </w:tc>
        <w:tc>
          <w:tcPr/>
          <w:p>
            <w:pPr>
              <w:pStyle w:val="Compact"/>
            </w:pPr>
            <w:r>
              <w:t xml:space="preserve">4.13</w:t>
            </w:r>
          </w:p>
        </w:tc>
        <w:tc>
          <w:tcPr/>
          <w:p>
            <w:pPr>
              <w:pStyle w:val="Compact"/>
            </w:pPr>
            <w:r>
              <w:t xml:space="preserve">−11.1</w:t>
            </w:r>
          </w:p>
        </w:tc>
        <w:tc>
          <w:tcPr/>
          <w:p>
            <w:pPr>
              <w:pStyle w:val="Compact"/>
            </w:pPr>
            <w:r>
              <w:t xml:space="preserve">4.47</w:t>
            </w:r>
          </w:p>
        </w:tc>
        <w:tc>
          <w:tcPr/>
          <w:p>
            <w:pPr>
              <w:pStyle w:val="Compact"/>
            </w:pPr>
            <w:r>
              <w:t xml:space="preserve">4.7</w:t>
            </w:r>
          </w:p>
        </w:tc>
      </w:tr>
      <w:tr>
        <w:tc>
          <w:tcPr/>
          <w:p>
            <w:pPr>
              <w:pStyle w:val="Compact"/>
            </w:pPr>
            <w:r>
              <w:t xml:space="preserve">II Cagayan Valley</w:t>
            </w:r>
          </w:p>
        </w:tc>
        <w:tc>
          <w:tcPr/>
          <w:p>
            <w:pPr>
              <w:pStyle w:val="Compact"/>
            </w:pPr>
            <w:r>
              <w:t xml:space="preserve">16.3</w:t>
            </w:r>
          </w:p>
        </w:tc>
        <w:tc>
          <w:tcPr/>
          <w:p>
            <w:pPr>
              <w:pStyle w:val="Compact"/>
            </w:pPr>
            <w:r>
              <w:t xml:space="preserve">43.9</w:t>
            </w:r>
          </w:p>
        </w:tc>
        <w:tc>
          <w:tcPr/>
          <w:p>
            <w:pPr>
              <w:pStyle w:val="Compact"/>
            </w:pPr>
            <w:r>
              <w:t xml:space="preserve">3.81</w:t>
            </w:r>
          </w:p>
        </w:tc>
        <w:tc>
          <w:tcPr/>
          <w:p>
            <w:pPr>
              <w:pStyle w:val="Compact"/>
            </w:pPr>
            <w:r>
              <w:t xml:space="preserve">4.27</w:t>
            </w:r>
          </w:p>
        </w:tc>
        <w:tc>
          <w:tcPr/>
          <w:p>
            <w:pPr>
              <w:pStyle w:val="Compact"/>
            </w:pPr>
            <w:r>
              <w:t xml:space="preserve">−10.9</w:t>
            </w:r>
          </w:p>
        </w:tc>
        <w:tc>
          <w:tcPr/>
          <w:p>
            <w:pPr>
              <w:pStyle w:val="Compact"/>
            </w:pPr>
            <w:r>
              <w:t xml:space="preserve">4.46</w:t>
            </w:r>
          </w:p>
        </w:tc>
        <w:tc>
          <w:tcPr/>
          <w:p>
            <w:pPr>
              <w:pStyle w:val="Compact"/>
            </w:pPr>
            <w:r>
              <w:t xml:space="preserve">7.1</w:t>
            </w:r>
          </w:p>
        </w:tc>
      </w:tr>
      <w:tr>
        <w:tc>
          <w:tcPr/>
          <w:p>
            <w:pPr>
              <w:pStyle w:val="Compact"/>
            </w:pPr>
            <w:r>
              <w:t xml:space="preserve">III Central Luzon</w:t>
            </w:r>
          </w:p>
        </w:tc>
        <w:tc>
          <w:tcPr/>
          <w:p>
            <w:pPr>
              <w:pStyle w:val="Compact"/>
            </w:pPr>
            <w:r>
              <w:t xml:space="preserve">7.0</w:t>
            </w:r>
          </w:p>
        </w:tc>
        <w:tc>
          <w:tcPr/>
          <w:p>
            <w:pPr>
              <w:pStyle w:val="Compact"/>
            </w:pPr>
            <w:r>
              <w:t xml:space="preserve">36.5</w:t>
            </w:r>
          </w:p>
        </w:tc>
        <w:tc>
          <w:tcPr/>
          <w:p>
            <w:pPr>
              <w:pStyle w:val="Compact"/>
            </w:pPr>
            <w:r>
              <w:t xml:space="preserve">3.83</w:t>
            </w:r>
          </w:p>
        </w:tc>
        <w:tc>
          <w:tcPr/>
          <w:p>
            <w:pPr>
              <w:pStyle w:val="Compact"/>
            </w:pPr>
            <w:r>
              <w:t xml:space="preserve">4.34</w:t>
            </w:r>
          </w:p>
        </w:tc>
        <w:tc>
          <w:tcPr/>
          <w:p>
            <w:pPr>
              <w:pStyle w:val="Compact"/>
            </w:pPr>
            <w:r>
              <w:t xml:space="preserve">−11.5</w:t>
            </w:r>
          </w:p>
        </w:tc>
        <w:tc>
          <w:tcPr/>
          <w:p>
            <w:pPr>
              <w:pStyle w:val="Compact"/>
            </w:pPr>
            <w:r>
              <w:t xml:space="preserve">4.51</w:t>
            </w:r>
          </w:p>
        </w:tc>
        <w:tc>
          <w:tcPr/>
          <w:p>
            <w:pPr>
              <w:pStyle w:val="Compact"/>
            </w:pPr>
            <w:r>
              <w:t xml:space="preserve">6.9</w:t>
            </w:r>
          </w:p>
        </w:tc>
      </w:tr>
      <w:tr>
        <w:tc>
          <w:tcPr/>
          <w:p>
            <w:pPr>
              <w:pStyle w:val="Compact"/>
            </w:pPr>
            <w:r>
              <w:t xml:space="preserve">IV-A CALABARZON</w:t>
            </w:r>
          </w:p>
        </w:tc>
        <w:tc>
          <w:tcPr/>
          <w:p>
            <w:pPr>
              <w:pStyle w:val="Compact"/>
            </w:pPr>
            <w:r>
              <w:t xml:space="preserve">7.1</w:t>
            </w:r>
          </w:p>
        </w:tc>
        <w:tc>
          <w:tcPr/>
          <w:p>
            <w:pPr>
              <w:pStyle w:val="Compact"/>
            </w:pPr>
            <w:r>
              <w:t xml:space="preserve">33.0</w:t>
            </w:r>
          </w:p>
        </w:tc>
        <w:tc>
          <w:tcPr/>
          <w:p>
            <w:pPr>
              <w:pStyle w:val="Compact"/>
            </w:pPr>
            <w:r>
              <w:t xml:space="preserve">3.77</w:t>
            </w:r>
          </w:p>
        </w:tc>
        <w:tc>
          <w:tcPr/>
          <w:p>
            <w:pPr>
              <w:pStyle w:val="Compact"/>
            </w:pPr>
            <w:r>
              <w:t xml:space="preserve">4.16</w:t>
            </w:r>
          </w:p>
        </w:tc>
        <w:tc>
          <w:tcPr/>
          <w:p>
            <w:pPr>
              <w:pStyle w:val="Compact"/>
            </w:pPr>
            <w:r>
              <w:t xml:space="preserve">−7.3</w:t>
            </w:r>
          </w:p>
        </w:tc>
        <w:tc>
          <w:tcPr/>
          <w:p>
            <w:pPr>
              <w:pStyle w:val="Compact"/>
            </w:pPr>
            <w:r>
              <w:t xml:space="preserve">4.65</w:t>
            </w:r>
          </w:p>
        </w:tc>
        <w:tc>
          <w:tcPr/>
          <w:p>
            <w:pPr>
              <w:pStyle w:val="Compact"/>
            </w:pPr>
            <w:r>
              <w:t xml:space="preserve">6.0</w:t>
            </w:r>
          </w:p>
        </w:tc>
      </w:tr>
      <w:tr>
        <w:tc>
          <w:tcPr/>
          <w:p>
            <w:pPr>
              <w:pStyle w:val="Compact"/>
            </w:pPr>
            <w:r>
              <w:t xml:space="preserve">MIMAROPA</w:t>
            </w:r>
          </w:p>
        </w:tc>
        <w:tc>
          <w:tcPr/>
          <w:p>
            <w:pPr>
              <w:pStyle w:val="Compact"/>
            </w:pPr>
            <w:r>
              <w:t xml:space="preserve">15.1</w:t>
            </w:r>
          </w:p>
        </w:tc>
        <w:tc>
          <w:tcPr/>
          <w:p>
            <w:pPr>
              <w:pStyle w:val="Compact"/>
            </w:pPr>
            <w:r>
              <w:t xml:space="preserve">46.4</w:t>
            </w:r>
          </w:p>
        </w:tc>
        <w:tc>
          <w:tcPr/>
          <w:p>
            <w:pPr>
              <w:pStyle w:val="Compact"/>
            </w:pPr>
            <w:r>
              <w:t xml:space="preserve">4.08</w:t>
            </w:r>
          </w:p>
        </w:tc>
        <w:tc>
          <w:tcPr/>
          <w:p>
            <w:pPr>
              <w:pStyle w:val="Compact"/>
            </w:pPr>
            <w:r>
              <w:t xml:space="preserve">4.31</w:t>
            </w:r>
          </w:p>
        </w:tc>
        <w:tc>
          <w:tcPr/>
          <w:p>
            <w:pPr>
              <w:pStyle w:val="Compact"/>
            </w:pPr>
            <w:r>
              <w:t xml:space="preserve">−4.2</w:t>
            </w:r>
          </w:p>
        </w:tc>
        <w:tc>
          <w:tcPr/>
          <w:p>
            <w:pPr>
              <w:pStyle w:val="Compact"/>
            </w:pPr>
            <w:r>
              <w:t xml:space="preserve">3.83</w:t>
            </w:r>
          </w:p>
        </w:tc>
        <w:tc>
          <w:tcPr/>
          <w:p>
            <w:pPr>
              <w:pStyle w:val="Compact"/>
            </w:pPr>
            <w:r>
              <w:t xml:space="preserve">6.8</w:t>
            </w:r>
          </w:p>
        </w:tc>
      </w:tr>
      <w:tr>
        <w:tc>
          <w:tcPr/>
          <w:p>
            <w:pPr>
              <w:pStyle w:val="Compact"/>
            </w:pPr>
            <w:r>
              <w:t xml:space="preserve">V Bicol</w:t>
            </w:r>
          </w:p>
        </w:tc>
        <w:tc>
          <w:tcPr/>
          <w:p>
            <w:pPr>
              <w:pStyle w:val="Compact"/>
            </w:pPr>
            <w:r>
              <w:t xml:space="preserve">27.0</w:t>
            </w:r>
          </w:p>
        </w:tc>
        <w:tc>
          <w:tcPr/>
          <w:p>
            <w:pPr>
              <w:pStyle w:val="Compact"/>
            </w:pPr>
            <w:r>
              <w:t xml:space="preserve">45.6</w:t>
            </w:r>
          </w:p>
        </w:tc>
        <w:tc>
          <w:tcPr/>
          <w:p>
            <w:pPr>
              <w:pStyle w:val="Compact"/>
            </w:pPr>
            <w:r>
              <w:t xml:space="preserve">4.09</w:t>
            </w:r>
          </w:p>
        </w:tc>
        <w:tc>
          <w:tcPr/>
          <w:p>
            <w:pPr>
              <w:pStyle w:val="Compact"/>
            </w:pPr>
            <w:r>
              <w:t xml:space="preserve">4.34</w:t>
            </w:r>
          </w:p>
        </w:tc>
        <w:tc>
          <w:tcPr/>
          <w:p>
            <w:pPr>
              <w:pStyle w:val="Compact"/>
            </w:pPr>
            <w:r>
              <w:t xml:space="preserve">−5.8</w:t>
            </w:r>
          </w:p>
        </w:tc>
        <w:tc>
          <w:tcPr/>
          <w:p>
            <w:pPr>
              <w:pStyle w:val="Compact"/>
            </w:pPr>
            <w:r>
              <w:t xml:space="preserve">4.24</w:t>
            </w:r>
          </w:p>
        </w:tc>
        <w:tc>
          <w:tcPr/>
          <w:p>
            <w:pPr>
              <w:pStyle w:val="Compact"/>
            </w:pPr>
            <w:r>
              <w:t xml:space="preserve">9.3</w:t>
            </w:r>
          </w:p>
        </w:tc>
      </w:tr>
      <w:tr>
        <w:tc>
          <w:tcPr/>
          <w:p>
            <w:pPr>
              <w:pStyle w:val="Compact"/>
            </w:pPr>
            <w:r>
              <w:t xml:space="preserve">VI Western Visayas</w:t>
            </w:r>
          </w:p>
        </w:tc>
        <w:tc>
          <w:tcPr/>
          <w:p>
            <w:pPr>
              <w:pStyle w:val="Compact"/>
            </w:pPr>
            <w:r>
              <w:t xml:space="preserve">14.2</w:t>
            </w:r>
          </w:p>
        </w:tc>
        <w:tc>
          <w:tcPr/>
          <w:p>
            <w:pPr>
              <w:pStyle w:val="Compact"/>
            </w:pPr>
            <w:r>
              <w:t xml:space="preserve">42.6</w:t>
            </w:r>
          </w:p>
        </w:tc>
        <w:tc>
          <w:tcPr/>
          <w:p>
            <w:pPr>
              <w:pStyle w:val="Compact"/>
            </w:pPr>
            <w:r>
              <w:t xml:space="preserve">3.91</w:t>
            </w:r>
          </w:p>
        </w:tc>
        <w:tc>
          <w:tcPr/>
          <w:p>
            <w:pPr>
              <w:pStyle w:val="Compact"/>
            </w:pPr>
            <w:r>
              <w:t xml:space="preserve">4.31</w:t>
            </w:r>
          </w:p>
        </w:tc>
        <w:tc>
          <w:tcPr/>
          <w:p>
            <w:pPr>
              <w:pStyle w:val="Compact"/>
            </w:pPr>
            <w:r>
              <w:t xml:space="preserve">−9.1</w:t>
            </w:r>
          </w:p>
        </w:tc>
        <w:tc>
          <w:tcPr/>
          <w:p>
            <w:pPr>
              <w:pStyle w:val="Compact"/>
            </w:pPr>
            <w:r>
              <w:t xml:space="preserve">4.39</w:t>
            </w:r>
          </w:p>
        </w:tc>
        <w:tc>
          <w:tcPr/>
          <w:p>
            <w:pPr>
              <w:pStyle w:val="Compact"/>
            </w:pPr>
            <w:r>
              <w:t xml:space="preserve">10.4</w:t>
            </w:r>
          </w:p>
        </w:tc>
      </w:tr>
      <w:tr>
        <w:tc>
          <w:tcPr/>
          <w:p>
            <w:pPr>
              <w:pStyle w:val="Compact"/>
            </w:pPr>
            <w:r>
              <w:t xml:space="preserve">VII Central Visayas</w:t>
            </w:r>
          </w:p>
        </w:tc>
        <w:tc>
          <w:tcPr/>
          <w:p>
            <w:pPr>
              <w:pStyle w:val="Compact"/>
            </w:pPr>
            <w:r>
              <w:t xml:space="preserve">16.1</w:t>
            </w:r>
          </w:p>
        </w:tc>
        <w:tc>
          <w:tcPr/>
          <w:p>
            <w:pPr>
              <w:pStyle w:val="Compact"/>
            </w:pPr>
            <w:r>
              <w:t xml:space="preserve">37.9</w:t>
            </w:r>
          </w:p>
        </w:tc>
        <w:tc>
          <w:tcPr/>
          <w:p>
            <w:pPr>
              <w:pStyle w:val="Compact"/>
            </w:pPr>
            <w:r>
              <w:t xml:space="preserve">3.93</w:t>
            </w:r>
          </w:p>
        </w:tc>
        <w:tc>
          <w:tcPr/>
          <w:p>
            <w:pPr>
              <w:pStyle w:val="Compact"/>
            </w:pPr>
            <w:r>
              <w:t xml:space="preserve">4.58</w:t>
            </w:r>
          </w:p>
        </w:tc>
        <w:tc>
          <w:tcPr/>
          <w:p>
            <w:pPr>
              <w:pStyle w:val="Compact"/>
            </w:pPr>
            <w:r>
              <w:t xml:space="preserve">−16.0</w:t>
            </w:r>
          </w:p>
        </w:tc>
        <w:tc>
          <w:tcPr/>
          <w:p>
            <w:pPr>
              <w:pStyle w:val="Compact"/>
            </w:pPr>
            <w:r>
              <w:t xml:space="preserve">4.24</w:t>
            </w:r>
          </w:p>
        </w:tc>
        <w:tc>
          <w:tcPr/>
          <w:p>
            <w:pPr>
              <w:pStyle w:val="Compact"/>
            </w:pPr>
            <w:r>
              <w:t xml:space="preserve">9.7</w:t>
            </w:r>
          </w:p>
        </w:tc>
      </w:tr>
      <w:tr>
        <w:tc>
          <w:tcPr/>
          <w:p>
            <w:pPr>
              <w:pStyle w:val="Compact"/>
            </w:pPr>
            <w:r>
              <w:t xml:space="preserve">VIII Eastern Visayas</w:t>
            </w:r>
          </w:p>
        </w:tc>
        <w:tc>
          <w:tcPr/>
          <w:p>
            <w:pPr>
              <w:pStyle w:val="Compact"/>
            </w:pPr>
            <w:r>
              <w:t xml:space="preserve">30.7</w:t>
            </w:r>
          </w:p>
        </w:tc>
        <w:tc>
          <w:tcPr/>
          <w:p>
            <w:pPr>
              <w:pStyle w:val="Compact"/>
            </w:pPr>
            <w:r>
              <w:t xml:space="preserve">47.4</w:t>
            </w:r>
          </w:p>
        </w:tc>
        <w:tc>
          <w:tcPr/>
          <w:p>
            <w:pPr>
              <w:pStyle w:val="Compact"/>
            </w:pPr>
            <w:r>
              <w:t xml:space="preserve">3.93</w:t>
            </w:r>
          </w:p>
        </w:tc>
        <w:tc>
          <w:tcPr/>
          <w:p>
            <w:pPr>
              <w:pStyle w:val="Compact"/>
            </w:pPr>
            <w:r>
              <w:t xml:space="preserve">4.57</w:t>
            </w:r>
          </w:p>
        </w:tc>
        <w:tc>
          <w:tcPr/>
          <w:p>
            <w:pPr>
              <w:pStyle w:val="Compact"/>
            </w:pPr>
            <w:r>
              <w:t xml:space="preserve">−14.2</w:t>
            </w:r>
          </w:p>
        </w:tc>
        <w:tc>
          <w:tcPr/>
          <w:p>
            <w:pPr>
              <w:pStyle w:val="Compact"/>
            </w:pPr>
            <w:r>
              <w:t xml:space="preserve">4.15</w:t>
            </w:r>
          </w:p>
        </w:tc>
        <w:tc>
          <w:tcPr/>
          <w:p>
            <w:pPr>
              <w:pStyle w:val="Compact"/>
            </w:pPr>
            <w:r>
              <w:t xml:space="preserve">9.9</w:t>
            </w:r>
          </w:p>
        </w:tc>
      </w:tr>
      <w:tr>
        <w:tc>
          <w:tcPr/>
          <w:p>
            <w:pPr>
              <w:pStyle w:val="Compact"/>
            </w:pPr>
            <w:r>
              <w:t xml:space="preserve">IX Zamboanga Peninsula</w:t>
            </w:r>
          </w:p>
        </w:tc>
        <w:tc>
          <w:tcPr/>
          <w:p>
            <w:pPr>
              <w:pStyle w:val="Compact"/>
            </w:pPr>
            <w:r>
              <w:t xml:space="preserve">32.7</w:t>
            </w:r>
          </w:p>
        </w:tc>
        <w:tc>
          <w:tcPr/>
          <w:p>
            <w:pPr>
              <w:pStyle w:val="Compact"/>
            </w:pPr>
            <w:r>
              <w:t xml:space="preserve">49.6</w:t>
            </w:r>
          </w:p>
        </w:tc>
        <w:tc>
          <w:tcPr/>
          <w:p>
            <w:pPr>
              <w:pStyle w:val="Compact"/>
            </w:pPr>
            <w:r>
              <w:t xml:space="preserve">4.01</w:t>
            </w:r>
          </w:p>
        </w:tc>
        <w:tc>
          <w:tcPr/>
          <w:p>
            <w:pPr>
              <w:pStyle w:val="Compact"/>
            </w:pPr>
            <w:r>
              <w:t xml:space="preserve">4.24</w:t>
            </w:r>
          </w:p>
        </w:tc>
        <w:tc>
          <w:tcPr/>
          <w:p>
            <w:pPr>
              <w:pStyle w:val="Compact"/>
            </w:pPr>
            <w:r>
              <w:t xml:space="preserve">−4.4</w:t>
            </w:r>
          </w:p>
        </w:tc>
        <w:tc>
          <w:tcPr/>
          <w:p>
            <w:pPr>
              <w:pStyle w:val="Compact"/>
            </w:pPr>
            <w:r>
              <w:t xml:space="preserve">4.31</w:t>
            </w:r>
          </w:p>
        </w:tc>
        <w:tc>
          <w:tcPr/>
          <w:p>
            <w:pPr>
              <w:pStyle w:val="Compact"/>
            </w:pPr>
            <w:r>
              <w:t xml:space="preserve">10.0</w:t>
            </w:r>
          </w:p>
        </w:tc>
      </w:tr>
      <w:tr>
        <w:tc>
          <w:tcPr/>
          <w:p>
            <w:pPr>
              <w:pStyle w:val="Compact"/>
            </w:pPr>
            <w:r>
              <w:t xml:space="preserve">X Northern Mindanao</w:t>
            </w:r>
          </w:p>
        </w:tc>
        <w:tc>
          <w:tcPr/>
          <w:p>
            <w:pPr>
              <w:pStyle w:val="Compact"/>
            </w:pPr>
            <w:r>
              <w:t xml:space="preserve">23.1</w:t>
            </w:r>
          </w:p>
        </w:tc>
        <w:tc>
          <w:tcPr/>
          <w:p>
            <w:pPr>
              <w:pStyle w:val="Compact"/>
            </w:pPr>
            <w:r>
              <w:t xml:space="preserve">43.1</w:t>
            </w:r>
          </w:p>
        </w:tc>
        <w:tc>
          <w:tcPr/>
          <w:p>
            <w:pPr>
              <w:pStyle w:val="Compact"/>
            </w:pPr>
            <w:r>
              <w:t xml:space="preserve">4.32</w:t>
            </w:r>
          </w:p>
        </w:tc>
        <w:tc>
          <w:tcPr/>
          <w:p>
            <w:pPr>
              <w:pStyle w:val="Compact"/>
            </w:pPr>
            <w:r>
              <w:t xml:space="preserve">4.70</w:t>
            </w:r>
          </w:p>
        </w:tc>
        <w:tc>
          <w:tcPr/>
          <w:p>
            <w:pPr>
              <w:pStyle w:val="Compact"/>
            </w:pPr>
            <w:r>
              <w:t xml:space="preserve">−8.6</w:t>
            </w:r>
          </w:p>
        </w:tc>
        <w:tc>
          <w:tcPr/>
          <w:p>
            <w:pPr>
              <w:pStyle w:val="Compact"/>
            </w:pPr>
            <w:r>
              <w:t xml:space="preserve">4.30</w:t>
            </w:r>
          </w:p>
        </w:tc>
        <w:tc>
          <w:tcPr/>
          <w:p>
            <w:pPr>
              <w:pStyle w:val="Compact"/>
            </w:pPr>
            <w:r>
              <w:t xml:space="preserve">7.2</w:t>
            </w:r>
          </w:p>
        </w:tc>
      </w:tr>
      <w:tr>
        <w:tc>
          <w:tcPr/>
          <w:p>
            <w:pPr>
              <w:pStyle w:val="Compact"/>
            </w:pPr>
            <w:r>
              <w:t xml:space="preserve">XI Davao</w:t>
            </w:r>
          </w:p>
        </w:tc>
        <w:tc>
          <w:tcPr/>
          <w:p>
            <w:pPr>
              <w:pStyle w:val="Compact"/>
            </w:pPr>
            <w:r>
              <w:t xml:space="preserve">19.1</w:t>
            </w:r>
          </w:p>
        </w:tc>
        <w:tc>
          <w:tcPr/>
          <w:p>
            <w:pPr>
              <w:pStyle w:val="Compact"/>
            </w:pPr>
            <w:r>
              <w:t xml:space="preserve">43.0</w:t>
            </w:r>
          </w:p>
        </w:tc>
        <w:tc>
          <w:tcPr/>
          <w:p>
            <w:pPr>
              <w:pStyle w:val="Compact"/>
            </w:pPr>
            <w:r>
              <w:t xml:space="preserve">4.14</w:t>
            </w:r>
          </w:p>
        </w:tc>
        <w:tc>
          <w:tcPr/>
          <w:p>
            <w:pPr>
              <w:pStyle w:val="Compact"/>
            </w:pPr>
            <w:r>
              <w:t xml:space="preserve">4.53</w:t>
            </w:r>
          </w:p>
        </w:tc>
        <w:tc>
          <w:tcPr/>
          <w:p>
            <w:pPr>
              <w:pStyle w:val="Compact"/>
            </w:pPr>
            <w:r>
              <w:t xml:space="preserve">−8.9</w:t>
            </w:r>
          </w:p>
        </w:tc>
        <w:tc>
          <w:tcPr/>
          <w:p>
            <w:pPr>
              <w:pStyle w:val="Compact"/>
            </w:pPr>
            <w:r>
              <w:t xml:space="preserve">4.27</w:t>
            </w:r>
          </w:p>
        </w:tc>
        <w:tc>
          <w:tcPr/>
          <w:p>
            <w:pPr>
              <w:pStyle w:val="Compact"/>
            </w:pPr>
            <w:r>
              <w:t xml:space="preserve">12.1</w:t>
            </w:r>
          </w:p>
        </w:tc>
      </w:tr>
      <w:tr>
        <w:tc>
          <w:tcPr/>
          <w:p>
            <w:pPr>
              <w:pStyle w:val="Compact"/>
            </w:pPr>
            <w:r>
              <w:t xml:space="preserve">XII SOCCSKSARGEN</w:t>
            </w:r>
          </w:p>
        </w:tc>
        <w:tc>
          <w:tcPr/>
          <w:p>
            <w:pPr>
              <w:pStyle w:val="Compact"/>
            </w:pPr>
            <w:r>
              <w:t xml:space="preserve">27.3</w:t>
            </w:r>
          </w:p>
        </w:tc>
        <w:tc>
          <w:tcPr/>
          <w:p>
            <w:pPr>
              <w:pStyle w:val="Compact"/>
            </w:pPr>
            <w:r>
              <w:t xml:space="preserve">45.7</w:t>
            </w:r>
          </w:p>
        </w:tc>
        <w:tc>
          <w:tcPr/>
          <w:p>
            <w:pPr>
              <w:pStyle w:val="Compact"/>
            </w:pPr>
            <w:r>
              <w:t xml:space="preserve">4.08</w:t>
            </w:r>
          </w:p>
        </w:tc>
        <w:tc>
          <w:tcPr/>
          <w:p>
            <w:pPr>
              <w:pStyle w:val="Compact"/>
            </w:pPr>
            <w:r>
              <w:t xml:space="preserve">4.42</w:t>
            </w:r>
          </w:p>
        </w:tc>
        <w:tc>
          <w:tcPr/>
          <w:p>
            <w:pPr>
              <w:pStyle w:val="Compact"/>
            </w:pPr>
            <w:r>
              <w:t xml:space="preserve">−8.1</w:t>
            </w:r>
          </w:p>
        </w:tc>
        <w:tc>
          <w:tcPr/>
          <w:p>
            <w:pPr>
              <w:pStyle w:val="Compact"/>
            </w:pPr>
            <w:r>
              <w:t xml:space="preserve">4.02</w:t>
            </w:r>
          </w:p>
        </w:tc>
        <w:tc>
          <w:tcPr/>
          <w:p>
            <w:pPr>
              <w:pStyle w:val="Compact"/>
            </w:pPr>
            <w:r>
              <w:t xml:space="preserve">8.6</w:t>
            </w:r>
          </w:p>
        </w:tc>
      </w:tr>
      <w:tr>
        <w:tc>
          <w:tcPr/>
          <w:p>
            <w:pPr>
              <w:pStyle w:val="Compact"/>
            </w:pPr>
            <w:r>
              <w:t xml:space="preserve">XIII Caraga</w:t>
            </w:r>
          </w:p>
        </w:tc>
        <w:tc>
          <w:tcPr/>
          <w:p>
            <w:pPr>
              <w:pStyle w:val="Compact"/>
            </w:pPr>
            <w:r>
              <w:t xml:space="preserve">30.5</w:t>
            </w:r>
          </w:p>
        </w:tc>
        <w:tc>
          <w:tcPr/>
          <w:p>
            <w:pPr>
              <w:pStyle w:val="Compact"/>
            </w:pPr>
            <w:r>
              <w:t xml:space="preserve">46.7</w:t>
            </w:r>
          </w:p>
        </w:tc>
        <w:tc>
          <w:tcPr/>
          <w:p>
            <w:pPr>
              <w:pStyle w:val="Compact"/>
            </w:pPr>
            <w:r>
              <w:t xml:space="preserve">4.30</w:t>
            </w:r>
          </w:p>
        </w:tc>
        <w:tc>
          <w:tcPr/>
          <w:p>
            <w:pPr>
              <w:pStyle w:val="Compact"/>
            </w:pPr>
            <w:r>
              <w:t xml:space="preserve">4.54</w:t>
            </w:r>
          </w:p>
        </w:tc>
        <w:tc>
          <w:tcPr/>
          <w:p>
            <w:pPr>
              <w:pStyle w:val="Compact"/>
            </w:pPr>
            <w:r>
              <w:t xml:space="preserve">−4.7</w:t>
            </w:r>
          </w:p>
        </w:tc>
        <w:tc>
          <w:tcPr/>
          <w:p>
            <w:pPr>
              <w:pStyle w:val="Compact"/>
            </w:pPr>
            <w:r>
              <w:t xml:space="preserve">4.12</w:t>
            </w:r>
          </w:p>
        </w:tc>
        <w:tc>
          <w:tcPr/>
          <w:p>
            <w:pPr>
              <w:pStyle w:val="Compact"/>
            </w:pPr>
            <w:r>
              <w:t xml:space="preserve">10.4</w:t>
            </w:r>
          </w:p>
        </w:tc>
      </w:tr>
      <w:tr>
        <w:tc>
          <w:tcPr/>
          <w:p>
            <w:pPr>
              <w:pStyle w:val="Compact"/>
            </w:pPr>
            <w:r>
              <w:t xml:space="preserve">BARMM</w:t>
            </w:r>
          </w:p>
        </w:tc>
        <w:tc>
          <w:tcPr/>
          <w:p>
            <w:pPr>
              <w:pStyle w:val="Compact"/>
            </w:pPr>
            <w:r>
              <w:t xml:space="preserve">60.4</w:t>
            </w:r>
          </w:p>
        </w:tc>
        <w:tc>
          <w:tcPr/>
          <w:p>
            <w:pPr>
              <w:pStyle w:val="Compact"/>
            </w:pPr>
            <w:r>
              <w:t xml:space="preserve">59.4</w:t>
            </w:r>
          </w:p>
        </w:tc>
        <w:tc>
          <w:tcPr/>
          <w:p>
            <w:pPr>
              <w:pStyle w:val="Compact"/>
            </w:pPr>
            <w:r>
              <w:t xml:space="preserve">4.44</w:t>
            </w:r>
          </w:p>
        </w:tc>
        <w:tc>
          <w:tcPr/>
          <w:p>
            <w:pPr>
              <w:pStyle w:val="Compact"/>
            </w:pPr>
            <w:r>
              <w:t xml:space="preserve">4.87</w:t>
            </w:r>
          </w:p>
        </w:tc>
        <w:tc>
          <w:tcPr/>
          <w:p>
            <w:pPr>
              <w:pStyle w:val="Compact"/>
            </w:pPr>
            <w:r>
              <w:t xml:space="preserve">−9.3</w:t>
            </w:r>
          </w:p>
        </w:tc>
        <w:tc>
          <w:tcPr/>
          <w:p>
            <w:pPr>
              <w:pStyle w:val="Compact"/>
            </w:pPr>
            <w:r>
              <w:t xml:space="preserve">3.92</w:t>
            </w:r>
          </w:p>
        </w:tc>
        <w:tc>
          <w:tcPr/>
          <w:p>
            <w:pPr>
              <w:pStyle w:val="Compact"/>
            </w:pPr>
            <w:r>
              <w:t xml:space="preserve">9.0</w:t>
            </w:r>
          </w:p>
        </w:tc>
      </w:tr>
      <w:tr>
        <w:tc>
          <w:tcPr/>
          <w:p>
            <w:pPr>
              <w:pStyle w:val="Compact"/>
            </w:pPr>
            <w:r>
              <w:t xml:space="preserve">Philippines</w:t>
            </w:r>
          </w:p>
        </w:tc>
        <w:tc>
          <w:tcPr/>
          <w:p>
            <w:pPr>
              <w:pStyle w:val="Compact"/>
            </w:pPr>
            <w:r>
              <w:t xml:space="preserve">16.7</w:t>
            </w:r>
          </w:p>
        </w:tc>
        <w:tc>
          <w:tcPr/>
          <w:p>
            <w:pPr>
              <w:pStyle w:val="Compact"/>
            </w:pPr>
            <w:r>
              <w:t xml:space="preserve">37.7</w:t>
            </w:r>
          </w:p>
        </w:tc>
        <w:tc>
          <w:tcPr/>
          <w:p>
            <w:pPr>
              <w:pStyle w:val="Compact"/>
            </w:pPr>
            <w:r>
              <w:t xml:space="preserve">3.84</w:t>
            </w:r>
          </w:p>
        </w:tc>
        <w:tc>
          <w:tcPr/>
          <w:p>
            <w:pPr>
              <w:pStyle w:val="Compact"/>
            </w:pPr>
            <w:r>
              <w:t xml:space="preserve">4.41</w:t>
            </w:r>
          </w:p>
        </w:tc>
        <w:tc>
          <w:tcPr/>
          <w:p>
            <w:pPr>
              <w:pStyle w:val="Compact"/>
            </w:pPr>
            <w:r>
              <w:t xml:space="preserve">−13.3</w:t>
            </w:r>
          </w:p>
        </w:tc>
        <w:tc>
          <w:tcPr/>
          <w:p>
            <w:pPr>
              <w:pStyle w:val="Compact"/>
            </w:pPr>
            <w:r>
              <w:t xml:space="preserve">4.37</w:t>
            </w:r>
          </w:p>
        </w:tc>
        <w:tc>
          <w:tcPr/>
          <w:p>
            <w:pPr>
              <w:pStyle w:val="Compact"/>
            </w:pPr>
            <w:r>
              <w:t xml:space="preserve">8.2</w:t>
            </w:r>
          </w:p>
        </w:tc>
      </w:tr>
    </w:tbl>
    <w:bookmarkEnd w:id="69"/>
    <w:bookmarkStart w:id="70" w:name="stationarity"/>
    <w:p>
      <w:pPr>
        <w:pStyle w:val="Heading3"/>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 statistic</w:t>
            </w:r>
          </w:p>
        </w:tc>
        <w:tc>
          <w:tcPr/>
          <w:p>
            <w:pPr>
              <w:pStyle w:val="Compact"/>
            </w:pPr>
            <w:r>
              <w:t xml:space="preserve">p-value</w:t>
            </w:r>
          </w:p>
        </w:tc>
        <w:tc>
          <w:tcPr/>
          <w:p>
            <w:pPr>
              <w:pStyle w:val="Compact"/>
            </w:pPr>
            <w:r>
              <w:t xml:space="preserve">Lags</w:t>
            </w:r>
          </w:p>
        </w:tc>
        <w:tc>
          <w:tcPr/>
          <w:p>
            <w:pPr>
              <w:pStyle w:val="Compact"/>
            </w:pPr>
            <w:r>
              <w:t xml:space="preserve">N</w:t>
            </w:r>
          </w:p>
        </w:tc>
      </w:tr>
      <w:tr>
        <w:tc>
          <w:tcPr/>
          <w:p>
            <w:pPr>
              <w:pStyle w:val="Compact"/>
            </w:pPr>
            <w:r>
              <w:t xml:space="preserve">ln fuel index</w:t>
            </w:r>
          </w:p>
        </w:tc>
        <w:tc>
          <w:tcPr/>
          <w:p>
            <w:pPr>
              <w:pStyle w:val="Compact"/>
            </w:pPr>
            <w:r>
              <w:t xml:space="preserve">level</w:t>
            </w:r>
          </w:p>
        </w:tc>
        <w:tc>
          <w:tcPr/>
          <w:p>
            <w:pPr>
              <w:pStyle w:val="Compact"/>
            </w:pPr>
            <w:r>
              <w:t xml:space="preserve">−2.22</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−1.62</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−9.59</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70"/>
    <w:bookmarkEnd w:id="71"/>
    <w:bookmarkStart w:id="93" w:name="X003c7fe127aa3ad497868b27af658b3100b5247"/>
    <w:p>
      <w:pPr>
        <w:pStyle w:val="Heading2"/>
      </w:pPr>
      <w:r>
        <w:t xml:space="preserve">5.2 Objective 2: estimates of pass-through and distributional effects</w:t>
      </w:r>
    </w:p>
    <w:bookmarkStart w:id="72" w:name="validation-1"/>
    <w:p>
      <w:pPr>
        <w:pStyle w:val="Heading3"/>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Test</w:t>
            </w:r>
          </w:p>
        </w:tc>
        <w:tc>
          <w:tcPr/>
          <w:p>
            <w:pPr>
              <w:pStyle w:val="Compact"/>
            </w:pPr>
            <w:r>
              <w:t xml:space="preserve">Shock</w:t>
            </w:r>
          </w:p>
        </w:tc>
        <w:tc>
          <w:tcPr/>
          <w:p>
            <w:pPr>
              <w:pStyle w:val="Compact"/>
            </w:pPr>
            <w:r>
              <w:t xml:space="preserve">h = 0</w:t>
            </w:r>
          </w:p>
        </w:tc>
        <w:tc>
          <w:tcPr/>
          <w:p>
            <w:pPr>
              <w:pStyle w:val="Compact"/>
            </w:pPr>
            <w:r>
              <w:t xml:space="preserve">h = 1</w:t>
            </w:r>
          </w:p>
        </w:tc>
        <w:tc>
          <w:tcPr/>
          <w:p>
            <w:pPr>
              <w:pStyle w:val="Compact"/>
            </w:pPr>
            <w:r>
              <w:t xml:space="preserve">h = 2</w:t>
            </w:r>
          </w:p>
        </w:tc>
        <w:tc>
          <w:tcPr/>
          <w:p>
            <w:pPr>
              <w:pStyle w:val="Compact"/>
            </w:pPr>
            <w:r>
              <w:t xml:space="preserve">h = 3</w:t>
            </w:r>
          </w:p>
        </w:tc>
        <w:tc>
          <w:tcPr/>
          <w:p>
            <w:pPr>
              <w:pStyle w:val="Compact"/>
            </w:pPr>
            <w:r>
              <w:t xml:space="preserve">h = 4</w:t>
            </w:r>
          </w:p>
        </w:tc>
        <w:tc>
          <w:tcPr/>
          <w:p>
            <w:pPr>
              <w:pStyle w:val="Compact"/>
            </w:pPr>
            <w:r>
              <w:t xml:space="preserve">h = 5</w:t>
            </w:r>
          </w:p>
        </w:tc>
        <w:tc>
          <w:tcPr/>
          <w:p>
            <w:pPr>
              <w:pStyle w:val="Compact"/>
            </w:pPr>
            <w:r>
              <w:t xml:space="preserve">h = 6</w:t>
            </w:r>
          </w:p>
        </w:tc>
        <w:tc>
          <w:tcPr/>
          <w:p>
            <w:pPr>
              <w:pStyle w:val="Compact"/>
            </w:pPr>
            <w:r>
              <w:t xml:space="preserve">Reference value at h = 0</w:t>
            </w:r>
          </w:p>
        </w:tc>
      </w:tr>
      <w:tr>
        <w:tc>
          <w:tcPr/>
          <w:p>
            <w:pPr>
              <w:pStyle w:val="Compact"/>
            </w:pPr>
            <w:r>
              <w:t xml:space="preserve">G1</w:t>
            </w:r>
          </w:p>
        </w:tc>
        <w:tc>
          <w:tcPr/>
          <w:p>
            <w:pPr>
              <w:pStyle w:val="Compact"/>
            </w:pPr>
            <w:r>
              <w:t xml:space="preserve">Pump price after tax, EU 2005–2019</w:t>
            </w:r>
          </w:p>
        </w:tc>
        <w:tc>
          <w:tcPr/>
          <w:p>
            <w:pPr>
              <w:pStyle w:val="Compact"/>
            </w:pPr>
            <w:r>
              <w:t xml:space="preserve">0.057***</w:t>
            </w:r>
          </w:p>
        </w:tc>
        <w:tc>
          <w:tcPr/>
          <w:p>
            <w:pPr>
              <w:pStyle w:val="Compact"/>
            </w:pPr>
            <w:r>
              <w:t xml:space="preserve">0.026***</w:t>
            </w:r>
          </w:p>
        </w:tc>
        <w:tc>
          <w:tcPr/>
          <w:p>
            <w:pPr>
              <w:pStyle w:val="Compact"/>
            </w:pPr>
            <w:r>
              <w:t xml:space="preserve">−0.002</w:t>
            </w:r>
          </w:p>
        </w:tc>
        <w:tc>
          <w:tcPr/>
          <w:p>
            <w:pPr>
              <w:pStyle w:val="Compact"/>
            </w:pPr>
            <w:r>
              <w:t xml:space="preserve">−0.000</w:t>
            </w:r>
          </w:p>
        </w:tc>
        <w:tc>
          <w:tcPr/>
          <w:p>
            <w:pPr>
              <w:pStyle w:val="Compact"/>
            </w:pPr>
            <w:r>
              <w:t xml:space="preserve">0.003</w:t>
            </w:r>
          </w:p>
        </w:tc>
        <w:tc>
          <w:tcPr/>
          <w:p>
            <w:pPr>
              <w:pStyle w:val="Compact"/>
            </w:pPr>
            <w:r>
              <w:t xml:space="preserve">0.000</w:t>
            </w:r>
          </w:p>
        </w:tc>
        <w:tc>
          <w:tcPr/>
          <w:p>
            <w:pPr>
              <w:pStyle w:val="Compact"/>
            </w:pPr>
            <w:r>
              <w:t xml:space="preserve">0.006***</w:t>
            </w:r>
          </w:p>
        </w:tc>
        <w:tc>
          <w:tcPr/>
          <w:p>
            <w:pPr>
              <w:pStyle w:val="Compact"/>
            </w:pPr>
            <w:r>
              <w:t xml:space="preserve">0.055</w:t>
            </w:r>
          </w:p>
        </w:tc>
      </w:tr>
      <w:tr>
        <w:tc>
          <w:tcPr/>
          <w:p>
            <w:pPr>
              <w:pStyle w:val="Compact"/>
            </w:pPr>
            <w:r>
              <w:t xml:space="preserve">G2</w:t>
            </w:r>
          </w:p>
        </w:tc>
        <w:tc>
          <w:tcPr/>
          <w:p>
            <w:pPr>
              <w:pStyle w:val="Compact"/>
            </w:pPr>
            <w:r>
              <w:t xml:space="preserve">Pump price before tax (+ tax control)</w:t>
            </w:r>
          </w:p>
        </w:tc>
        <w:tc>
          <w:tcPr/>
          <w:p>
            <w:pPr>
              <w:pStyle w:val="Compact"/>
            </w:pPr>
            <w:r>
              <w:t xml:space="preserve">0.024***</w:t>
            </w:r>
          </w:p>
        </w:tc>
        <w:tc>
          <w:tcPr/>
          <w:p>
            <w:pPr>
              <w:pStyle w:val="Compact"/>
            </w:pPr>
            <w:r>
              <w:t xml:space="preserve">0.012***</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0.000</w:t>
            </w:r>
          </w:p>
        </w:tc>
        <w:tc>
          <w:tcPr/>
          <w:p>
            <w:pPr>
              <w:pStyle w:val="Compact"/>
            </w:pPr>
            <w:r>
              <w:t xml:space="preserve">0.005***</w:t>
            </w:r>
          </w:p>
        </w:tc>
        <w:tc>
          <w:tcPr/>
          <w:p>
            <w:pPr>
              <w:pStyle w:val="Compact"/>
            </w:pPr>
            <w:r>
              <w:t xml:space="preserve">0.020</w:t>
            </w:r>
          </w:p>
        </w:tc>
      </w:tr>
      <w:tr>
        <w:tc>
          <w:tcPr/>
          <w:p>
            <w:pPr>
              <w:pStyle w:val="Compact"/>
            </w:pPr>
            <w:r>
              <w:t xml:space="preserve">G2</w:t>
            </w:r>
          </w:p>
        </w:tc>
        <w:tc>
          <w:tcPr/>
          <w:p>
            <w:pPr>
              <w:pStyle w:val="Compact"/>
            </w:pPr>
            <w:r>
              <w:t xml:space="preserve">Brent crude in euro</w:t>
            </w:r>
          </w:p>
        </w:tc>
        <w:tc>
          <w:tcPr/>
          <w:p>
            <w:pPr>
              <w:pStyle w:val="Compact"/>
            </w:pPr>
            <w:r>
              <w:t xml:space="preserve">0.014***</w:t>
            </w:r>
          </w:p>
        </w:tc>
        <w:tc>
          <w:tcPr/>
          <w:p>
            <w:pPr>
              <w:pStyle w:val="Compact"/>
            </w:pPr>
            <w:r>
              <w:t xml:space="preserve">0.015***</w:t>
            </w:r>
          </w:p>
        </w:tc>
        <w:tc>
          <w:tcPr/>
          <w:p>
            <w:pPr>
              <w:pStyle w:val="Compact"/>
            </w:pPr>
            <w:r>
              <w:t xml:space="preserve">0.001</w:t>
            </w:r>
          </w:p>
        </w:tc>
        <w:tc>
          <w:tcPr/>
          <w:p>
            <w:pPr>
              <w:pStyle w:val="Compact"/>
            </w:pPr>
            <w:r>
              <w:t xml:space="preserve">0.000</w:t>
            </w:r>
          </w:p>
        </w:tc>
        <w:tc>
          <w:tcPr/>
          <w:p>
            <w:pPr>
              <w:pStyle w:val="Compact"/>
            </w:pPr>
            <w:r>
              <w:t xml:space="preserve">0.003***</w:t>
            </w:r>
          </w:p>
        </w:tc>
        <w:tc>
          <w:tcPr/>
          <w:p>
            <w:pPr>
              <w:pStyle w:val="Compact"/>
            </w:pPr>
            <w:r>
              <w:t xml:space="preserve">0.001</w:t>
            </w:r>
          </w:p>
        </w:tc>
        <w:tc>
          <w:tcPr/>
          <w:p>
            <w:pPr>
              <w:pStyle w:val="Compact"/>
            </w:pPr>
            <w:r>
              <w:t xml:space="preserve">−0.000</w:t>
            </w:r>
          </w:p>
        </w:tc>
        <w:tc>
          <w:tcPr/>
          <w:p>
            <w:pPr>
              <w:pStyle w:val="Compact"/>
            </w:pPr>
            <w:r>
              <w:t xml:space="preserve">0.015</w:t>
            </w:r>
          </w:p>
        </w:tc>
      </w:tr>
      <w:tr>
        <w:tc>
          <w:tcPr/>
          <w:p>
            <w:pPr>
              <w:pStyle w:val="Compact"/>
            </w:pPr>
            <w:r>
              <w:t xml:space="preserve">G3</w:t>
            </w:r>
          </w:p>
        </w:tc>
        <w:tc>
          <w:tcPr/>
          <w:p>
            <w:pPr>
              <w:pStyle w:val="Compact"/>
            </w:pPr>
            <w:r>
              <w:t xml:space="preserve">HICP fuels and lubricants, EU 2000–2019</w:t>
            </w:r>
          </w:p>
        </w:tc>
        <w:tc>
          <w:tcPr/>
          <w:p>
            <w:pPr>
              <w:pStyle w:val="Compact"/>
            </w:pPr>
            <w:r>
              <w:t xml:space="preserve">0.065***</w:t>
            </w:r>
          </w:p>
        </w:tc>
        <w:tc>
          <w:tcPr/>
          <w:p>
            <w:pPr>
              <w:pStyle w:val="Compact"/>
            </w:pPr>
            <w:r>
              <w:t xml:space="preserve">0.026***</w:t>
            </w:r>
          </w:p>
        </w:tc>
        <w:tc>
          <w:tcPr/>
          <w:p>
            <w:pPr>
              <w:pStyle w:val="Compact"/>
            </w:pPr>
            <w:r>
              <w:t xml:space="preserve">−0.001</w:t>
            </w:r>
          </w:p>
        </w:tc>
        <w:tc>
          <w:tcPr/>
          <w:p>
            <w:pPr>
              <w:pStyle w:val="Compact"/>
            </w:pPr>
            <w:r>
              <w:t xml:space="preserve">−0.003</w:t>
            </w:r>
          </w:p>
        </w:tc>
        <w:tc>
          <w:tcPr/>
          <w:p>
            <w:pPr>
              <w:pStyle w:val="Compact"/>
            </w:pPr>
            <w:r>
              <w:t xml:space="preserve">0.005***</w:t>
            </w:r>
          </w:p>
        </w:tc>
        <w:tc>
          <w:tcPr/>
          <w:p>
            <w:pPr>
              <w:pStyle w:val="Compact"/>
            </w:pPr>
            <w:r>
              <w:t xml:space="preserve">0.002</w:t>
            </w:r>
          </w:p>
        </w:tc>
        <w:tc>
          <w:tcPr/>
          <w:p>
            <w:pPr>
              <w:pStyle w:val="Compact"/>
            </w:pPr>
            <w:r>
              <w:t xml:space="preserve">0.004*</w:t>
            </w:r>
          </w:p>
        </w:tc>
        <w:tc>
          <w:tcPr/>
          <w:p>
            <w:pPr>
              <w:pStyle w:val="Compact"/>
            </w:pPr>
            <w:r>
              <w:t xml:space="preserve">0.044 (advanced) / 0.018 (developing)</w:t>
            </w:r>
          </w:p>
        </w:tc>
      </w:tr>
      <w:tr>
        <w:tc>
          <w:tcPr/>
          <w:p>
            <w:pPr>
              <w:pStyle w:val="Compact"/>
            </w:pPr>
            <w:r>
              <w:t xml:space="preserve">Indicative</w:t>
            </w:r>
          </w:p>
        </w:tc>
        <w:tc>
          <w:tcPr/>
          <w:p>
            <w:pPr>
              <w:pStyle w:val="Compact"/>
            </w:pPr>
            <w:r>
              <w:t xml:space="preserve">Philippines, fuel index 2000–2019</w:t>
            </w:r>
          </w:p>
        </w:tc>
        <w:tc>
          <w:tcPr/>
          <w:p>
            <w:pPr>
              <w:pStyle w:val="Compact"/>
            </w:pPr>
            <w:r>
              <w:t xml:space="preserve">0.063***</w:t>
            </w:r>
          </w:p>
        </w:tc>
        <w:tc>
          <w:tcPr/>
          <w:p>
            <w:pPr>
              <w:pStyle w:val="Compact"/>
            </w:pPr>
            <w:r>
              <w:t xml:space="preserve">0.033***</w:t>
            </w:r>
          </w:p>
        </w:tc>
        <w:tc>
          <w:tcPr/>
          <w:p>
            <w:pPr>
              <w:pStyle w:val="Compact"/>
            </w:pPr>
            <w:r>
              <w:t xml:space="preserve">−0.009</w:t>
            </w:r>
          </w:p>
        </w:tc>
        <w:tc>
          <w:tcPr/>
          <w:p>
            <w:pPr>
              <w:pStyle w:val="Compact"/>
            </w:pPr>
            <w:r>
              <w:t xml:space="preserve">0.011*</w:t>
            </w:r>
          </w:p>
        </w:tc>
        <w:tc>
          <w:tcPr/>
          <w:p>
            <w:pPr>
              <w:pStyle w:val="Compact"/>
            </w:pPr>
            <w:r>
              <w:t xml:space="preserve">0.000</w:t>
            </w:r>
          </w:p>
        </w:tc>
        <w:tc>
          <w:tcPr/>
          <w:p>
            <w:pPr>
              <w:pStyle w:val="Compact"/>
            </w:pPr>
            <w:r>
              <w:t xml:space="preserve">0.005</w:t>
            </w:r>
          </w:p>
        </w:tc>
        <w:tc>
          <w:tcPr/>
          <w:p>
            <w:pPr>
              <w:pStyle w:val="Compact"/>
            </w:pPr>
            <w:r>
              <w:t xml:space="preserve">0.009*</w:t>
            </w:r>
          </w:p>
        </w:tc>
        <w:tc>
          <w:tcPr/>
          <w:p>
            <w:pPr>
              <w:pStyle w:val="Compact"/>
            </w:pPr>
            <w: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72"/>
    <w:bookmarkStart w:id="76" w:name="rq1-pass-through-to-the-price-level"/>
    <w:p>
      <w:pPr>
        <w:pStyle w:val="Heading3"/>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391566" cy="2886935"/>
            <wp:effectExtent b="0" l="0" r="0" t="0"/>
            <wp:docPr descr="Figure 4. Cumulative pass-through of a 1% fuel price increase to the price level (90% bands)." title="" id="74" name="Picture"/>
            <a:graphic>
              <a:graphicData uri="http://schemas.openxmlformats.org/drawingml/2006/picture">
                <pic:pic>
                  <pic:nvPicPr>
                    <pic:cNvPr descr="../output/figures/fig1_rq1_passthrough.png" id="75" name="Picture"/>
                    <pic:cNvPicPr>
                      <a:picLocks noChangeArrowheads="1" noChangeAspect="1"/>
                    </pic:cNvPicPr>
                  </pic:nvPicPr>
                  <pic:blipFill>
                    <a:blip r:embed="rId73"/>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76"/>
    <w:bookmarkStart w:id="80" w:name="rq2-do-the-poor-pay-more"/>
    <w:p>
      <w:pPr>
        <w:pStyle w:val="Heading3"/>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646420" cy="2397613"/>
            <wp:effectExtent b="0" l="0" r="0" t="0"/>
            <wp:docPr descr="Figure 5. Cumulative response of the gap ln(CPI all/CPI bottom 30%) to a 1% fuel price increase: (a) national, (b) 17-region panel (90% bands)." title="" id="78" name="Picture"/>
            <a:graphic>
              <a:graphicData uri="http://schemas.openxmlformats.org/drawingml/2006/picture">
                <pic:pic>
                  <pic:nvPicPr>
                    <pic:cNvPr descr="../output/figures/fig2_rq2_rq4_ratio.png" id="79" name="Picture"/>
                    <pic:cNvPicPr>
                      <a:picLocks noChangeArrowheads="1" noChangeAspect="1"/>
                    </pic:cNvPicPr>
                  </pic:nvPicPr>
                  <pic:blipFill>
                    <a:blip r:embed="rId77"/>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80"/>
    <w:bookmarkStart w:id="84" w:name="rq3-channels"/>
    <w:p>
      <w:pPr>
        <w:pStyle w:val="Heading3"/>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5052060" cy="2413851"/>
            <wp:effectExtent b="0" l="0" r="0" t="0"/>
            <wp:docPr descr="Figure 6. Cumulative pass-through after 12 months by CPI division (90% CI)." title="" id="82" name="Picture"/>
            <a:graphic>
              <a:graphicData uri="http://schemas.openxmlformats.org/drawingml/2006/picture">
                <pic:pic>
                  <pic:nvPicPr>
                    <pic:cNvPr descr="../output/figures/fig3_rq3_components.png" id="83" name="Picture"/>
                    <pic:cNvPicPr>
                      <a:picLocks noChangeArrowheads="1" noChangeAspect="1"/>
                    </pic:cNvPicPr>
                  </pic:nvPicPr>
                  <pic:blipFill>
                    <a:blip r:embed="rId81"/>
                    <a:stretch>
                      <a:fillRect/>
                    </a:stretch>
                  </pic:blipFill>
                  <pic:spPr bwMode="auto">
                    <a:xfrm>
                      <a:off x="0" y="0"/>
                      <a:ext cx="5052060" cy="2413851"/>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bookmarkEnd w:id="84"/>
    <w:bookmarkStart w:id="88" w:name="rq4-regional-differences"/>
    <w:p>
      <w:pPr>
        <w:pStyle w:val="Heading3"/>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754880" cy="1890081"/>
            <wp:effectExtent b="0" l="0" r="0" t="0"/>
            <wp:docPr descr="Figure 7. Additional distributional effect in groups of regions after 12 months (90% CI)." title="" id="86" name="Picture"/>
            <a:graphic>
              <a:graphicData uri="http://schemas.openxmlformats.org/drawingml/2006/picture">
                <pic:pic>
                  <pic:nvPicPr>
                    <pic:cNvPr descr="../output/figures/fig4_rq4_groups.png" id="87" name="Picture"/>
                    <pic:cNvPicPr>
                      <a:picLocks noChangeArrowheads="1" noChangeAspect="1"/>
                    </pic:cNvPicPr>
                  </pic:nvPicPr>
                  <pic:blipFill>
                    <a:blip r:embed="rId85"/>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bookmarkEnd w:id="88"/>
    <w:bookmarkStart w:id="92" w:name="robustness-and-stability"/>
    <w:p>
      <w:pPr>
        <w:pStyle w:val="Heading3"/>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5052060" cy="3273807"/>
            <wp:effectExtent b="0" l="0" r="0" t="0"/>
            <wp:docPr descr="Figure 8. Robustness of the six-month distributional effect (90% CI). Open squares: supplementary analyses."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052060" cy="3273807"/>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92"/>
    <w:bookmarkEnd w:id="93"/>
    <w:bookmarkStart w:id="104" w:name="Xba73755d0cfb264add68af3842cf59e7f8c62c2"/>
    <w:p>
      <w:pPr>
        <w:pStyle w:val="Heading2"/>
      </w:pPr>
      <w:r>
        <w:t xml:space="preserve">5.3 Objective 3: policy implications of the 2026 shock</w:t>
      </w:r>
    </w:p>
    <w:bookmarkStart w:id="97" w:name="Xfa599e2f6f06f978dbec70ac30655863e9e5c4e"/>
    <w:p>
      <w:pPr>
        <w:pStyle w:val="Heading3"/>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646420" cy="2668495"/>
            <wp:effectExtent b="0" l="0" r="0" t="0"/>
            <wp:docPr descr="Figure 9. Actual price changes in 2026 against the fuel-driven changes predicted by a model estimated on 2001–2025 data." title="" id="95" name="Picture"/>
            <a:graphic>
              <a:graphicData uri="http://schemas.openxmlformats.org/drawingml/2006/picture">
                <pic:pic>
                  <pic:nvPicPr>
                    <pic:cNvPr descr="../output/figures/fig6_2026_out_of_sample.png" id="96" name="Picture"/>
                    <pic:cNvPicPr>
                      <a:picLocks noChangeArrowheads="1" noChangeAspect="1"/>
                    </pic:cNvPicPr>
                  </pic:nvPicPr>
                  <pic:blipFill>
                    <a:blip r:embed="rId9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97"/>
    <w:bookmarkStart w:id="98" w:name="regional-burden-and-peso-cost"/>
    <w:p>
      <w:pPr>
        <w:pStyle w:val="Heading3"/>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98"/>
    <w:bookmarkStart w:id="102" w:name="X52238165e576db4e7e80ac03d06e3f107d370dd"/>
    <w:p>
      <w:pPr>
        <w:pStyle w:val="Heading3"/>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more than the direct pass-through of fuel; the data cannot separate these causes.</w:t>
      </w:r>
    </w:p>
    <w:p>
      <w:pPr>
        <w:pStyle w:val="CaptionedFigure"/>
      </w:pPr>
      <w:r>
        <w:drawing>
          <wp:inline>
            <wp:extent cx="5052060" cy="2360311"/>
            <wp:effectExtent b="0" l="0" r="0" t="0"/>
            <wp:docPr descr="Figure 10. Item contributions to the difference between bottom-30% and all-income price changes, December 2025–August 2026." title="" id="100" name="Picture"/>
            <a:graphic>
              <a:graphicData uri="http://schemas.openxmlformats.org/drawingml/2006/picture">
                <pic:pic>
                  <pic:nvPicPr>
                    <pic:cNvPr descr="../output/figures/fig7_2026_gap_decomposition.png" id="101" name="Picture"/>
                    <pic:cNvPicPr>
                      <a:picLocks noChangeArrowheads="1" noChangeAspect="1"/>
                    </pic:cNvPicPr>
                  </pic:nvPicPr>
                  <pic:blipFill>
                    <a:blip r:embed="rId99"/>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bookmarkEnd w:id="102"/>
    <w:bookmarkStart w:id="103" w:name="X6659b2d43d8404df350c4154d5baa8ce0f585fe"/>
    <w:p>
      <w:pPr>
        <w:pStyle w:val="Heading3"/>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(2026)</w:t>
            </w:r>
          </w:p>
        </w:tc>
        <w:tc>
          <w:tcPr/>
          <w:p>
            <w:pPr>
              <w:pStyle w:val="Compact"/>
            </w:pPr>
            <w:r>
              <w:t xml:space="preserve">Evidence from this study</w:t>
            </w:r>
          </w:p>
        </w:tc>
        <w:tc>
          <w:tcPr/>
          <w:p>
            <w:pPr>
              <w:pStyle w:val="Compact"/>
            </w:pPr>
            <w:r>
              <w:t xml:space="preserve">Assessment</w:t>
            </w:r>
          </w:p>
        </w:tc>
      </w:tr>
      <w:tr>
        <w:tc>
          <w:tcPr/>
          <w:p>
            <w:pPr>
              <w:pStyle w:val="Compact"/>
            </w:pPr>
            <w:r>
              <w:t xml:space="preserve">Excise relief on gasoline and diesel (not used)</w:t>
            </w:r>
          </w:p>
        </w:tc>
        <w:tc>
          <w:tcPr/>
          <w:p>
            <w:pPr>
              <w:pStyle w:val="Compact"/>
            </w:pPr>
            <w:r>
              <w:t xml:space="preserve">Motor fuel weighs 2.39% of the all-income basket and 1.59% of the poor’s; private vehicle fuel lowered the poor’s relative inflation by 0.38 pp in 2026</w:t>
            </w:r>
          </w:p>
        </w:tc>
        <w:tc>
          <w:tcPr/>
          <w:p>
            <w:pPr>
              <w:pStyle w:val="Compact"/>
            </w:pPr>
            <w:r>
              <w:t xml:space="preserve">Benefits mainly better-off households; not targeted. The decision not to use it is consistent with the evidence.</w:t>
            </w:r>
          </w:p>
        </w:tc>
      </w:tr>
      <w:tr>
        <w:tc>
          <w:tcPr/>
          <w:p>
            <w:pPr>
              <w:pStyle w:val="Compact"/>
            </w:pPr>
            <w:r>
              <w:t xml:space="preserve">Excise suspension on LPG and kerosene (April–July and from September 2026)</w:t>
            </w:r>
          </w:p>
        </w:tc>
        <w:tc>
          <w:tcPr/>
          <w:p>
            <w:pPr>
              <w:pStyle w:val="Compact"/>
            </w:pPr>
            <w: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pPr>
            <w:r>
              <w:t xml:space="preserve">Distribution-neutral (LPG) or well targeted but small (kerosene); limited protection for the poor.</w:t>
            </w:r>
          </w:p>
        </w:tc>
      </w:tr>
      <w:tr>
        <w:tc>
          <w:tcPr/>
          <w:p>
            <w:pPr>
              <w:pStyle w:val="Compact"/>
            </w:pPr>
            <w:r>
              <w:t xml:space="preserve">Fuel subsidies for public utility vehicle drivers</w:t>
            </w:r>
          </w:p>
        </w:tc>
        <w:tc>
          <w:tcPr/>
          <w:p>
            <w:pPr>
              <w:pStyle w:val="Compact"/>
            </w:pPr>
            <w:r>
              <w:t xml:space="preserve">The poor’s fares historically responded little to fuel (0.010); in 2026 their fares rose 9.1% against 4.7%</w:t>
            </w:r>
          </w:p>
        </w:tc>
        <w:tc>
          <w:tcPr/>
          <w:p>
            <w:pPr>
              <w:pStyle w:val="Compact"/>
            </w:pPr>
            <w:r>
              <w:t xml:space="preserve">Protects the poor indirectly by delaying fare increases; worth continuing while fares are held, and monitoring local fares.</w:t>
            </w:r>
          </w:p>
        </w:tc>
      </w:tr>
      <w:tr>
        <w:tc>
          <w:tcPr/>
          <w:p>
            <w:pPr>
              <w:pStyle w:val="Compact"/>
            </w:pPr>
            <w:r>
              <w:t xml:space="preserve">Policy rate increases (to 5.00%)</w:t>
            </w:r>
          </w:p>
        </w:tc>
        <w:tc>
          <w:tcPr/>
          <w:p>
            <w:pPr>
              <w:pStyle w:val="Compact"/>
            </w:pPr>
            <w:r>
              <w:t xml:space="preserve">Pass-through builds for at least 12 months; crude-based estimates understate it by more than half</w:t>
            </w:r>
          </w:p>
        </w:tc>
        <w:tc>
          <w:tcPr/>
          <w:p>
            <w:pPr>
              <w:pStyle w:val="Compact"/>
            </w:pPr>
            <w:r>
              <w:t xml:space="preserve">Appropriate against second-round effects, but does not address the distribution of the burden.</w:t>
            </w:r>
          </w:p>
        </w:tc>
      </w:tr>
      <w:tr>
        <w:tc>
          <w:tcPr/>
          <w:p>
            <w:pPr>
              <w:pStyle w:val="Compact"/>
            </w:pPr>
            <w:r>
              <w:t xml:space="preserve">Targeted cash transfers</w:t>
            </w:r>
          </w:p>
        </w:tc>
        <w:tc>
          <w:tcPr/>
          <w:p>
            <w:pPr>
              <w:pStyle w:val="Compact"/>
            </w:pPr>
            <w:r>
              <w:t xml:space="preserve">Fuel-driven cost PHP 467 a month and total price-driven cost PHP 907 a month for a poverty-line family of five by August 2026; regional range PHP 390–633</w:t>
            </w:r>
          </w:p>
        </w:tc>
        <w:tc>
          <w:tcPr/>
          <w:p>
            <w:pPr>
              <w:pStyle w:val="Compact"/>
            </w:pPr>
            <w:r>
              <w:t xml:space="preserve">Best targeted; can be sized and regionally allocated with the bottom-30% CPI.</w:t>
            </w:r>
          </w:p>
        </w:tc>
      </w:tr>
      <w:tr>
        <w:tc>
          <w:tcPr/>
          <w:p>
            <w:pPr>
              <w:pStyle w:val="Compact"/>
            </w:pPr>
            <w:r>
              <w:t xml:space="preserve">Rice price and supply measures</w:t>
            </w:r>
          </w:p>
        </w:tc>
        <w:tc>
          <w:tcPr/>
          <w:p>
            <w:pPr>
              <w:pStyle w:val="Compact"/>
            </w:pPr>
            <w:r>
              <w:t xml:space="preserve">Rice and cereals contributed +1.67 pp of the +1.24 pp gap in 2026</w:t>
            </w:r>
          </w:p>
        </w:tc>
        <w:tc>
          <w:tcPr/>
          <w:p>
            <w:pPr>
              <w:pStyle w:val="Compact"/>
            </w:pPr>
            <w:r>
              <w:t xml:space="preserve">The largest channel of the poor’s excess inflation in 2026; should be part of the oil-shock response.</w:t>
            </w:r>
          </w:p>
        </w:tc>
      </w:tr>
    </w:tbl>
    <w:bookmarkEnd w:id="103"/>
    <w:bookmarkEnd w:id="104"/>
    <w:bookmarkStart w:id="105" w:name="synthesis"/>
    <w:p>
      <w:pPr>
        <w:pStyle w:val="Heading2"/>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105"/>
    <w:bookmarkEnd w:id="106"/>
    <w:bookmarkStart w:id="110" w:name="Xcb3f2bf98e41142b5cf732bb4e91eda99c37a62"/>
    <w:p>
      <w:pPr>
        <w:pStyle w:val="Heading1"/>
      </w:pPr>
      <w:r>
        <w:t xml:space="preserve">Chapter 6. Summary, Conclusions and Recommendations</w:t>
      </w:r>
    </w:p>
    <w:bookmarkStart w:id="107" w:name="summary-of-findings"/>
    <w:p>
      <w:pPr>
        <w:pStyle w:val="Heading2"/>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107"/>
    <w:bookmarkStart w:id="108" w:name="conclusions"/>
    <w:p>
      <w:pPr>
        <w:pStyle w:val="Heading2"/>
      </w:pPr>
      <w:r>
        <w:t xml:space="preserve">6.2 Conclusions</w:t>
      </w:r>
    </w:p>
    <w:p>
      <w:pPr>
        <w:pStyle w:val="Compact"/>
        <w:numPr>
          <w:ilvl w:val="0"/>
          <w:numId w:val="1008"/>
        </w:numPr>
      </w:pPr>
      <w:r>
        <w:t xml:space="preserve">Fuel price shocks pass through quickly, broadly and persistently to Philippine consumer prices; analyses based on crude oil prices understate them.</w:t>
      </w:r>
    </w:p>
    <w:p>
      <w:pPr>
        <w:pStyle w:val="Compact"/>
        <w:numPr>
          <w:ilvl w:val="0"/>
          <w:numId w:val="1008"/>
        </w:numPr>
      </w:pPr>
      <w:r>
        <w:t xml:space="preserve">The cross-country finding that fuel shocks are progressive does not hold in the Philippines. The burden is at best neutral and often falls harder on poor households.</w:t>
      </w:r>
    </w:p>
    <w:p>
      <w:pPr>
        <w:pStyle w:val="Compact"/>
        <w:numPr>
          <w:ilvl w:val="0"/>
          <w:numId w:val="1008"/>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08"/>
        </w:numPr>
      </w:pPr>
      <w:r>
        <w:t xml:space="preserve">The 2026 shock confirmed the historical relationships but added a large rice-price channel that fuel-focused relief does not reach.</w:t>
      </w:r>
    </w:p>
    <w:p>
      <w:pPr>
        <w:pStyle w:val="Compact"/>
        <w:numPr>
          <w:ilvl w:val="0"/>
          <w:numId w:val="1008"/>
        </w:numPr>
      </w:pPr>
      <w:r>
        <w:t xml:space="preserve">Instruments that work through fuel taxes are poorly targeted to the poor; transfers sized with the bottom-30% CPI, fare policy and rice policy are better targeted.</w:t>
      </w:r>
    </w:p>
    <w:bookmarkEnd w:id="108"/>
    <w:bookmarkStart w:id="109" w:name="recommendations"/>
    <w:p>
      <w:pPr>
        <w:pStyle w:val="Heading2"/>
      </w:pPr>
      <w:r>
        <w:t xml:space="preserve">6.3 Recommendations</w:t>
      </w:r>
    </w:p>
    <w:p>
      <w:pPr>
        <w:pStyle w:val="FirstParagraph"/>
      </w:pPr>
      <w:r>
        <w:rPr>
          <w:i/>
          <w:iCs/>
        </w:rPr>
        <w:t xml:space="preserve">For policy.</w:t>
      </w:r>
    </w:p>
    <w:p>
      <w:pPr>
        <w:pStyle w:val="Compact"/>
        <w:numPr>
          <w:ilvl w:val="0"/>
          <w:numId w:val="1009"/>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09"/>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09"/>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09"/>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09"/>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09"/>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10"/>
        </w:numPr>
      </w:pPr>
      <w:r>
        <w:t xml:space="preserve">Use an identified oil supply shock as an instrument for retail fuel prices.</w:t>
      </w:r>
    </w:p>
    <w:p>
      <w:pPr>
        <w:pStyle w:val="Compact"/>
        <w:numPr>
          <w:ilvl w:val="0"/>
          <w:numId w:val="1010"/>
        </w:numPr>
      </w:pPr>
      <w:r>
        <w:t xml:space="preserve">Compare the poorest and the richest households directly, with FIES-based indices for the top of the distribution.</w:t>
      </w:r>
    </w:p>
    <w:p>
      <w:pPr>
        <w:pStyle w:val="Compact"/>
        <w:numPr>
          <w:ilvl w:val="0"/>
          <w:numId w:val="1010"/>
        </w:numPr>
      </w:pPr>
      <w:r>
        <w:t xml:space="preserve">Study the fertilizer–rice channel of oil shocks with longer horizons.</w:t>
      </w:r>
    </w:p>
    <w:p>
      <w:pPr>
        <w:pStyle w:val="Compact"/>
        <w:numPr>
          <w:ilvl w:val="0"/>
          <w:numId w:val="1010"/>
        </w:numPr>
      </w:pPr>
      <w:r>
        <w:t xml:space="preserve">Extend the 2026 analysis as data for later months become available, including the September 2026 fare increase and the second excise suspension.</w:t>
      </w:r>
    </w:p>
    <w:p>
      <w:pPr>
        <w:pStyle w:val="Compact"/>
        <w:numPr>
          <w:ilvl w:val="0"/>
          <w:numId w:val="1010"/>
        </w:numPr>
      </w:pPr>
      <w:r>
        <w:t xml:space="preserve">Examine income effects — on drivers, farmers and fisherfolk — alongside price effects.</w:t>
      </w:r>
    </w:p>
    <w:bookmarkEnd w:id="109"/>
    <w:bookmarkEnd w:id="110"/>
    <w:bookmarkStart w:id="187" w:name="references"/>
    <w:p>
      <w:pPr>
        <w:pStyle w:val="Heading1"/>
      </w:pPr>
      <w:r>
        <w:t xml:space="preserve">References</w:t>
      </w:r>
    </w:p>
    <w:bookmarkStart w:id="186" w:name="refs"/>
    <w:bookmarkStart w:id="112"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111">
        <w:r>
          <w:rPr>
            <w:rStyle w:val="Hyperlink"/>
          </w:rPr>
          <w:t xml:space="preserve">https://doi.org/10.1016/j.latcb.2025.100180</w:t>
        </w:r>
      </w:hyperlink>
      <w:r>
        <w:t xml:space="preserve">.</w:t>
      </w:r>
    </w:p>
    <w:bookmarkEnd w:id="112"/>
    <w:bookmarkStart w:id="114"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113">
        <w:r>
          <w:rPr>
            <w:rStyle w:val="Hyperlink"/>
          </w:rPr>
          <w:t xml:space="preserve">https://doi.org/10.1111/asej.12249</w:t>
        </w:r>
      </w:hyperlink>
      <w:r>
        <w:t xml:space="preserve">.</w:t>
      </w:r>
    </w:p>
    <w:bookmarkEnd w:id="114"/>
    <w:bookmarkStart w:id="116"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115">
        <w:r>
          <w:rPr>
            <w:rStyle w:val="Hyperlink"/>
          </w:rPr>
          <w:t xml:space="preserve">https://doi.org/10.1257/aer.20151569</w:t>
        </w:r>
      </w:hyperlink>
      <w:r>
        <w:t xml:space="preserve">.</w:t>
      </w:r>
    </w:p>
    <w:bookmarkEnd w:id="116"/>
    <w:bookmarkStart w:id="117"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117"/>
    <w:bookmarkStart w:id="119"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118">
        <w:r>
          <w:rPr>
            <w:rStyle w:val="Hyperlink"/>
          </w:rPr>
          <w:t xml:space="preserve">https://doi.org/10.1016/j.jimonfin.2017.12.004</w:t>
        </w:r>
      </w:hyperlink>
      <w:r>
        <w:t xml:space="preserve">.</w:t>
      </w:r>
    </w:p>
    <w:bookmarkEnd w:id="119"/>
    <w:bookmarkStart w:id="121"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120">
        <w:r>
          <w:rPr>
            <w:rStyle w:val="Hyperlink"/>
          </w:rPr>
          <w:t xml:space="preserve">https://doi.org/10.5089/9781513501390.001</w:t>
        </w:r>
      </w:hyperlink>
      <w:r>
        <w:t xml:space="preserve">.</w:t>
      </w:r>
    </w:p>
    <w:bookmarkEnd w:id="121"/>
    <w:bookmarkStart w:id="123"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122">
        <w:r>
          <w:rPr>
            <w:rStyle w:val="Hyperlink"/>
          </w:rPr>
          <w:t xml:space="preserve">https://doi.org/10.1016/j.worlddev.2018.11.015</w:t>
        </w:r>
      </w:hyperlink>
      <w:r>
        <w:t xml:space="preserve">.</w:t>
      </w:r>
    </w:p>
    <w:bookmarkEnd w:id="123"/>
    <w:bookmarkStart w:id="125"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124">
        <w:r>
          <w:rPr>
            <w:rStyle w:val="Hyperlink"/>
          </w:rPr>
          <w:t xml:space="preserve">https://doi.org/10.1162/003465398557825</w:t>
        </w:r>
      </w:hyperlink>
      <w:r>
        <w:t xml:space="preserve">.</w:t>
      </w:r>
    </w:p>
    <w:bookmarkEnd w:id="125"/>
    <w:bookmarkStart w:id="127"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126">
        <w:r>
          <w:rPr>
            <w:rStyle w:val="Hyperlink"/>
          </w:rPr>
          <w:t xml:space="preserve">https://doi.org/10.2307/2673879</w:t>
        </w:r>
      </w:hyperlink>
      <w:r>
        <w:t xml:space="preserve">.</w:t>
      </w:r>
    </w:p>
    <w:bookmarkEnd w:id="127"/>
    <w:bookmarkStart w:id="129"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128">
        <w:r>
          <w:rPr>
            <w:rStyle w:val="Hyperlink"/>
          </w:rPr>
          <w:t xml:space="preserve">Https://energy.ec.europa.eu/data-and-analysis/weekly-oil-bulletin_en</w:t>
        </w:r>
      </w:hyperlink>
      <w:r>
        <w:t xml:space="preserve">.</w:t>
      </w:r>
    </w:p>
    <w:bookmarkEnd w:id="129"/>
    <w:bookmarkStart w:id="131"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130">
        <w:r>
          <w:rPr>
            <w:rStyle w:val="Hyperlink"/>
          </w:rPr>
          <w:t xml:space="preserve">https://doi.org/10.1016/j.jimonfin.2016.10.001</w:t>
        </w:r>
      </w:hyperlink>
      <w:r>
        <w:t xml:space="preserve">.</w:t>
      </w:r>
    </w:p>
    <w:bookmarkEnd w:id="131"/>
    <w:bookmarkStart w:id="13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132">
        <w:r>
          <w:rPr>
            <w:rStyle w:val="Hyperlink"/>
          </w:rPr>
          <w:t xml:space="preserve">https://doi.org/10.1146/annurev-economics-091520-082042</w:t>
        </w:r>
      </w:hyperlink>
      <w:r>
        <w:t xml:space="preserve">.</w:t>
      </w:r>
    </w:p>
    <w:bookmarkEnd w:id="133"/>
    <w:bookmarkStart w:id="135"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134">
        <w:r>
          <w:rPr>
            <w:rStyle w:val="Hyperlink"/>
          </w:rPr>
          <w:t xml:space="preserve">https://doi.org/10.1257/0002828053828518</w:t>
        </w:r>
      </w:hyperlink>
      <w:r>
        <w:t xml:space="preserve">.</w:t>
      </w:r>
    </w:p>
    <w:bookmarkEnd w:id="135"/>
    <w:bookmarkStart w:id="137"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136">
        <w:r>
          <w:rPr>
            <w:rStyle w:val="Hyperlink"/>
          </w:rPr>
          <w:t xml:space="preserve">https://doi.org/10.1257/aer.20190964</w:t>
        </w:r>
      </w:hyperlink>
      <w:r>
        <w:t xml:space="preserve">.</w:t>
      </w:r>
    </w:p>
    <w:bookmarkEnd w:id="137"/>
    <w:bookmarkStart w:id="139"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138">
        <w:r>
          <w:rPr>
            <w:rStyle w:val="Hyperlink"/>
          </w:rPr>
          <w:t xml:space="preserve">https://doi.org/10.1016/j.jmoneco.2017.08.002</w:t>
        </w:r>
      </w:hyperlink>
      <w:r>
        <w:t xml:space="preserve">.</w:t>
      </w:r>
    </w:p>
    <w:bookmarkEnd w:id="139"/>
    <w:bookmarkStart w:id="141"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140">
        <w:r>
          <w:rPr>
            <w:rStyle w:val="Hyperlink"/>
          </w:rPr>
          <w:t xml:space="preserve">https://doi.org/10.1111/asej.12277</w:t>
        </w:r>
      </w:hyperlink>
      <w:r>
        <w:t xml:space="preserve">.</w:t>
      </w:r>
    </w:p>
    <w:bookmarkEnd w:id="141"/>
    <w:bookmarkStart w:id="143"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142">
        <w:r>
          <w:rPr>
            <w:rStyle w:val="Hyperlink"/>
          </w:rPr>
          <w:t xml:space="preserve">https://doi.org/10.1257/aer.99.3.1053</w:t>
        </w:r>
      </w:hyperlink>
      <w:r>
        <w:t xml:space="preserve">.</w:t>
      </w:r>
    </w:p>
    <w:bookmarkEnd w:id="143"/>
    <w:bookmarkStart w:id="145"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144">
        <w:r>
          <w:rPr>
            <w:rStyle w:val="Hyperlink"/>
          </w:rPr>
          <w:t xml:space="preserve">https://doi.org/10.1016/j.eneco.2017.06.017</w:t>
        </w:r>
      </w:hyperlink>
      <w:r>
        <w:t xml:space="preserve">.</w:t>
      </w:r>
    </w:p>
    <w:bookmarkEnd w:id="145"/>
    <w:bookmarkStart w:id="147"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146">
        <w:r>
          <w:rPr>
            <w:rStyle w:val="Hyperlink"/>
          </w:rPr>
          <w:t xml:space="preserve">https://doi.org/10.1016/j.enpol.2020.111999</w:t>
        </w:r>
      </w:hyperlink>
      <w:r>
        <w:t xml:space="preserve">.</w:t>
      </w:r>
    </w:p>
    <w:bookmarkEnd w:id="147"/>
    <w:bookmarkStart w:id="14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148">
        <w:r>
          <w:rPr>
            <w:rStyle w:val="Hyperlink"/>
          </w:rPr>
          <w:t xml:space="preserve">https://doi.org/10.1016/j.eneco.2022.105909</w:t>
        </w:r>
      </w:hyperlink>
      <w:r>
        <w:t xml:space="preserve">.</w:t>
      </w:r>
    </w:p>
    <w:bookmarkEnd w:id="149"/>
    <w:bookmarkStart w:id="151"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150">
        <w:r>
          <w:rPr>
            <w:rStyle w:val="Hyperlink"/>
          </w:rPr>
          <w:t xml:space="preserve">https://doi.org/10.1111/j.1467-8381.2011.02046.x</w:t>
        </w:r>
      </w:hyperlink>
      <w:r>
        <w:t xml:space="preserve">.</w:t>
      </w:r>
    </w:p>
    <w:bookmarkEnd w:id="151"/>
    <w:bookmarkStart w:id="153"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152">
        <w:r>
          <w:rPr>
            <w:rStyle w:val="Hyperlink"/>
          </w:rPr>
          <w:t xml:space="preserve">https://doi.org/10.3982/ECTA18756</w:t>
        </w:r>
      </w:hyperlink>
      <w:r>
        <w:t xml:space="preserve">.</w:t>
      </w:r>
    </w:p>
    <w:bookmarkEnd w:id="153"/>
    <w:bookmarkStart w:id="155"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154">
        <w:r>
          <w:rPr>
            <w:rStyle w:val="Hyperlink"/>
          </w:rPr>
          <w:t xml:space="preserve">https://doi.org/10.2307/1913610</w:t>
        </w:r>
      </w:hyperlink>
      <w:r>
        <w:t xml:space="preserve">.</w:t>
      </w:r>
    </w:p>
    <w:bookmarkEnd w:id="155"/>
    <w:bookmarkStart w:id="157"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156">
        <w:r>
          <w:rPr>
            <w:rStyle w:val="Hyperlink"/>
          </w:rPr>
          <w:t xml:space="preserve">https://doi.org/10.1111/asej.12278</w:t>
        </w:r>
      </w:hyperlink>
      <w:r>
        <w:t xml:space="preserve">.</w:t>
      </w:r>
    </w:p>
    <w:bookmarkEnd w:id="157"/>
    <w:bookmarkStart w:id="159"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158">
        <w:r>
          <w:rPr>
            <w:rStyle w:val="Hyperlink"/>
          </w:rPr>
          <w:t xml:space="preserve">Https://openstat.psa.gov.ph</w:t>
        </w:r>
      </w:hyperlink>
      <w:r>
        <w:t xml:space="preserve">.</w:t>
      </w:r>
    </w:p>
    <w:bookmarkEnd w:id="159"/>
    <w:bookmarkStart w:id="161"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160">
        <w:r>
          <w:rPr>
            <w:rStyle w:val="Hyperlink"/>
          </w:rPr>
          <w:t xml:space="preserve">https://doi.org/10.3982/ECTA17813</w:t>
        </w:r>
      </w:hyperlink>
      <w:r>
        <w:t xml:space="preserve">.</w:t>
      </w:r>
    </w:p>
    <w:bookmarkEnd w:id="161"/>
    <w:bookmarkStart w:id="163"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162">
        <w:r>
          <w:rPr>
            <w:rStyle w:val="Hyperlink"/>
          </w:rPr>
          <w:t xml:space="preserve">Https://lawphil.net/statutes/repacts/ra2026/ra_12316_2026.html</w:t>
        </w:r>
      </w:hyperlink>
      <w:r>
        <w:t xml:space="preserve">.</w:t>
      </w:r>
    </w:p>
    <w:bookmarkEnd w:id="163"/>
    <w:bookmarkStart w:id="165"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164">
        <w:r>
          <w:rPr>
            <w:rStyle w:val="Hyperlink"/>
          </w:rPr>
          <w:t xml:space="preserve">https://doi.org/10.1111/asej.12164</w:t>
        </w:r>
      </w:hyperlink>
      <w:r>
        <w:t xml:space="preserve">.</w:t>
      </w:r>
    </w:p>
    <w:bookmarkEnd w:id="165"/>
    <w:bookmarkStart w:id="167"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166">
        <w:r>
          <w:rPr>
            <w:rStyle w:val="Hyperlink"/>
          </w:rPr>
          <w:t xml:space="preserve">https://doi.org/10.1016/j.enpol.2014.02.006</w:t>
        </w:r>
      </w:hyperlink>
      <w:r>
        <w:t xml:space="preserve">.</w:t>
      </w:r>
    </w:p>
    <w:bookmarkEnd w:id="167"/>
    <w:bookmarkStart w:id="169"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168">
        <w:r>
          <w:rPr>
            <w:rStyle w:val="Hyperlink"/>
          </w:rPr>
          <w:t xml:space="preserve">https://doi.org/10.1016/j.enpol.2015.09.018</w:t>
        </w:r>
      </w:hyperlink>
      <w:r>
        <w:t xml:space="preserve">.</w:t>
      </w:r>
    </w:p>
    <w:bookmarkEnd w:id="169"/>
    <w:bookmarkStart w:id="171"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170">
        <w:r>
          <w:rPr>
            <w:rStyle w:val="Hyperlink"/>
          </w:rPr>
          <w:t xml:space="preserve">https://doi.org/10.1111/asej.12029</w:t>
        </w:r>
      </w:hyperlink>
      <w:r>
        <w:t xml:space="preserve">.</w:t>
      </w:r>
    </w:p>
    <w:bookmarkEnd w:id="171"/>
    <w:bookmarkStart w:id="173"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172">
        <w:r>
          <w:rPr>
            <w:rStyle w:val="Hyperlink"/>
          </w:rPr>
          <w:t xml:space="preserve">https://doi.org/10.1002/jae.2333</w:t>
        </w:r>
      </w:hyperlink>
      <w:r>
        <w:t xml:space="preserve">.</w:t>
      </w:r>
    </w:p>
    <w:bookmarkEnd w:id="173"/>
    <w:bookmarkStart w:id="175"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174">
        <w:r>
          <w:rPr>
            <w:rStyle w:val="Hyperlink"/>
          </w:rPr>
          <w:t xml:space="preserve">https://doi.org/10.1111/j.1467-8381.2007.00244.x</w:t>
        </w:r>
      </w:hyperlink>
      <w:r>
        <w:t xml:space="preserve">.</w:t>
      </w:r>
    </w:p>
    <w:bookmarkEnd w:id="175"/>
    <w:bookmarkStart w:id="176"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76"/>
    <w:bookmarkStart w:id="177"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77"/>
    <w:bookmarkStart w:id="179"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78">
        <w:r>
          <w:rPr>
            <w:rStyle w:val="Hyperlink"/>
          </w:rPr>
          <w:t xml:space="preserve">https://doi.org/10.1111/asej.12147</w:t>
        </w:r>
      </w:hyperlink>
      <w:r>
        <w:t xml:space="preserve">.</w:t>
      </w:r>
    </w:p>
    <w:bookmarkEnd w:id="179"/>
    <w:bookmarkStart w:id="181"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80">
        <w:r>
          <w:rPr>
            <w:rStyle w:val="Hyperlink"/>
          </w:rPr>
          <w:t xml:space="preserve">https://doi.org/10.1111/asej.12332</w:t>
        </w:r>
      </w:hyperlink>
      <w:r>
        <w:t xml:space="preserve">.</w:t>
      </w:r>
    </w:p>
    <w:bookmarkEnd w:id="181"/>
    <w:bookmarkStart w:id="183"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82">
        <w:r>
          <w:rPr>
            <w:rStyle w:val="Hyperlink"/>
          </w:rPr>
          <w:t xml:space="preserve">Https://datacatalog.worldbank.org/search/dataset/0066829/global-fuel-prices-database</w:t>
        </w:r>
      </w:hyperlink>
      <w:r>
        <w:t xml:space="preserve">.</w:t>
      </w:r>
    </w:p>
    <w:bookmarkEnd w:id="183"/>
    <w:bookmarkStart w:id="185"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84">
        <w:r>
          <w:rPr>
            <w:rStyle w:val="Hyperlink"/>
          </w:rPr>
          <w:t xml:space="preserve">Https://www.worldbank.org/en/research/commodity-markets</w:t>
        </w:r>
      </w:hyperlink>
      <w:r>
        <w:t xml:space="preserve">.</w:t>
      </w:r>
    </w:p>
    <w:bookmarkEnd w:id="185"/>
    <w:bookmarkEnd w:id="186"/>
    <w:bookmarkEnd w:id="187"/>
    <w:bookmarkStart w:id="214" w:name="appendix-a.-data-appendix"/>
    <w:p>
      <w:pPr>
        <w:pStyle w:val="Heading1"/>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189" w:name="a.1-how-to-reproduce-the-results"/>
    <w:p>
      <w:pPr>
        <w:pStyle w:val="Heading2"/>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188">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158">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189"/>
    <w:bookmarkStart w:id="212" w:name="a.2-data-sources"/>
    <w:p>
      <w:pPr>
        <w:pStyle w:val="Heading2"/>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190">
        <w:r>
          <w:rPr>
            <w:rStyle w:val="Hyperlink"/>
          </w:rPr>
          <w:t xml:space="preserve">https://openstat.psa.gov.ph/PXWeb/api/v1/en/DB/2M/PI/CPI/2018/0012M4ACP15.px</w:t>
        </w:r>
      </w:hyperlink>
    </w:p>
    <w:p>
      <w:pPr>
        <w:pStyle w:val="BodyText"/>
      </w:pPr>
      <w:r>
        <w:rPr>
          <w:i/>
          <w:iCs/>
        </w:rPr>
        <w:t xml:space="preserve">Jan 2018–Dec 2025:</w:t>
      </w:r>
      <w:r>
        <w:t xml:space="preserve"> </w:t>
      </w:r>
      <w:hyperlink r:id="rId191">
        <w:r>
          <w:rPr>
            <w:rStyle w:val="Hyperlink"/>
          </w:rPr>
          <w:t xml:space="preserve">https://openstat.psa.gov.ph/PXWeb/api/v1/en/DB/2M/PI/CPI/2018/0012M4ACP09.px</w:t>
        </w:r>
      </w:hyperlink>
    </w:p>
    <w:p>
      <w:pPr>
        <w:pStyle w:val="BodyText"/>
      </w:pPr>
      <w:r>
        <w:rPr>
          <w:i/>
          <w:iCs/>
        </w:rPr>
        <w:t xml:space="preserve">2018 weights:</w:t>
      </w:r>
      <w:r>
        <w:t xml:space="preserve"> </w:t>
      </w:r>
      <w:hyperlink r:id="rId192">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193">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194">
        <w:r>
          <w:rPr>
            <w:rStyle w:val="Hyperlink"/>
          </w:rPr>
          <w:t xml:space="preserve">https://openstat.psa.gov.ph/PXWeb/api/v1/en/DB/2M/PI/CPI/2018NEW/0012M4ACP28.px</w:t>
        </w:r>
      </w:hyperlink>
    </w:p>
    <w:p>
      <w:pPr>
        <w:pStyle w:val="BodyText"/>
      </w:pPr>
      <w:r>
        <w:rPr>
          <w:i/>
          <w:iCs/>
        </w:rPr>
        <w:t xml:space="preserve">Weights:</w:t>
      </w:r>
      <w:r>
        <w:t xml:space="preserve"> </w:t>
      </w:r>
      <w:hyperlink r:id="rId195">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196">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197">
        <w:r>
          <w:rPr>
            <w:rStyle w:val="Hyperlink"/>
          </w:rPr>
          <w:t xml:space="preserve">https://openstat.psa.gov.ph/PXWeb/api/v1/en/DB/2M/PI/BIH/2018/0022M4ABOT4.px</w:t>
        </w:r>
      </w:hyperlink>
    </w:p>
    <w:p>
      <w:pPr>
        <w:pStyle w:val="BodyText"/>
      </w:pPr>
      <w:r>
        <w:rPr>
          <w:i/>
          <w:iCs/>
        </w:rPr>
        <w:t xml:space="preserve">Jan 2018–Dec 2025:</w:t>
      </w:r>
      <w:r>
        <w:t xml:space="preserve"> </w:t>
      </w:r>
      <w:hyperlink r:id="rId198">
        <w:r>
          <w:rPr>
            <w:rStyle w:val="Hyperlink"/>
          </w:rPr>
          <w:t xml:space="preserve">https://openstat.psa.gov.ph/PXWeb/api/v1/en/DB/2M/PI/BIH/2018/0022M4ABOT1.px</w:t>
        </w:r>
      </w:hyperlink>
    </w:p>
    <w:p>
      <w:pPr>
        <w:pStyle w:val="BodyText"/>
      </w:pPr>
      <w:r>
        <w:rPr>
          <w:i/>
          <w:iCs/>
        </w:rPr>
        <w:t xml:space="preserve">2018 weights:</w:t>
      </w:r>
      <w:r>
        <w:t xml:space="preserve"> </w:t>
      </w:r>
      <w:hyperlink r:id="rId199">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00">
        <w:r>
          <w:rPr>
            <w:rStyle w:val="Hyperlink"/>
          </w:rPr>
          <w:t xml:space="preserve">https://openstat.psa.gov.ph/PXWeb/api/v1/en/DB/2M/PI/BIH/2018NEW/0022M4ABIR1.px</w:t>
        </w:r>
      </w:hyperlink>
    </w:p>
    <w:p>
      <w:pPr>
        <w:pStyle w:val="BodyText"/>
      </w:pPr>
      <w:r>
        <w:rPr>
          <w:i/>
          <w:iCs/>
        </w:rPr>
        <w:t xml:space="preserve">Weights:</w:t>
      </w:r>
      <w:r>
        <w:t xml:space="preserve"> </w:t>
      </w:r>
      <w:hyperlink r:id="rId201">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02">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03">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04">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205">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206">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207">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208">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209">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210">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211">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212"/>
    <w:bookmarkStart w:id="213" w:name="X66672ab95d40962c96d227f39a50606d25e8d6c"/>
    <w:p>
      <w:pPr>
        <w:pStyle w:val="Heading2"/>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Content</w:t>
            </w:r>
          </w:p>
        </w:tc>
        <w:tc>
          <w:tcPr/>
          <w:p>
            <w:pPr>
              <w:pStyle w:val="Compact"/>
            </w:pPr>
            <w:r>
              <w:t xml:space="preserve">Sources</w:t>
            </w:r>
          </w:p>
        </w:tc>
        <w:tc>
          <w:tcPr/>
          <w:p>
            <w:pPr>
              <w:pStyle w:val="Compact"/>
            </w:pPr>
            <w:r>
              <w:t xml:space="preserve">Computed by</w:t>
            </w:r>
          </w:p>
        </w:tc>
        <w:tc>
          <w:tcPr/>
          <w:p>
            <w:pPr>
              <w:pStyle w:val="Compact"/>
            </w:pPr>
            <w:r>
              <w:t xml:space="preserve">Output file</w:t>
            </w:r>
          </w:p>
        </w:tc>
      </w:tr>
      <w:tr>
        <w:tc>
          <w:tcPr/>
          <w:p>
            <w:pPr>
              <w:pStyle w:val="Compact"/>
            </w:pPr>
            <w:r>
              <w:t xml:space="preserve">Figure 1</w:t>
            </w:r>
          </w:p>
        </w:tc>
        <w:tc>
          <w:tcPr/>
          <w:p>
            <w:pPr>
              <w:pStyle w:val="Compact"/>
            </w:pPr>
            <w:r>
              <w:t xml:space="preserve">Conceptual framework</w:t>
            </w:r>
          </w:p>
        </w:tc>
        <w:tc>
          <w:tcPr/>
          <w:p>
            <w:pPr>
              <w:pStyle w:val="Compact"/>
            </w:pPr>
            <w:r>
              <w:t xml:space="preserve">—</w:t>
            </w:r>
          </w:p>
        </w:tc>
        <w:tc>
          <w:tcPr/>
          <w:p>
            <w:pPr>
              <w:pStyle w:val="Compact"/>
            </w:pPr>
            <w:r>
              <w:t xml:space="preserve">06_figures.py</w:t>
            </w:r>
          </w:p>
        </w:tc>
        <w:tc>
          <w:tcPr/>
          <w:p>
            <w:pPr>
              <w:pStyle w:val="Compact"/>
            </w:pPr>
            <w:r>
              <w:t xml:space="preserve">figw0_framework.png</w:t>
            </w:r>
          </w:p>
        </w:tc>
      </w:tr>
      <w:tr>
        <w:tc>
          <w:tcPr/>
          <w:p>
            <w:pPr>
              <w:pStyle w:val="Compact"/>
            </w:pPr>
            <w:r>
              <w:t xml:space="preserve">Table 1</w:t>
            </w:r>
          </w:p>
        </w:tc>
        <w:tc>
          <w:tcPr/>
          <w:p>
            <w:pPr>
              <w:pStyle w:val="Compact"/>
            </w:pPr>
            <w:r>
              <w:t xml:space="preserve">Data sources and variables</w:t>
            </w:r>
          </w:p>
        </w:tc>
        <w:tc>
          <w:tcPr/>
          <w:p>
            <w:pPr>
              <w:pStyle w:val="Compact"/>
            </w:pPr>
            <w:r>
              <w:t xml:space="preserve">S1–S13</w:t>
            </w:r>
          </w:p>
        </w:tc>
        <w:tc>
          <w:tcPr/>
          <w:p>
            <w:pPr>
              <w:pStyle w:val="Compact"/>
            </w:pPr>
            <w:r>
              <w:t xml:space="preserve">—</w:t>
            </w:r>
          </w:p>
        </w:tc>
        <w:tc>
          <w:tcPr/>
          <w:p>
            <w:pPr>
              <w:pStyle w:val="Compact"/>
            </w:pPr>
            <w:r>
              <w:t xml:space="preserve">—</w:t>
            </w:r>
          </w:p>
        </w:tc>
      </w:tr>
      <w:tr>
        <w:tc>
          <w:tcPr/>
          <w:p>
            <w:pPr>
              <w:pStyle w:val="Compact"/>
            </w:pPr>
            <w:r>
              <w:t xml:space="preserve">Table 2</w:t>
            </w:r>
          </w:p>
        </w:tc>
        <w:tc>
          <w:tcPr/>
          <w:p>
            <w:pPr>
              <w:pStyle w:val="Compact"/>
            </w:pPr>
            <w:r>
              <w:t xml:space="preserve">Summary statistics</w:t>
            </w:r>
          </w:p>
        </w:tc>
        <w:tc>
          <w:tcPr/>
          <w:p>
            <w:pPr>
              <w:pStyle w:val="Compact"/>
            </w:pPr>
            <w:r>
              <w:t xml:space="preserve">S1–S4</w:t>
            </w:r>
          </w:p>
        </w:tc>
        <w:tc>
          <w:tcPr/>
          <w:p>
            <w:pPr>
              <w:pStyle w:val="Compact"/>
            </w:pPr>
            <w:r>
              <w:t xml:space="preserve">09_descriptive.py</w:t>
            </w:r>
          </w:p>
        </w:tc>
        <w:tc>
          <w:tcPr/>
          <w:p>
            <w:pPr>
              <w:pStyle w:val="Compact"/>
            </w:pPr>
            <w:r>
              <w:t xml:space="preserve">desc_summary.csv</w:t>
            </w:r>
          </w:p>
        </w:tc>
      </w:tr>
      <w:tr>
        <w:tc>
          <w:tcPr/>
          <w:p>
            <w:pPr>
              <w:pStyle w:val="Compact"/>
            </w:pPr>
            <w:r>
              <w:t xml:space="preserve">Figure 2</w:t>
            </w:r>
          </w:p>
        </w:tc>
        <w:tc>
          <w:tcPr/>
          <w:p>
            <w:pPr>
              <w:pStyle w:val="Compact"/>
            </w:pPr>
            <w:r>
              <w:t xml:space="preserve">Inflation trends and the gap</w:t>
            </w:r>
          </w:p>
        </w:tc>
        <w:tc>
          <w:tcPr/>
          <w:p>
            <w:pPr>
              <w:pStyle w:val="Compact"/>
            </w:pPr>
            <w:r>
              <w:t xml:space="preserve">S1–S4</w:t>
            </w:r>
          </w:p>
        </w:tc>
        <w:tc>
          <w:tcPr/>
          <w:p>
            <w:pPr>
              <w:pStyle w:val="Compact"/>
            </w:pPr>
            <w:r>
              <w:t xml:space="preserve">09_descriptive.py</w:t>
            </w:r>
          </w:p>
        </w:tc>
        <w:tc>
          <w:tcPr/>
          <w:p>
            <w:pPr>
              <w:pStyle w:val="Compact"/>
            </w:pPr>
            <w:r>
              <w:t xml:space="preserve">desc_yoy_national.csv; figd1_trends.png</w:t>
            </w:r>
          </w:p>
        </w:tc>
      </w:tr>
      <w:tr>
        <w:tc>
          <w:tcPr/>
          <w:p>
            <w:pPr>
              <w:pStyle w:val="Compact"/>
            </w:pPr>
            <w:r>
              <w:t xml:space="preserve">Table 3</w:t>
            </w:r>
          </w:p>
        </w:tc>
        <w:tc>
          <w:tcPr/>
          <w:p>
            <w:pPr>
              <w:pStyle w:val="Compact"/>
            </w:pPr>
            <w:r>
              <w:t xml:space="preserve">Annual inflation</w:t>
            </w:r>
          </w:p>
        </w:tc>
        <w:tc>
          <w:tcPr/>
          <w:p>
            <w:pPr>
              <w:pStyle w:val="Compact"/>
            </w:pPr>
            <w:r>
              <w:t xml:space="preserve">S1–S4</w:t>
            </w:r>
          </w:p>
        </w:tc>
        <w:tc>
          <w:tcPr/>
          <w:p>
            <w:pPr>
              <w:pStyle w:val="Compact"/>
            </w:pPr>
            <w:r>
              <w:t xml:space="preserve">09_descriptive.py</w:t>
            </w:r>
          </w:p>
        </w:tc>
        <w:tc>
          <w:tcPr/>
          <w:p>
            <w:pPr>
              <w:pStyle w:val="Compact"/>
            </w:pPr>
            <w:r>
              <w:t xml:space="preserve">desc_annual.csv</w:t>
            </w:r>
          </w:p>
        </w:tc>
      </w:tr>
      <w:tr>
        <w:tc>
          <w:tcPr/>
          <w:p>
            <w:pPr>
              <w:pStyle w:val="Compact"/>
            </w:pPr>
            <w:r>
              <w:t xml:space="preserve">Table 4</w:t>
            </w:r>
          </w:p>
        </w:tc>
        <w:tc>
          <w:tcPr/>
          <w:p>
            <w:pPr>
              <w:pStyle w:val="Compact"/>
            </w:pPr>
            <w:r>
              <w:t xml:space="preserve">Fuel-shock episodes</w:t>
            </w:r>
          </w:p>
        </w:tc>
        <w:tc>
          <w:tcPr/>
          <w:p>
            <w:pPr>
              <w:pStyle w:val="Compact"/>
            </w:pPr>
            <w:r>
              <w:t xml:space="preserve">S1–S4</w:t>
            </w:r>
          </w:p>
        </w:tc>
        <w:tc>
          <w:tcPr/>
          <w:p>
            <w:pPr>
              <w:pStyle w:val="Compact"/>
            </w:pPr>
            <w:r>
              <w:t xml:space="preserve">09_descriptive.py</w:t>
            </w:r>
          </w:p>
        </w:tc>
        <w:tc>
          <w:tcPr/>
          <w:p>
            <w:pPr>
              <w:pStyle w:val="Compact"/>
            </w:pPr>
            <w:r>
              <w:t xml:space="preserve">desc_episodes.csv</w:t>
            </w:r>
          </w:p>
        </w:tc>
      </w:tr>
      <w:tr>
        <w:tc>
          <w:tcPr/>
          <w:p>
            <w:pPr>
              <w:pStyle w:val="Compact"/>
            </w:pPr>
            <w:r>
              <w:t xml:space="preserve">Table 5</w:t>
            </w:r>
          </w:p>
        </w:tc>
        <w:tc>
          <w:tcPr/>
          <w:p>
            <w:pPr>
              <w:pStyle w:val="Compact"/>
            </w:pPr>
            <w:r>
              <w:t xml:space="preserve">Cross-correlations</w:t>
            </w:r>
          </w:p>
        </w:tc>
        <w:tc>
          <w:tcPr/>
          <w:p>
            <w:pPr>
              <w:pStyle w:val="Compact"/>
            </w:pPr>
            <w:r>
              <w:t xml:space="preserve">S1–S4</w:t>
            </w:r>
          </w:p>
        </w:tc>
        <w:tc>
          <w:tcPr/>
          <w:p>
            <w:pPr>
              <w:pStyle w:val="Compact"/>
            </w:pPr>
            <w:r>
              <w:t xml:space="preserve">09_descriptive.py</w:t>
            </w:r>
          </w:p>
        </w:tc>
        <w:tc>
          <w:tcPr/>
          <w:p>
            <w:pPr>
              <w:pStyle w:val="Compact"/>
            </w:pPr>
            <w:r>
              <w:t xml:space="preserve">desc_crosscorr.csv</w:t>
            </w:r>
          </w:p>
        </w:tc>
      </w:tr>
      <w:tr>
        <w:tc>
          <w:tcPr/>
          <w:p>
            <w:pPr>
              <w:pStyle w:val="Compact"/>
            </w:pPr>
            <w:r>
              <w:t xml:space="preserve">Figure 3</w:t>
            </w:r>
          </w:p>
        </w:tc>
        <w:tc>
          <w:tcPr/>
          <w:p>
            <w:pPr>
              <w:pStyle w:val="Compact"/>
            </w:pPr>
            <w:r>
              <w:t xml:space="preserve">Regional inflation and gap</w:t>
            </w:r>
          </w:p>
        </w:tc>
        <w:tc>
          <w:tcPr/>
          <w:p>
            <w:pPr>
              <w:pStyle w:val="Compact"/>
            </w:pPr>
            <w:r>
              <w:t xml:space="preserve">S1–S5</w:t>
            </w:r>
          </w:p>
        </w:tc>
        <w:tc>
          <w:tcPr/>
          <w:p>
            <w:pPr>
              <w:pStyle w:val="Compact"/>
            </w:pPr>
            <w:r>
              <w:t xml:space="preserve">09_descriptive.py</w:t>
            </w:r>
          </w:p>
        </w:tc>
        <w:tc>
          <w:tcPr/>
          <w:p>
            <w:pPr>
              <w:pStyle w:val="Compact"/>
            </w:pPr>
            <w:r>
              <w:t xml:space="preserve">desc_regional.csv; figd2_regional.png</w:t>
            </w:r>
          </w:p>
        </w:tc>
      </w:tr>
      <w:tr>
        <w:tc>
          <w:tcPr/>
          <w:p>
            <w:pPr>
              <w:pStyle w:val="Compact"/>
            </w:pPr>
            <w:r>
              <w:t xml:space="preserve">Table 6</w:t>
            </w:r>
          </w:p>
        </w:tc>
        <w:tc>
          <w:tcPr/>
          <w:p>
            <w:pPr>
              <w:pStyle w:val="Compact"/>
            </w:pPr>
            <w:r>
              <w:t xml:space="preserve">Regional summary</w:t>
            </w:r>
          </w:p>
        </w:tc>
        <w:tc>
          <w:tcPr/>
          <w:p>
            <w:pPr>
              <w:pStyle w:val="Compact"/>
            </w:pPr>
            <w:r>
              <w:t xml:space="preserve">S1–S5</w:t>
            </w:r>
          </w:p>
        </w:tc>
        <w:tc>
          <w:tcPr/>
          <w:p>
            <w:pPr>
              <w:pStyle w:val="Compact"/>
            </w:pPr>
            <w:r>
              <w:t xml:space="preserve">09_descriptive.py</w:t>
            </w:r>
          </w:p>
        </w:tc>
        <w:tc>
          <w:tcPr/>
          <w:p>
            <w:pPr>
              <w:pStyle w:val="Compact"/>
            </w:pPr>
            <w:r>
              <w:t xml:space="preserve">desc_regional.csv</w:t>
            </w:r>
          </w:p>
        </w:tc>
      </w:tr>
      <w:tr>
        <w:tc>
          <w:tcPr/>
          <w:p>
            <w:pPr>
              <w:pStyle w:val="Compact"/>
            </w:pPr>
            <w:r>
              <w:t xml:space="preserve">Table 7</w:t>
            </w:r>
          </w:p>
        </w:tc>
        <w:tc>
          <w:tcPr/>
          <w:p>
            <w:pPr>
              <w:pStyle w:val="Compact"/>
            </w:pPr>
            <w:r>
              <w:t xml:space="preserve">Unit-root tests</w:t>
            </w:r>
          </w:p>
        </w:tc>
        <w:tc>
          <w:tcPr/>
          <w:p>
            <w:pPr>
              <w:pStyle w:val="Compact"/>
            </w:pPr>
            <w:r>
              <w:t xml:space="preserve">S1–S4</w:t>
            </w:r>
          </w:p>
        </w:tc>
        <w:tc>
          <w:tcPr/>
          <w:p>
            <w:pPr>
              <w:pStyle w:val="Compact"/>
            </w:pPr>
            <w:r>
              <w:t xml:space="preserve">09_descriptive.py</w:t>
            </w:r>
          </w:p>
        </w:tc>
        <w:tc>
          <w:tcPr/>
          <w:p>
            <w:pPr>
              <w:pStyle w:val="Compact"/>
            </w:pPr>
            <w:r>
              <w:t xml:space="preserve">desc_adf.csv</w:t>
            </w:r>
          </w:p>
        </w:tc>
      </w:tr>
      <w:tr>
        <w:tc>
          <w:tcPr/>
          <w:p>
            <w:pPr>
              <w:pStyle w:val="Compact"/>
            </w:pPr>
            <w:r>
              <w:t xml:space="preserve">Table 8</w:t>
            </w:r>
          </w:p>
        </w:tc>
        <w:tc>
          <w:tcPr/>
          <w:p>
            <w:pPr>
              <w:pStyle w:val="Compact"/>
            </w:pPr>
            <w:r>
              <w:t xml:space="preserve">Validation against the reference study</w:t>
            </w:r>
          </w:p>
        </w:tc>
        <w:tc>
          <w:tcPr/>
          <w:p>
            <w:pPr>
              <w:pStyle w:val="Compact"/>
            </w:pPr>
            <w:r>
              <w:t xml:space="preserve">S1, S3, S6, S11–S14</w:t>
            </w:r>
          </w:p>
        </w:tc>
        <w:tc>
          <w:tcPr/>
          <w:p>
            <w:pPr>
              <w:pStyle w:val="Compact"/>
            </w:pPr>
            <w:r>
              <w:t xml:space="preserve">04_replicate.py</w:t>
            </w:r>
          </w:p>
        </w:tc>
        <w:tc>
          <w:tcPr/>
          <w:p>
            <w:pPr>
              <w:pStyle w:val="Compact"/>
            </w:pPr>
            <w:r>
              <w:t xml:space="preserve">replication_eu_ph.csv; replication_gate.csv</w:t>
            </w:r>
          </w:p>
        </w:tc>
      </w:tr>
      <w:tr>
        <w:tc>
          <w:tcPr/>
          <w:p>
            <w:pPr>
              <w:pStyle w:val="Compact"/>
            </w:pPr>
            <w:r>
              <w:t xml:space="preserve">Figure 4, Table 9</w:t>
            </w:r>
          </w:p>
        </w:tc>
        <w:tc>
          <w:tcPr/>
          <w:p>
            <w:pPr>
              <w:pStyle w:val="Compact"/>
            </w:pPr>
            <w:r>
              <w:t xml:space="preserve">Pass-through to the price level and the gap</w:t>
            </w:r>
          </w:p>
        </w:tc>
        <w:tc>
          <w:tcPr/>
          <w:p>
            <w:pPr>
              <w:pStyle w:val="Compact"/>
            </w:pPr>
            <w:r>
              <w:t xml:space="preserve">S1–S4</w:t>
            </w:r>
          </w:p>
        </w:tc>
        <w:tc>
          <w:tcPr/>
          <w:p>
            <w:pPr>
              <w:pStyle w:val="Compact"/>
            </w:pPr>
            <w:r>
              <w:t xml:space="preserve">05_estimate.py</w:t>
            </w:r>
          </w:p>
        </w:tc>
        <w:tc>
          <w:tcPr/>
          <w:p>
            <w:pPr>
              <w:pStyle w:val="Compact"/>
            </w:pPr>
            <w:r>
              <w:t xml:space="preserve">estimates.csv; fig1_rq1_passthrough.png</w:t>
            </w:r>
          </w:p>
        </w:tc>
      </w:tr>
      <w:tr>
        <w:tc>
          <w:tcPr/>
          <w:p>
            <w:pPr>
              <w:pStyle w:val="Compact"/>
            </w:pPr>
            <w:r>
              <w:t xml:space="preserve">Figure 5</w:t>
            </w:r>
          </w:p>
        </w:tc>
        <w:tc>
          <w:tcPr/>
          <w:p>
            <w:pPr>
              <w:pStyle w:val="Compact"/>
            </w:pPr>
            <w:r>
              <w:t xml:space="preserve">Response of the gap, national and panel</w:t>
            </w:r>
          </w:p>
        </w:tc>
        <w:tc>
          <w:tcPr/>
          <w:p>
            <w:pPr>
              <w:pStyle w:val="Compact"/>
            </w:pPr>
            <w:r>
              <w:t xml:space="preserve">S1–S4</w:t>
            </w:r>
          </w:p>
        </w:tc>
        <w:tc>
          <w:tcPr/>
          <w:p>
            <w:pPr>
              <w:pStyle w:val="Compact"/>
            </w:pPr>
            <w:r>
              <w:t xml:space="preserve">05_estimate.py</w:t>
            </w:r>
          </w:p>
        </w:tc>
        <w:tc>
          <w:tcPr/>
          <w:p>
            <w:pPr>
              <w:pStyle w:val="Compact"/>
            </w:pPr>
            <w:r>
              <w:t xml:space="preserve">estimates.csv; fig2_rq2_rq4_ratio.png</w:t>
            </w:r>
          </w:p>
        </w:tc>
      </w:tr>
      <w:tr>
        <w:tc>
          <w:tcPr/>
          <w:p>
            <w:pPr>
              <w:pStyle w:val="Compact"/>
            </w:pPr>
            <w:r>
              <w:t xml:space="preserve">Figure 6, Table 10</w:t>
            </w:r>
          </w:p>
        </w:tc>
        <w:tc>
          <w:tcPr/>
          <w:p>
            <w:pPr>
              <w:pStyle w:val="Compact"/>
            </w:pPr>
            <w:r>
              <w:t xml:space="preserve">Pass-through by CPI division</w:t>
            </w:r>
          </w:p>
        </w:tc>
        <w:tc>
          <w:tcPr/>
          <w:p>
            <w:pPr>
              <w:pStyle w:val="Compact"/>
            </w:pPr>
            <w:r>
              <w:t xml:space="preserve">S1, S3</w:t>
            </w:r>
          </w:p>
        </w:tc>
        <w:tc>
          <w:tcPr/>
          <w:p>
            <w:pPr>
              <w:pStyle w:val="Compact"/>
            </w:pPr>
            <w:r>
              <w:t xml:space="preserve">05_estimate.py</w:t>
            </w:r>
          </w:p>
        </w:tc>
        <w:tc>
          <w:tcPr/>
          <w:p>
            <w:pPr>
              <w:pStyle w:val="Compact"/>
            </w:pPr>
            <w:r>
              <w:t xml:space="preserve">estimates.csv; rq3_gap_decomposition.csv; fig3_rq3_components.png</w:t>
            </w:r>
          </w:p>
        </w:tc>
      </w:tr>
      <w:tr>
        <w:tc>
          <w:tcPr/>
          <w:p>
            <w:pPr>
              <w:pStyle w:val="Compact"/>
            </w:pPr>
            <w:r>
              <w:t xml:space="preserve">Figure 7, Table 11</w:t>
            </w:r>
          </w:p>
        </w:tc>
        <w:tc>
          <w:tcPr/>
          <w:p>
            <w:pPr>
              <w:pStyle w:val="Compact"/>
            </w:pPr>
            <w:r>
              <w:t xml:space="preserve">Regional groups</w:t>
            </w:r>
          </w:p>
        </w:tc>
        <w:tc>
          <w:tcPr/>
          <w:p>
            <w:pPr>
              <w:pStyle w:val="Compact"/>
            </w:pPr>
            <w:r>
              <w:t xml:space="preserve">S1–S5</w:t>
            </w:r>
          </w:p>
        </w:tc>
        <w:tc>
          <w:tcPr/>
          <w:p>
            <w:pPr>
              <w:pStyle w:val="Compact"/>
            </w:pPr>
            <w:r>
              <w:t xml:space="preserve">05_estimate.py</w:t>
            </w:r>
          </w:p>
        </w:tc>
        <w:tc>
          <w:tcPr/>
          <w:p>
            <w:pPr>
              <w:pStyle w:val="Compact"/>
            </w:pPr>
            <w:r>
              <w:t xml:space="preserve">estimates.csv; region_groups.csv; fig4_rq4_groups.png</w:t>
            </w:r>
          </w:p>
        </w:tc>
      </w:tr>
      <w:tr>
        <w:tc>
          <w:tcPr/>
          <w:p>
            <w:pPr>
              <w:pStyle w:val="Compact"/>
            </w:pPr>
            <w:r>
              <w:t xml:space="preserve">Figure 8, Table 12</w:t>
            </w:r>
          </w:p>
        </w:tc>
        <w:tc>
          <w:tcPr/>
          <w:p>
            <w:pPr>
              <w:pStyle w:val="Compact"/>
            </w:pPr>
            <w:r>
              <w:t xml:space="preserve">Robustness</w:t>
            </w:r>
          </w:p>
        </w:tc>
        <w:tc>
          <w:tcPr/>
          <w:p>
            <w:pPr>
              <w:pStyle w:val="Compact"/>
            </w:pPr>
            <w:r>
              <w:t xml:space="preserve">S1–S10</w:t>
            </w:r>
          </w:p>
        </w:tc>
        <w:tc>
          <w:tcPr/>
          <w:p>
            <w:pPr>
              <w:pStyle w:val="Compact"/>
            </w:pPr>
            <w:r>
              <w:t xml:space="preserve">05_estimate.py</w:t>
            </w:r>
          </w:p>
        </w:tc>
        <w:tc>
          <w:tcPr/>
          <w:p>
            <w:pPr>
              <w:pStyle w:val="Compact"/>
            </w:pPr>
            <w:r>
              <w:t xml:space="preserve">estimates.csv; fig5_robustness.png</w:t>
            </w:r>
          </w:p>
        </w:tc>
      </w:tr>
      <w:tr>
        <w:tc>
          <w:tcPr/>
          <w:p>
            <w:pPr>
              <w:pStyle w:val="Compact"/>
            </w:pPr>
            <w:r>
              <w:t xml:space="preserve">Figure 9</w:t>
            </w:r>
          </w:p>
        </w:tc>
        <w:tc>
          <w:tcPr/>
          <w:p>
            <w:pPr>
              <w:pStyle w:val="Compact"/>
            </w:pPr>
            <w:r>
              <w:t xml:space="preserve">2026: actual and predicted</w:t>
            </w:r>
          </w:p>
        </w:tc>
        <w:tc>
          <w:tcPr/>
          <w:p>
            <w:pPr>
              <w:pStyle w:val="Compact"/>
            </w:pPr>
            <w:r>
              <w:t xml:space="preserve">S1–S4</w:t>
            </w:r>
          </w:p>
        </w:tc>
        <w:tc>
          <w:tcPr/>
          <w:p>
            <w:pPr>
              <w:pStyle w:val="Compact"/>
            </w:pPr>
            <w:r>
              <w:t xml:space="preserve">07_episode_2026.py</w:t>
            </w:r>
          </w:p>
        </w:tc>
        <w:tc>
          <w:tcPr/>
          <w:p>
            <w:pPr>
              <w:pStyle w:val="Compact"/>
            </w:pPr>
            <w:r>
              <w:t xml:space="preserve">e1_national_2026.csv; fig6_2026_out_of_sample.png</w:t>
            </w:r>
          </w:p>
        </w:tc>
      </w:tr>
      <w:tr>
        <w:tc>
          <w:tcPr/>
          <w:p>
            <w:pPr>
              <w:pStyle w:val="Compact"/>
            </w:pPr>
            <w:r>
              <w:t xml:space="preserve">Table 13</w:t>
            </w:r>
          </w:p>
        </w:tc>
        <w:tc>
          <w:tcPr/>
          <w:p>
            <w:pPr>
              <w:pStyle w:val="Compact"/>
            </w:pPr>
            <w:r>
              <w:t xml:space="preserve">2026 by region; peso cost</w:t>
            </w:r>
          </w:p>
        </w:tc>
        <w:tc>
          <w:tcPr/>
          <w:p>
            <w:pPr>
              <w:pStyle w:val="Compact"/>
            </w:pPr>
            <w:r>
              <w:t xml:space="preserve">S1–S5</w:t>
            </w:r>
          </w:p>
        </w:tc>
        <w:tc>
          <w:tcPr/>
          <w:p>
            <w:pPr>
              <w:pStyle w:val="Compact"/>
            </w:pPr>
            <w:r>
              <w:t xml:space="preserve">07_episode_2026.py</w:t>
            </w:r>
          </w:p>
        </w:tc>
        <w:tc>
          <w:tcPr/>
          <w:p>
            <w:pPr>
              <w:pStyle w:val="Compact"/>
            </w:pPr>
            <w:r>
              <w:t xml:space="preserve">e2_regional_2026.csv</w:t>
            </w:r>
          </w:p>
        </w:tc>
      </w:tr>
      <w:tr>
        <w:tc>
          <w:tcPr/>
          <w:p>
            <w:pPr>
              <w:pStyle w:val="Compact"/>
            </w:pPr>
            <w:r>
              <w:t xml:space="preserve">Figure 10</w:t>
            </w:r>
          </w:p>
        </w:tc>
        <w:tc>
          <w:tcPr/>
          <w:p>
            <w:pPr>
              <w:pStyle w:val="Compact"/>
            </w:pPr>
            <w:r>
              <w:t xml:space="preserve">2026 gap by item</w:t>
            </w:r>
          </w:p>
        </w:tc>
        <w:tc>
          <w:tcPr/>
          <w:p>
            <w:pPr>
              <w:pStyle w:val="Compact"/>
            </w:pPr>
            <w:r>
              <w:t xml:space="preserve">S2, S4</w:t>
            </w:r>
          </w:p>
        </w:tc>
        <w:tc>
          <w:tcPr/>
          <w:p>
            <w:pPr>
              <w:pStyle w:val="Compact"/>
            </w:pPr>
            <w:r>
              <w:t xml:space="preserve">07_episode_2026.py</w:t>
            </w:r>
          </w:p>
        </w:tc>
        <w:tc>
          <w:tcPr/>
          <w:p>
            <w:pPr>
              <w:pStyle w:val="Compact"/>
            </w:pPr>
            <w:r>
              <w:t xml:space="preserve">e5_decomposition_2026.csv; fig7_2026_gap_decomposition.png</w:t>
            </w:r>
          </w:p>
        </w:tc>
      </w:tr>
      <w:tr>
        <w:tc>
          <w:tcPr/>
          <w:p>
            <w:pPr>
              <w:pStyle w:val="Compact"/>
            </w:pPr>
            <w:r>
              <w:t xml:space="preserve">Table 14</w:t>
            </w:r>
          </w:p>
        </w:tc>
        <w:tc>
          <w:tcPr/>
          <w:p>
            <w:pPr>
              <w:pStyle w:val="Compact"/>
            </w:pPr>
            <w:r>
              <w:t xml:space="preserve">Household fuels, fares, cereals</w:t>
            </w:r>
          </w:p>
        </w:tc>
        <w:tc>
          <w:tcPr/>
          <w:p>
            <w:pPr>
              <w:pStyle w:val="Compact"/>
            </w:pPr>
            <w:r>
              <w:t xml:space="preserve">S1, S3</w:t>
            </w:r>
          </w:p>
        </w:tc>
        <w:tc>
          <w:tcPr/>
          <w:p>
            <w:pPr>
              <w:pStyle w:val="Compact"/>
            </w:pPr>
            <w:r>
              <w:t xml:space="preserve">07_episode_2026.py</w:t>
            </w:r>
          </w:p>
        </w:tc>
        <w:tc>
          <w:tcPr/>
          <w:p>
            <w:pPr>
              <w:pStyle w:val="Compact"/>
            </w:pPr>
            <w:r>
              <w:t xml:space="preserve">e4_mechanism.csv</w:t>
            </w:r>
          </w:p>
        </w:tc>
      </w:tr>
      <w:tr>
        <w:tc>
          <w:tcPr/>
          <w:p>
            <w:pPr>
              <w:pStyle w:val="Compact"/>
            </w:pPr>
            <w:r>
              <w:t xml:space="preserve">Table 15</w:t>
            </w:r>
          </w:p>
        </w:tc>
        <w:tc>
          <w:tcPr/>
          <w:p>
            <w:pPr>
              <w:pStyle w:val="Compact"/>
            </w:pPr>
            <w:r>
              <w:t xml:space="preserve">Policy instruments</w:t>
            </w:r>
          </w:p>
        </w:tc>
        <w:tc>
          <w:tcPr/>
          <w:p>
            <w:pPr>
              <w:pStyle w:val="Compact"/>
            </w:pPr>
            <w:r>
              <w:t xml:space="preserve">S15; Tables 9–14</w:t>
            </w:r>
          </w:p>
        </w:tc>
        <w:tc>
          <w:tcPr/>
          <w:p>
            <w:pPr>
              <w:pStyle w:val="Compact"/>
            </w:pPr>
            <w:r>
              <w:t xml:space="preserve">—</w:t>
            </w:r>
          </w:p>
        </w:tc>
        <w:tc>
          <w:tcPr/>
          <w:p>
            <w:pPr>
              <w:pStyle w:val="Compact"/>
            </w:pPr>
            <w: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213"/>
    <w:bookmarkEnd w:id="21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firstLine="720" w:left="0" w:right="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firstLine="720" w:left="0" w:right="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firstLine="0" w:left="0" w:right="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firstLine="0" w:left="0" w:right="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firstLine="0" w:left="0" w:right="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firstLine="0" w:left="0" w:right="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firstLine="0" w:left="0" w:right="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firstLine="0" w:left="0" w:right="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left="0" w:right="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firstLine="0" w:left="720" w:right="72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hanging="720" w:left="720" w:right="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firstLine="0" w:left="0" w:right="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firstLine="0" w:left="0" w:right="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firstLine="0" w:left="0" w:right="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firstLine="0" w:left="0" w:right="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firstLine="0" w:left="0" w:right="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firstLine="0" w:left="0" w:right="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firstLine="0" w:left="0" w:right="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firstLine="0" w:left="0" w:right="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firstLine="0" w:left="0" w:right="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firstLine="0" w:left="720" w:right="72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firstLine="0" w:left="0" w:right="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val="nil"/>
        <w:bottom w:color="000000" w:space="0" w:sz="12" w:val="single"/>
        <w:right w:val="nil"/>
        <w:insideH w:val="nil"/>
        <w:insideV w:val="nil"/>
      </w:tblBorders>
    </w:tblPr>
    <w:tblStylePr w:type="firstRow">
      <w:tcPr>
        <w:tcBorders>
          <w:bottom w:color="000000" w:space="0" w:sz="6" w:val="single"/>
        </w:tcBorders>
      </w:tcPr>
    </w:tblStylePr>
  </w:style>
  <w:style w:customStyle="1" w:styleId="DefinitionTerm" w:type="paragraph">
    <w:name w:val="Definition Term"/>
    <w:basedOn w:val="Normal"/>
    <w:next w:val="Definition"/>
    <w:pPr>
      <w:keepNext/>
      <w:keepLines/>
      <w:widowControl/>
      <w:spacing w:after="0" w:before="0" w:line="240" w:lineRule="auto"/>
      <w:ind w:firstLine="0" w:left="0" w:right="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firstLine="0" w:left="720" w:right="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firstLine="0" w:left="0" w:right="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firstLine="0" w:left="0" w:right="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 2001–2026</dc:title>
  <dc:creator>[Author name], Master of Arts in Economics (Applied Economics), Graduate School of Applied Economics, University of Southeastern Philippines, Davao City</dc:creator>
  <cp:keywords/>
  <dcterms:created xsi:type="dcterms:W3CDTF">2026-10-21T14:04:31Z</dcterms:created>
  <dcterms:modified xsi:type="dcterms:W3CDTF">2026-10-21T14:04:31Z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working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response.Keywords: oil price shock; inflation inequality; fuel price pass-through; local projections; bottom 30% CPI; regional inflation; PhilippinesJEL classification: E31, Q41, I32, D31, R12</vt:lpwstr>
  </property>
  <property fmtid="{D5CDD505-2E9C-101B-9397-08002B2CF9AE}" pid="3" name="bibliography">
    <vt:lpwstr>/home/user/oil-shock-distribution/paper/references.bib</vt:lpwstr>
  </property>
  <property fmtid="{D5CDD505-2E9C-101B-9397-08002B2CF9AE}" pid="4" name="date">
    <vt:lpwstr>October 2026</vt:lpwstr>
  </property>
  <property fmtid="{D5CDD505-2E9C-101B-9397-08002B2CF9AE}" pid="5" name="link-citations">
    <vt:lpwstr>True</vt:lpwstr>
  </property>
  <property fmtid="{D5CDD505-2E9C-101B-9397-08002B2CF9AE}" pid="6" name="subtitle">
    <vt:lpwstr>Working Paper</vt:lpwstr>
  </property>
</Properties>
</file>