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4.png" ContentType="image/png"/>
  <Override PartName="/word/media/rId99.png" ContentType="image/png"/>
  <Override PartName="/word/media/rId60.png" ContentType="image/png"/>
  <Override PartName="/word/media/rId6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 Pays for Oil Shocks? Fuel Price Pass-Through to the Inflation of Poor Households across Philippine Regions, 2001–2026</w:t>
      </w:r>
    </w:p>
    <w:p>
      <w:pPr>
        <w:pStyle w:val="Subtitle"/>
      </w:pPr>
      <w:r>
        <w:t xml:space="preserve">Working Paper</w:t>
      </w:r>
    </w:p>
    <w:p>
      <w:pPr>
        <w:pStyle w:val="Author"/>
      </w:pPr>
      <w:r>
        <w:t xml:space="preserve">[Author name], Master of Arts in Economics (Applied Economics), Graduate School of Applied Economics, University of Southeastern Philippines, Davao City</w:t>
      </w:r>
    </w:p>
    <w:p>
      <w:pPr>
        <w:pStyle w:val="Date"/>
      </w:pPr>
      <w:r>
        <w:t xml:space="preserve">November 2026</w:t>
      </w:r>
    </w:p>
    <w:p>
      <w:pPr>
        <w:pStyle w:val="AbstractTitle"/>
      </w:pPr>
      <w:r>
        <w:t xml:space="preserve">Abstract</w:t>
      </w:r>
    </w:p>
    <w:p>
      <w:pPr>
        <w:pStyle w:val="Abstract"/>
      </w:pPr>
      <w:r>
        <w:t xml:space="preserve">This working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w:t>
      </w:r>
    </w:p>
    <w:p>
      <w:pPr>
        <w:pStyle w:val="Abstract"/>
      </w:pPr>
      <w:r>
        <w:rPr>
          <w:b/>
          <w:bCs/>
        </w:rPr>
        <w:t xml:space="preserve">Keywords:</w:t>
      </w:r>
      <w:r>
        <w:t xml:space="preserve"> </w:t>
      </w:r>
      <w:r>
        <w:t xml:space="preserve">oil price shock; inflation inequality; fuel price pass-through; local projections; bottom 30% CPI; regional inflation; Philippines</w:t>
      </w:r>
    </w:p>
    <w:p>
      <w:pPr>
        <w:pStyle w:val="Abstract"/>
      </w:pPr>
      <w:r>
        <w:rPr>
          <w:b/>
          <w:bCs/>
        </w:rPr>
        <w:t xml:space="preserve">JEL classification:</w:t>
      </w:r>
      <w:r>
        <w:t xml:space="preserve"> </w:t>
      </w:r>
      <w:r>
        <w:t xml:space="preserve">E31, Q41, I32, D31, R12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chapter-1.-introduction"/>
    <w:p>
      <w:pPr>
        <w:pStyle w:val="Heading1"/>
      </w:pPr>
      <w:r>
        <w:t xml:space="preserve">Chapter 1. Introduction</w:t>
      </w:r>
    </w:p>
    <w:bookmarkStart w:id="18" w:name="background-of-the-study"/>
    <w:p>
      <w:pPr>
        <w:pStyle w:val="Heading2"/>
      </w:pPr>
      <w:r>
        <w:t xml:space="preserve">1.1 Background of the study</w:t>
      </w:r>
    </w:p>
    <w:p>
      <w:pPr>
        <w:pStyle w:val="FirstParagraph"/>
      </w:pPr>
      <w:r>
        <w:t xml:space="preserve">The Philippines imports almost all of the petroleum it consumes, so world oil prices reach Filipino households quickly through the pump price of gasoline and diesel, the price of LPG for cooking, transport fares and the cost of moving food. The country has lived through several oil price surges since 2000: the run-up of 2004–2006, the spike of 2008 that coincided with the global rice price crisis, the post-pandemic surge of 2021–2022, and, in 2026, the oil shock caused by the conflict in the Middle East.</w:t>
      </w:r>
    </w:p>
    <w:p>
      <w:pPr>
        <w:pStyle w:val="BodyText"/>
      </w:pPr>
      <w:r>
        <w:t xml:space="preserve">The 2026 shock was among the sharpest. The CPI sub-index for retail motor fuels was 36% higher in March 2026 than a year earlier and 76% higher in April. Headline inflation rose from 2.4% in February to 4.1% in March and 7.2% in April, above the Bangko Sentral ng Pilipinas (BSP) target of 2–4%, and was still 6.2% in August. Inflation measured by PSA’s CPI for the bottom 30% income households was higher: 8.5% in April and 8.2% in August.</w:t>
      </w:r>
    </w:p>
    <w:p>
      <w:pPr>
        <w:pStyle w:val="BodyText"/>
      </w:pPr>
      <w:r>
        <w:t xml:space="preserve">The government responded on several fronts. Republic Act 12316, approved on 25 March 2026, allows the President to suspend or reduce excise taxes on petroleum products for up to three months whenever Dubai crude averages USD 80 per barrel or more</w:t>
      </w:r>
      <w:r>
        <w:t xml:space="preserve"> </w:t>
      </w:r>
      <w:r>
        <w:t xml:space="preserve">(</w:t>
      </w:r>
      <w:hyperlink w:anchor="ref-ra12316_2026">
        <w:r>
          <w:rPr>
            <w:rStyle w:val="Hyperlink"/>
          </w:rPr>
          <w:t xml:space="preserve">Republic of the Philippines 2026</w:t>
        </w:r>
      </w:hyperlink>
      <w:r>
        <w:t xml:space="preserve">)</w:t>
      </w:r>
      <w:r>
        <w:t xml:space="preserve">. Excise taxes on LPG and kerosene were suspended from April 2026 and again from late September, while those on gasoline and diesel were kept, on the grounds that suspending them would not be progressive. Fuel subsidies were released to public utility vehicle drivers, a one-peso increase in the jeepney minimum fare took effect at the end of September, and the BSP raised its policy rate three times between March and August 2026, from 4.25% to 5.00%.</w:t>
      </w:r>
    </w:p>
    <w:bookmarkEnd w:id="18"/>
    <w:bookmarkStart w:id="19" w:name="rationale"/>
    <w:p>
      <w:pPr>
        <w:pStyle w:val="Heading2"/>
      </w:pPr>
      <w:r>
        <w:t xml:space="preserve">1.2 Rationale</w:t>
      </w:r>
    </w:p>
    <w:p>
      <w:pPr>
        <w:pStyle w:val="FirstParagraph"/>
      </w:pPr>
      <w:r>
        <w:t xml:space="preserve">Each of these responses rests on an assumption about who bears the cost of a fuel price shock. The best cross-country evidence answers that question in a way that would favour broad measures:</w:t>
      </w:r>
      <w:r>
        <w:t xml:space="preserve"> </w:t>
      </w:r>
      <w:r>
        <w:t xml:space="preserve">Kpodar and Liu (</w:t>
      </w:r>
      <w:hyperlink w:anchor="ref-kpodar_liu_2022">
        <w:r>
          <w:rPr>
            <w:rStyle w:val="Hyperlink"/>
          </w:rPr>
          <w:t xml:space="preserve">2022</w:t>
        </w:r>
      </w:hyperlink>
      <w:r>
        <w:t xml:space="preserve">)</w:t>
      </w:r>
      <w:r>
        <w:t xml:space="preserve">, using retail fuel prices for 122 countries and quintile-specific price indices reconstructed from household surveys, find that fuel price increases are</w:t>
      </w:r>
      <w:r>
        <w:t xml:space="preserve"> </w:t>
      </w:r>
      <w:r>
        <w:rPr>
          <w:i/>
          <w:iCs/>
        </w:rPr>
        <w:t xml:space="preserve">progressive</w:t>
      </w:r>
      <w:r>
        <w:t xml:space="preserve"> </w:t>
      </w:r>
      <w:r>
        <w:t xml:space="preserve">— the richest households’ prices rise more, because they spend more on transport.</w:t>
      </w:r>
    </w:p>
    <w:p>
      <w:pPr>
        <w:pStyle w:val="BodyText"/>
      </w:pPr>
      <w:r>
        <w:t xml:space="preserve">There are three reasons to doubt that this holds in the Philippines. First, poor Filipino households spend more than half of their budget on food and a large share on cooking fuels and public transport, so the indirect effects of fuel on food and fares may outweigh the direct effect on motor fuel. Second, the cross-country method applies the same component prices to all income groups and lets only the weights differ; if the poor buy cheaper varieties whose prices respond differently, that method cannot see it. The Philippines is one of the few countries whose statistical agency publishes an official CPI for poor households, monthly and by region, which makes a direct test possible. Third, the Philippines is an archipelago with large regional differences in poverty, diets and transport costs. A national or cross-country estimate cannot show whether households in Mindanao or the island regions bear more of the shock.</w:t>
      </w:r>
    </w:p>
    <w:p>
      <w:pPr>
        <w:pStyle w:val="BodyText"/>
      </w:pPr>
      <w:r>
        <w:t xml:space="preserve">The 2026 shock gives the question practical urgency. Relief was designed in weeks; whether it reached the people who needed it depends on facts this study can establish.</w:t>
      </w:r>
    </w:p>
    <w:bookmarkEnd w:id="19"/>
    <w:bookmarkStart w:id="20" w:name="objectives-of-the-study"/>
    <w:p>
      <w:pPr>
        <w:pStyle w:val="Heading2"/>
      </w:pPr>
      <w:r>
        <w:t xml:space="preserve">1.3 Objectives of the study</w:t>
      </w:r>
    </w:p>
    <w:p>
      <w:pPr>
        <w:pStyle w:val="FirstParagraph"/>
      </w:pPr>
      <w:r>
        <w:t xml:space="preserve">The general objective is to determine how fuel price shocks affect the prices faced by poor households relative to all households in the Philippines, nationally and across regions, from 2001 to 2026, and what this implies for policy.</w:t>
      </w:r>
    </w:p>
    <w:p>
      <w:pPr>
        <w:pStyle w:val="BodyText"/>
      </w:pPr>
      <w:r>
        <w:t xml:space="preserve">The specific objectives follow the three-objective structure of descriptive, estimation and policy analysis:</w:t>
      </w:r>
    </w:p>
    <w:p>
      <w:pPr>
        <w:numPr>
          <w:ilvl w:val="0"/>
          <w:numId w:val="1001"/>
        </w:numPr>
      </w:pPr>
      <w:r>
        <w:rPr>
          <w:b/>
          <w:bCs/>
        </w:rPr>
        <w:t xml:space="preserve">Objective 1 (descriptive statistics and trend analysis).</w:t>
      </w:r>
      <w:r>
        <w:t xml:space="preserve"> </w:t>
      </w:r>
      <w:r>
        <w:t xml:space="preserve">To describe the levels, trends, volatility and co-movement of retail fuel prices, all-income inflation and bottom-30% inflation in the Philippines and its regions from 2001 to 2026, including the behaviour of the gap between the two groups during fuel-shock episodes.</w:t>
      </w:r>
    </w:p>
    <w:p>
      <w:pPr>
        <w:numPr>
          <w:ilvl w:val="0"/>
          <w:numId w:val="1001"/>
        </w:numPr>
      </w:pPr>
      <w:r>
        <w:rPr>
          <w:b/>
          <w:bCs/>
        </w:rPr>
        <w:t xml:space="preserve">Objective 2 (model estimation).</w:t>
      </w:r>
      <w:r>
        <w:t xml:space="preserve"> </w:t>
      </w:r>
      <w:r>
        <w:t xml:space="preserve">To estimate, using the local projection model of</w:t>
      </w:r>
      <w:r>
        <w:t xml:space="preserve"> </w:t>
      </w:r>
      <w:r>
        <w:t xml:space="preserve">Kpodar and Liu (</w:t>
      </w:r>
      <w:hyperlink w:anchor="ref-kpodar_liu_2022">
        <w:r>
          <w:rPr>
            <w:rStyle w:val="Hyperlink"/>
          </w:rPr>
          <w:t xml:space="preserve">2022</w:t>
        </w:r>
      </w:hyperlink>
      <w:r>
        <w:t xml:space="preserve">)</w:t>
      </w:r>
      <w:r>
        <w:t xml:space="preserve">, (a) the size and persistence of the pass-through of retail fuel prices to the price level (RQ1); (b) whether the pass-through is larger for the bottom 30% than for all households (RQ2); (c) the CPI components through which it travels (RQ3); and (d) whether the distributional effect differs across regions grouped by poverty, food dependence and location (RQ4).</w:t>
      </w:r>
    </w:p>
    <w:p>
      <w:pPr>
        <w:numPr>
          <w:ilvl w:val="0"/>
          <w:numId w:val="1001"/>
        </w:numPr>
      </w:pPr>
      <w:r>
        <w:rPr>
          <w:b/>
          <w:bCs/>
        </w:rPr>
        <w:t xml:space="preserve">Objective 3 (policy implications).</w:t>
      </w:r>
      <w:r>
        <w:t xml:space="preserve"> </w:t>
      </w:r>
      <w:r>
        <w:t xml:space="preserve">To assess, using the estimated model and the 2026 shock, (a) how much of the 2026 price surge the historical relationships explain, nationally and by region; (b) the peso cost of the shock for a poverty-line family; (c) which goods drove the poor’s excess inflation; and (d) how well the policy instruments used in 2026 — excise relief, fuel subsidies, fare regulation, monetary policy and transfers — are targeted to the poor.</w:t>
      </w:r>
    </w:p>
    <w:p>
      <w:pPr>
        <w:pStyle w:val="FirstParagraph"/>
      </w:pPr>
      <w:r>
        <w:rPr>
          <w:b/>
          <w:bCs/>
        </w:rPr>
        <w:t xml:space="preserve">Hypotheses.</w:t>
      </w:r>
      <w:r>
        <w:t xml:space="preserve"> </w:t>
      </w:r>
      <w:r>
        <w:t xml:space="preserve">For Objective 2: H1, fuel prices pass through positively and persistently to the price level, peaking within six months (as in developing economies); H2a, the effect is progressive (all-income prices rise more), as in the cross-country literature; H2b, the alternative, the effect is regressive (bottom-30% prices rise more) because of food and fares; H3, transport and food carry most of the pass-through, and food matters more for the poor; H4, the gap is wider in high-poverty, high-food-share, Mindanao and island regions.</w:t>
      </w:r>
    </w:p>
    <w:bookmarkEnd w:id="20"/>
    <w:bookmarkStart w:id="21" w:name="significance-of-the-study"/>
    <w:p>
      <w:pPr>
        <w:pStyle w:val="Heading2"/>
      </w:pPr>
      <w:r>
        <w:t xml:space="preserve">1.4 Significance of the study</w:t>
      </w:r>
    </w:p>
    <w:p>
      <w:pPr>
        <w:pStyle w:val="FirstParagraph"/>
      </w:pPr>
      <w:r>
        <w:t xml:space="preserve">The study is relevant to several groups.</w:t>
      </w:r>
    </w:p>
    <w:p>
      <w:pPr>
        <w:pStyle w:val="Compact"/>
        <w:numPr>
          <w:ilvl w:val="0"/>
          <w:numId w:val="1002"/>
        </w:numPr>
      </w:pPr>
      <w:r>
        <w:rPr>
          <w:i/>
          <w:iCs/>
        </w:rPr>
        <w:t xml:space="preserve">Fiscal authorities (Department of Finance, Bureau of Internal Revenue).</w:t>
      </w:r>
      <w:r>
        <w:t xml:space="preserve"> </w:t>
      </w:r>
      <w:r>
        <w:t xml:space="preserve">RA 12316 gives the President a recurring decision on fuel excise relief until 2028. The study shows which fuels’ relief reaches the poor and how much it is worth to them.</w:t>
      </w:r>
    </w:p>
    <w:p>
      <w:pPr>
        <w:pStyle w:val="Compact"/>
        <w:numPr>
          <w:ilvl w:val="0"/>
          <w:numId w:val="1002"/>
        </w:numPr>
      </w:pPr>
      <w:r>
        <w:rPr>
          <w:i/>
          <w:iCs/>
        </w:rPr>
        <w:t xml:space="preserve">Social protection agencies (Department of Social Welfare and Development).</w:t>
      </w:r>
      <w:r>
        <w:t xml:space="preserve"> </w:t>
      </w:r>
      <w:r>
        <w:t xml:space="preserve">The study translates a fuel shock into a monthly peso amount for a poverty-line family, by region, which can be used to size and time emergency transfers.</w:t>
      </w:r>
    </w:p>
    <w:p>
      <w:pPr>
        <w:pStyle w:val="Compact"/>
        <w:numPr>
          <w:ilvl w:val="0"/>
          <w:numId w:val="1002"/>
        </w:numPr>
      </w:pPr>
      <w:r>
        <w:rPr>
          <w:i/>
          <w:iCs/>
        </w:rPr>
        <w:t xml:space="preserve">Transport and agriculture agencies (Department of Transportation, LTFRB, Department of Agriculture).</w:t>
      </w:r>
      <w:r>
        <w:t xml:space="preserve"> </w:t>
      </w:r>
      <w:r>
        <w:t xml:space="preserve">The study shows that fares and rice, not motor fuel, are the main channels through which the poor feel oil shocks.</w:t>
      </w:r>
    </w:p>
    <w:p>
      <w:pPr>
        <w:pStyle w:val="Compact"/>
        <w:numPr>
          <w:ilvl w:val="0"/>
          <w:numId w:val="1002"/>
        </w:numPr>
      </w:pPr>
      <w:r>
        <w:rPr>
          <w:i/>
          <w:iCs/>
        </w:rPr>
        <w:t xml:space="preserve">The BSP.</w:t>
      </w:r>
      <w:r>
        <w:t xml:space="preserve"> </w:t>
      </w:r>
      <w:r>
        <w:t xml:space="preserve">The study measures the size and persistence of second-round effects using retail rather than crude oil prices, and shows how they differ between income groups.</w:t>
      </w:r>
    </w:p>
    <w:p>
      <w:pPr>
        <w:pStyle w:val="Compact"/>
        <w:numPr>
          <w:ilvl w:val="0"/>
          <w:numId w:val="1002"/>
        </w:numPr>
      </w:pPr>
      <w:r>
        <w:rPr>
          <w:i/>
          <w:iCs/>
        </w:rPr>
        <w:t xml:space="preserve">The Philippine Statistics Authority.</w:t>
      </w:r>
      <w:r>
        <w:t xml:space="preserve"> </w:t>
      </w:r>
      <w:r>
        <w:t xml:space="preserve">The study demonstrates the value of the bottom-30% CPI and its regional detail for policy analysis.</w:t>
      </w:r>
    </w:p>
    <w:p>
      <w:pPr>
        <w:pStyle w:val="Compact"/>
        <w:numPr>
          <w:ilvl w:val="0"/>
          <w:numId w:val="1002"/>
        </w:numPr>
      </w:pPr>
      <w:r>
        <w:rPr>
          <w:i/>
          <w:iCs/>
        </w:rPr>
        <w:t xml:space="preserve">Researchers.</w:t>
      </w:r>
      <w:r>
        <w:t xml:space="preserve"> </w:t>
      </w:r>
      <w:r>
        <w:t xml:space="preserve">The study provides a within-country test of a cross-country finding, a validated open-source implementation of the local projection model, and a fully reproducible data pipeline.</w:t>
      </w:r>
    </w:p>
    <w:bookmarkEnd w:id="21"/>
    <w:bookmarkStart w:id="22" w:name="scope-and-limitations"/>
    <w:p>
      <w:pPr>
        <w:pStyle w:val="Heading2"/>
      </w:pPr>
      <w:r>
        <w:t xml:space="preserve">1.5 Scope and limitations</w:t>
      </w:r>
    </w:p>
    <w:p>
      <w:pPr>
        <w:pStyle w:val="FirstParagraph"/>
      </w:pPr>
      <w:r>
        <w:t xml:space="preserve">The study covers the Philippines and its 17 regions under the geographic code used in PSA’s backcasts, monthly, from January 2001 to August 2026 (descriptive statistics) and with shock dates from January 2001 (estimation; the bottom-30% CPI begins in January 2000 and twelve lags are needed). It uses published price indices, not household survey microdata.</w:t>
      </w:r>
    </w:p>
    <w:p>
      <w:pPr>
        <w:pStyle w:val="BodyText"/>
      </w:pPr>
      <w:r>
        <w:t xml:space="preserve">The main limitations are the following. (1) The fuel price measure is the CPI sub-index for fuels and lubricants for personal transport, because the retail price database of the reference study is not public; the sub-index tracks pump prices closely but is not a pump price. (2) The comparison is between the bottom 30% and all households, not between the poorest and the richest. (3) Retail fuel prices may respond to domestic conditions; the study uses crude oil prices as a check but not an identified oil supply shock. (4) The bottom-30% series before 2018 are PSA backcasts. (5) The 2026 analysis covers eight months, and the rice-price channel cannot be separated from trade policy. (6) Price indices measure the cost of a fixed basket and ignore substitution and income effects. These are discussed in Chapter 5.</w:t>
      </w:r>
    </w:p>
    <w:bookmarkEnd w:id="22"/>
    <w:bookmarkStart w:id="23" w:name="definition-of-terms"/>
    <w:p>
      <w:pPr>
        <w:pStyle w:val="Heading2"/>
      </w:pPr>
      <w:r>
        <w:t xml:space="preserve">1.6 Definition of terms</w:t>
      </w:r>
    </w:p>
    <w:p>
      <w:pPr>
        <w:pStyle w:val="Compact"/>
        <w:numPr>
          <w:ilvl w:val="0"/>
          <w:numId w:val="1003"/>
        </w:numPr>
      </w:pPr>
      <w:r>
        <w:rPr>
          <w:b/>
          <w:bCs/>
        </w:rPr>
        <w:t xml:space="preserve">Pass-through.</w:t>
      </w:r>
      <w:r>
        <w:t xml:space="preserve"> </w:t>
      </w:r>
      <w:r>
        <w:t xml:space="preserve">The change in a price index, in percentage points, per 1% change in the fuel price.</w:t>
      </w:r>
    </w:p>
    <w:p>
      <w:pPr>
        <w:pStyle w:val="Compact"/>
        <w:numPr>
          <w:ilvl w:val="0"/>
          <w:numId w:val="1003"/>
        </w:numPr>
      </w:pPr>
      <w:r>
        <w:rPr>
          <w:b/>
          <w:bCs/>
        </w:rPr>
        <w:t xml:space="preserve">Bottom-30% CPI.</w:t>
      </w:r>
      <w:r>
        <w:t xml:space="preserve"> </w:t>
      </w:r>
      <w:r>
        <w:t xml:space="preserve">PSA’s consumer price index for households in the lowest 30% of the income distribution.</w:t>
      </w:r>
    </w:p>
    <w:p>
      <w:pPr>
        <w:pStyle w:val="Compact"/>
        <w:numPr>
          <w:ilvl w:val="0"/>
          <w:numId w:val="1003"/>
        </w:numPr>
      </w:pPr>
      <w:r>
        <w:rPr>
          <w:b/>
          <w:bCs/>
        </w:rPr>
        <w:t xml:space="preserve">Gap.</w:t>
      </w:r>
      <w:r>
        <w:t xml:space="preserve"> </w:t>
      </w:r>
      <w:r>
        <w:t xml:space="preserve">D = ln(CPI all income / CPI bottom 30%). A fall in D means the poor’s prices rose more.</w:t>
      </w:r>
    </w:p>
    <w:p>
      <w:pPr>
        <w:pStyle w:val="Compact"/>
        <w:numPr>
          <w:ilvl w:val="0"/>
          <w:numId w:val="1003"/>
        </w:numPr>
      </w:pPr>
      <w:r>
        <w:rPr>
          <w:b/>
          <w:bCs/>
        </w:rPr>
        <w:t xml:space="preserve">Progressive / regressive.</w:t>
      </w:r>
      <w:r>
        <w:t xml:space="preserve"> </w:t>
      </w:r>
      <w:r>
        <w:t xml:space="preserve">A shock is progressive if it raises prices more for the better-off, regressive if it raises them more for the poor.</w:t>
      </w:r>
    </w:p>
    <w:p>
      <w:pPr>
        <w:pStyle w:val="Compact"/>
        <w:numPr>
          <w:ilvl w:val="0"/>
          <w:numId w:val="1003"/>
        </w:numPr>
      </w:pPr>
      <w:r>
        <w:rPr>
          <w:b/>
          <w:bCs/>
        </w:rPr>
        <w:t xml:space="preserve">Cumulative response.</w:t>
      </w:r>
      <w:r>
        <w:t xml:space="preserve"> </w:t>
      </w:r>
      <w:r>
        <w:t xml:space="preserve">The effect of a fuel shock on the price level after</w:t>
      </w:r>
      <w:r>
        <w:t xml:space="preserve"> </w:t>
      </w:r>
      <w:r>
        <w:rPr>
          <w:i/>
          <w:iCs/>
        </w:rPr>
        <w:t xml:space="preserve">h</w:t>
      </w:r>
      <w:r>
        <w:t xml:space="preserve"> </w:t>
      </w:r>
      <w:r>
        <w:t xml:space="preserve">months, the sum of the monthly effects.</w:t>
      </w:r>
    </w:p>
    <w:p>
      <w:pPr>
        <w:pStyle w:val="Compact"/>
        <w:numPr>
          <w:ilvl w:val="0"/>
          <w:numId w:val="1003"/>
        </w:numPr>
      </w:pPr>
      <w:r>
        <w:rPr>
          <w:b/>
          <w:bCs/>
        </w:rPr>
        <w:t xml:space="preserve">Local projection.</w:t>
      </w:r>
      <w:r>
        <w:t xml:space="preserve"> </w:t>
      </w:r>
      <w:r>
        <w:t xml:space="preserve">A method that estimates the effect of a shock at each future horizon with a separate regression (Chapter 3).</w:t>
      </w:r>
    </w:p>
    <w:bookmarkEnd w:id="23"/>
    <w:bookmarkEnd w:id="24"/>
    <w:bookmarkStart w:id="35" w:name="chapter-2.-review-of-related-literature"/>
    <w:p>
      <w:pPr>
        <w:pStyle w:val="Heading1"/>
      </w:pPr>
      <w:r>
        <w:t xml:space="preserve">Chapter 2. Review of Related Literature</w:t>
      </w:r>
    </w:p>
    <w:bookmarkStart w:id="25" w:name="how-oil-prices-reach-consumer-prices"/>
    <w:p>
      <w:pPr>
        <w:pStyle w:val="Heading2"/>
      </w:pPr>
      <w:r>
        <w:t xml:space="preserve">2.1 How oil prices reach consumer prices</w:t>
      </w:r>
    </w:p>
    <w:p>
      <w:pPr>
        <w:pStyle w:val="FirstParagraph"/>
      </w:pPr>
      <w:r>
        <w:t xml:space="preserve">An increase in oil prices raises consumer prices through three channels</w:t>
      </w:r>
      <w:r>
        <w:t xml:space="preserve"> </w:t>
      </w:r>
      <w:r>
        <w:t xml:space="preserve">(</w:t>
      </w:r>
      <w:hyperlink w:anchor="ref-blanchard_gali_2010">
        <w:r>
          <w:rPr>
            <w:rStyle w:val="Hyperlink"/>
          </w:rPr>
          <w:t xml:space="preserve">Blanchard and Galí 2010</w:t>
        </w:r>
      </w:hyperlink>
      <w:r>
        <w:t xml:space="preserve">;</w:t>
      </w:r>
      <w:r>
        <w:t xml:space="preserve"> </w:t>
      </w:r>
      <w:hyperlink w:anchor="ref-choi_etal_2018">
        <w:r>
          <w:rPr>
            <w:rStyle w:val="Hyperlink"/>
          </w:rPr>
          <w:t xml:space="preserve">Choi et al. 2018</w:t>
        </w:r>
      </w:hyperlink>
      <w:r>
        <w:t xml:space="preserve">;</w:t>
      </w:r>
      <w:r>
        <w:t xml:space="preserve"> </w:t>
      </w:r>
      <w:hyperlink w:anchor="ref-kpodar_liu_2022">
        <w:r>
          <w:rPr>
            <w:rStyle w:val="Hyperlink"/>
          </w:rPr>
          <w:t xml:space="preserve">Kpodar and Liu 2022</w:t>
        </w:r>
      </w:hyperlink>
      <w:r>
        <w:t xml:space="preserve">)</w:t>
      </w:r>
      <w:r>
        <w:t xml:space="preserve">. The</w:t>
      </w:r>
      <w:r>
        <w:t xml:space="preserve"> </w:t>
      </w:r>
      <w:r>
        <w:rPr>
          <w:i/>
          <w:iCs/>
        </w:rPr>
        <w:t xml:space="preserve">direct</w:t>
      </w:r>
      <w:r>
        <w:t xml:space="preserve"> </w:t>
      </w:r>
      <w:r>
        <w:t xml:space="preserve">channel works through the fuels households buy: gasoline and diesel for vehicles, LPG and kerosene for cooking, and electricity where it is generated from oil. The</w:t>
      </w:r>
      <w:r>
        <w:t xml:space="preserve"> </w:t>
      </w:r>
      <w:r>
        <w:rPr>
          <w:i/>
          <w:iCs/>
        </w:rPr>
        <w:t xml:space="preserve">indirect</w:t>
      </w:r>
      <w:r>
        <w:t xml:space="preserve"> </w:t>
      </w:r>
      <w:r>
        <w:t xml:space="preserve">channel works through costs: transport fares, food (through fuel for farm machinery, fertilizer and freight) and other goods whose production uses energy. The</w:t>
      </w:r>
      <w:r>
        <w:t xml:space="preserve"> </w:t>
      </w:r>
      <w:r>
        <w:rPr>
          <w:i/>
          <w:iCs/>
        </w:rPr>
        <w:t xml:space="preserve">second-round</w:t>
      </w:r>
      <w:r>
        <w:t xml:space="preserve"> </w:t>
      </w:r>
      <w:r>
        <w:t xml:space="preserve">channel works through wages and expectations, when higher prices lead workers and firms to raise wages and prices further. The size of each channel depends on the energy intensity of the economy, the share of fuel taxes in pump prices, the regulation of fuel prices and fares, exchange rate movements and the credibility of monetary policy</w:t>
      </w:r>
      <w:r>
        <w:t xml:space="preserve"> </w:t>
      </w:r>
      <w:r>
        <w:t xml:space="preserve">(</w:t>
      </w:r>
      <w:hyperlink w:anchor="ref-gelos_ustyugova_2017">
        <w:r>
          <w:rPr>
            <w:rStyle w:val="Hyperlink"/>
          </w:rPr>
          <w:t xml:space="preserve">Gelos and Ustyugova 2017</w:t>
        </w:r>
      </w:hyperlink>
      <w:r>
        <w:t xml:space="preserve">;</w:t>
      </w:r>
      <w:r>
        <w:t xml:space="preserve"> </w:t>
      </w:r>
      <w:hyperlink w:anchor="ref-kpodar_imam_2021">
        <w:r>
          <w:rPr>
            <w:rStyle w:val="Hyperlink"/>
          </w:rPr>
          <w:t xml:space="preserve">Kpodar and Imam 2021</w:t>
        </w:r>
      </w:hyperlink>
      <w:r>
        <w:t xml:space="preserve">)</w:t>
      </w:r>
      <w:r>
        <w:t xml:space="preserve">.</w:t>
      </w:r>
    </w:p>
    <w:bookmarkEnd w:id="25"/>
    <w:bookmarkStart w:id="26" w:name="empirical-evidence-on-pass-through"/>
    <w:p>
      <w:pPr>
        <w:pStyle w:val="Heading2"/>
      </w:pPr>
      <w:r>
        <w:t xml:space="preserve">2.2 Empirical evidence on pass-through</w:t>
      </w:r>
    </w:p>
    <w:p>
      <w:pPr>
        <w:pStyle w:val="FirstParagraph"/>
      </w:pPr>
      <w:r>
        <w:t xml:space="preserve">The early literature used crude oil prices and found that pass-through to inflation in advanced economies fell sharply after the 1980s</w:t>
      </w:r>
      <w:r>
        <w:t xml:space="preserve"> </w:t>
      </w:r>
      <w:r>
        <w:t xml:space="preserve">(</w:t>
      </w:r>
      <w:hyperlink w:anchor="ref-blanchard_gali_2010">
        <w:r>
          <w:rPr>
            <w:rStyle w:val="Hyperlink"/>
          </w:rPr>
          <w:t xml:space="preserve">Blanchard and Galí 2010</w:t>
        </w:r>
      </w:hyperlink>
      <w:r>
        <w:t xml:space="preserve">)</w:t>
      </w:r>
      <w:r>
        <w:t xml:space="preserve">. Cross-country studies find larger and more persistent effects in developing economies</w:t>
      </w:r>
      <w:r>
        <w:t xml:space="preserve"> </w:t>
      </w:r>
      <w:r>
        <w:t xml:space="preserve">(</w:t>
      </w:r>
      <w:hyperlink w:anchor="ref-choi_etal_2018">
        <w:r>
          <w:rPr>
            <w:rStyle w:val="Hyperlink"/>
          </w:rPr>
          <w:t xml:space="preserve">Choi et al. 2018</w:t>
        </w:r>
      </w:hyperlink>
      <w:r>
        <w:t xml:space="preserve">;</w:t>
      </w:r>
      <w:r>
        <w:t xml:space="preserve"> </w:t>
      </w:r>
      <w:hyperlink w:anchor="ref-gelos_ustyugova_2017">
        <w:r>
          <w:rPr>
            <w:rStyle w:val="Hyperlink"/>
          </w:rPr>
          <w:t xml:space="preserve">Gelos and Ustyugova 2017</w:t>
        </w:r>
      </w:hyperlink>
      <w:r>
        <w:t xml:space="preserve">)</w:t>
      </w:r>
      <w:r>
        <w:t xml:space="preserve">. Crude oil prices, however, are a poor measure of what consumers pay: retail prices include taxes, margins and, in many developing countries, regulated adjustments.</w:t>
      </w:r>
      <w:r>
        <w:t xml:space="preserve"> </w:t>
      </w:r>
      <w:r>
        <w:t xml:space="preserve">Kpodar and Abdallah (</w:t>
      </w:r>
      <w:hyperlink w:anchor="ref-kpodar_abdallah_2017">
        <w:r>
          <w:rPr>
            <w:rStyle w:val="Hyperlink"/>
          </w:rPr>
          <w:t xml:space="preserve">2017</w:t>
        </w:r>
      </w:hyperlink>
      <w:r>
        <w:t xml:space="preserve">)</w:t>
      </w:r>
      <w:r>
        <w:t xml:space="preserve"> </w:t>
      </w:r>
      <w:r>
        <w:t xml:space="preserve">built a monthly database of retail fuel prices for 162 countries and showed that pass-through estimated with retail prices is larger and more persistent.</w:t>
      </w:r>
      <w:r>
        <w:t xml:space="preserve"> </w:t>
      </w:r>
      <w:r>
        <w:t xml:space="preserve">Kpodar and Liu (</w:t>
      </w:r>
      <w:hyperlink w:anchor="ref-kpodar_liu_2022">
        <w:r>
          <w:rPr>
            <w:rStyle w:val="Hyperlink"/>
          </w:rPr>
          <w:t xml:space="preserve">2022</w:t>
        </w:r>
      </w:hyperlink>
      <w:r>
        <w:t xml:space="preserve">)</w:t>
      </w:r>
      <w:r>
        <w:t xml:space="preserve"> </w:t>
      </w:r>
      <w:r>
        <w:t xml:space="preserve">extend it to 190 countries and to CPI components, finding that a 1 pp increase in gasoline prices raises inflation by about 0.04 pp at peak in advanced economies and 0.02 pp in developing economies, with more persistence in the latter, and that using crude oil prices understates pass-through mainly because fuel taxes are ignored.</w:t>
      </w:r>
    </w:p>
    <w:p>
      <w:pPr>
        <w:pStyle w:val="BodyText"/>
      </w:pPr>
      <w:r>
        <w:t xml:space="preserve">Methodologically, these studies use local projections</w:t>
      </w:r>
      <w:r>
        <w:t xml:space="preserve"> </w:t>
      </w:r>
      <w:r>
        <w:t xml:space="preserve">(</w:t>
      </w:r>
      <w:hyperlink w:anchor="ref-jorda_2005">
        <w:r>
          <w:rPr>
            <w:rStyle w:val="Hyperlink"/>
          </w:rPr>
          <w:t xml:space="preserve">Jordà 2005</w:t>
        </w:r>
      </w:hyperlink>
      <w:r>
        <w:t xml:space="preserve">)</w:t>
      </w:r>
      <w:r>
        <w:t xml:space="preserve">, which estimate impulse responses horizon by horizon without imposing the dynamic structure of a vector autoregression, often with the correction of</w:t>
      </w:r>
      <w:r>
        <w:t xml:space="preserve"> </w:t>
      </w:r>
      <w:r>
        <w:t xml:space="preserve">Teulings and Zubanov (</w:t>
      </w:r>
      <w:hyperlink w:anchor="ref-teulings_zubanov_2014">
        <w:r>
          <w:rPr>
            <w:rStyle w:val="Hyperlink"/>
          </w:rPr>
          <w:t xml:space="preserve">2014</w:t>
        </w:r>
      </w:hyperlink>
      <w:r>
        <w:t xml:space="preserve">)</w:t>
      </w:r>
      <w:r>
        <w:t xml:space="preserve">. Local projections and VARs estimate the same population impulse responses</w:t>
      </w:r>
      <w:r>
        <w:t xml:space="preserve"> </w:t>
      </w:r>
      <w:r>
        <w:t xml:space="preserve">(</w:t>
      </w:r>
      <w:hyperlink w:anchor="ref-plagborg_wolf_2021">
        <w:r>
          <w:rPr>
            <w:rStyle w:val="Hyperlink"/>
          </w:rPr>
          <w:t xml:space="preserve">Plagborg-Møller and Wolf 2021</w:t>
        </w:r>
      </w:hyperlink>
      <w:r>
        <w:t xml:space="preserve">)</w:t>
      </w:r>
      <w:r>
        <w:t xml:space="preserve">, and local projection inference is robust when lags of the variables are included</w:t>
      </w:r>
      <w:r>
        <w:t xml:space="preserve"> </w:t>
      </w:r>
      <w:r>
        <w:t xml:space="preserve">(</w:t>
      </w:r>
      <w:hyperlink w:anchor="ref-montiel_olea_plagborg_2021">
        <w:r>
          <w:rPr>
            <w:rStyle w:val="Hyperlink"/>
          </w:rPr>
          <w:t xml:space="preserve">Montiel Olea and Plagborg-Møller 2021</w:t>
        </w:r>
      </w:hyperlink>
      <w:r>
        <w:t xml:space="preserve">)</w:t>
      </w:r>
      <w:r>
        <w:t xml:space="preserve">.</w:t>
      </w:r>
    </w:p>
    <w:bookmarkEnd w:id="26"/>
    <w:bookmarkStart w:id="27" w:name="who-bears-the-cost-of-fuel-price-changes"/>
    <w:p>
      <w:pPr>
        <w:pStyle w:val="Heading2"/>
      </w:pPr>
      <w:r>
        <w:t xml:space="preserve">2.3 Who bears the cost of fuel price changes</w:t>
      </w:r>
    </w:p>
    <w:p>
      <w:pPr>
        <w:pStyle w:val="FirstParagraph"/>
      </w:pPr>
      <w:r>
        <w:t xml:space="preserve">A large literature simulates the distributional effect of fuel price changes and subsidy reforms with input–output or general equilibrium models. It generally finds that fuel subsidies are captured by richer households and that fuel price increases are neutral or progressive, although the absolute burden on the poor can be large</w:t>
      </w:r>
      <w:r>
        <w:t xml:space="preserve"> </w:t>
      </w:r>
      <w:r>
        <w:t xml:space="preserve">(</w:t>
      </w:r>
      <w:hyperlink w:anchor="ref-coady_etal_2015">
        <w:r>
          <w:rPr>
            <w:rStyle w:val="Hyperlink"/>
          </w:rPr>
          <w:t xml:space="preserve">Coady et al. 2015</w:t>
        </w:r>
      </w:hyperlink>
      <w:r>
        <w:t xml:space="preserve">;</w:t>
      </w:r>
      <w:r>
        <w:t xml:space="preserve"> </w:t>
      </w:r>
      <w:hyperlink w:anchor="ref-siddig_etal_2014">
        <w:r>
          <w:rPr>
            <w:rStyle w:val="Hyperlink"/>
          </w:rPr>
          <w:t xml:space="preserve">Siddig et al. 2014</w:t>
        </w:r>
      </w:hyperlink>
      <w:r>
        <w:t xml:space="preserve">;</w:t>
      </w:r>
      <w:r>
        <w:t xml:space="preserve"> </w:t>
      </w:r>
      <w:hyperlink w:anchor="ref-soile_mu_2015">
        <w:r>
          <w:rPr>
            <w:rStyle w:val="Hyperlink"/>
          </w:rPr>
          <w:t xml:space="preserve">Soile and Mu 2015</w:t>
        </w:r>
      </w:hyperlink>
      <w:r>
        <w:t xml:space="preserve">)</w:t>
      </w:r>
      <w:r>
        <w:t xml:space="preserve">. Carbon pricing tends to be progressive in poorer countries</w:t>
      </w:r>
      <w:r>
        <w:t xml:space="preserve"> </w:t>
      </w:r>
      <w:r>
        <w:t xml:space="preserve">(</w:t>
      </w:r>
      <w:hyperlink w:anchor="ref-dorband_etal_2019">
        <w:r>
          <w:rPr>
            <w:rStyle w:val="Hyperlink"/>
          </w:rPr>
          <w:t xml:space="preserve">Dorband et al. 2019</w:t>
        </w:r>
      </w:hyperlink>
      <w:r>
        <w:t xml:space="preserve">)</w:t>
      </w:r>
      <w:r>
        <w:t xml:space="preserve">. A related literature documents that inflation differs across households, usually against the poor</w:t>
      </w:r>
      <w:r>
        <w:t xml:space="preserve"> </w:t>
      </w:r>
      <w:r>
        <w:t xml:space="preserve">(</w:t>
      </w:r>
      <w:hyperlink w:anchor="ref-easterly_fischer_2001">
        <w:r>
          <w:rPr>
            <w:rStyle w:val="Hyperlink"/>
          </w:rPr>
          <w:t xml:space="preserve">Easterly and Fischer 2001</w:t>
        </w:r>
      </w:hyperlink>
      <w:r>
        <w:t xml:space="preserve">;</w:t>
      </w:r>
      <w:r>
        <w:t xml:space="preserve"> </w:t>
      </w:r>
      <w:hyperlink w:anchor="ref-kaplan_schulhofer_2017">
        <w:r>
          <w:rPr>
            <w:rStyle w:val="Hyperlink"/>
          </w:rPr>
          <w:t xml:space="preserve">Kaplan and Schulhofer-Wohl 2017</w:t>
        </w:r>
      </w:hyperlink>
      <w:r>
        <w:t xml:space="preserve">;</w:t>
      </w:r>
      <w:r>
        <w:t xml:space="preserve"> </w:t>
      </w:r>
      <w:hyperlink w:anchor="ref-jaravel_2021">
        <w:r>
          <w:rPr>
            <w:rStyle w:val="Hyperlink"/>
          </w:rPr>
          <w:t xml:space="preserve">Jaravel 2021</w:t>
        </w:r>
      </w:hyperlink>
      <w:r>
        <w:t xml:space="preserve">)</w:t>
      </w:r>
      <w:r>
        <w:t xml:space="preserve">.</w:t>
      </w:r>
      <w:r>
        <w:t xml:space="preserve"> </w:t>
      </w:r>
      <w:r>
        <w:t xml:space="preserve">Kpodar and Liu (</w:t>
      </w:r>
      <w:hyperlink w:anchor="ref-kpodar_liu_2022">
        <w:r>
          <w:rPr>
            <w:rStyle w:val="Hyperlink"/>
          </w:rPr>
          <w:t xml:space="preserve">2022</w:t>
        </w:r>
      </w:hyperlink>
      <w:r>
        <w:t xml:space="preserve">)</w:t>
      </w:r>
      <w:r>
        <w:t xml:space="preserve"> </w:t>
      </w:r>
      <w:r>
        <w:t xml:space="preserve">is the first to estimate the distributional effect of fuel prices econometrically, using quintile CPIs reconstructed from survey expenditure shares; they find the effect progressive, more persistently so in developing economies.</w:t>
      </w:r>
    </w:p>
    <w:bookmarkEnd w:id="27"/>
    <w:bookmarkStart w:id="28" w:name="philippine-studies"/>
    <w:p>
      <w:pPr>
        <w:pStyle w:val="Heading2"/>
      </w:pPr>
      <w:r>
        <w:t xml:space="preserve">2.4 Philippine studies</w:t>
      </w:r>
    </w:p>
    <w:p>
      <w:pPr>
        <w:pStyle w:val="FirstParagraph"/>
      </w:pPr>
      <w:r>
        <w:t xml:space="preserve">Allon-Pineda et al. (</w:t>
      </w:r>
      <w:hyperlink w:anchor="ref-allon_pineda_etal_2026">
        <w:r>
          <w:rPr>
            <w:rStyle w:val="Hyperlink"/>
          </w:rPr>
          <w:t xml:space="preserve">2026</w:t>
        </w:r>
      </w:hyperlink>
      <w:r>
        <w:t xml:space="preserve">)</w:t>
      </w:r>
      <w:r>
        <w:t xml:space="preserve"> </w:t>
      </w:r>
      <w:r>
        <w:t xml:space="preserve">estimate the second-round and asymmetric effects of oil and food price shocks on Philippine inflation with local projections.</w:t>
      </w:r>
      <w:r>
        <w:t xml:space="preserve"> </w:t>
      </w:r>
      <w:r>
        <w:t xml:space="preserve">Valera et al. (</w:t>
      </w:r>
      <w:hyperlink w:anchor="ref-valera_etal_2025">
        <w:r>
          <w:rPr>
            <w:rStyle w:val="Hyperlink"/>
          </w:rPr>
          <w:t xml:space="preserve">2025</w:t>
        </w:r>
      </w:hyperlink>
      <w:r>
        <w:t xml:space="preserve">)</w:t>
      </w:r>
      <w:r>
        <w:t xml:space="preserve"> </w:t>
      </w:r>
      <w:r>
        <w:t xml:space="preserve">document the changing effects of energy and rice prices, and of remittances, on overall inflation. Neither distinguishes income groups or regions. In the</w:t>
      </w:r>
      <w:r>
        <w:t xml:space="preserve"> </w:t>
      </w:r>
      <w:r>
        <w:rPr>
          <w:i/>
          <w:iCs/>
        </w:rPr>
        <w:t xml:space="preserve">Asian Economic Journal</w:t>
      </w:r>
      <w:r>
        <w:t xml:space="preserve">,</w:t>
      </w:r>
      <w:r>
        <w:t xml:space="preserve"> </w:t>
      </w:r>
      <w:r>
        <w:t xml:space="preserve">Armas (</w:t>
      </w:r>
      <w:hyperlink w:anchor="ref-armas_2021">
        <w:r>
          <w:rPr>
            <w:rStyle w:val="Hyperlink"/>
          </w:rPr>
          <w:t xml:space="preserve">2021</w:t>
        </w:r>
      </w:hyperlink>
      <w:r>
        <w:t xml:space="preserve">)</w:t>
      </w:r>
      <w:r>
        <w:t xml:space="preserve"> </w:t>
      </w:r>
      <w:r>
        <w:t xml:space="preserve">studies the bank lending channel of monetary policy in the Philippines,</w:t>
      </w:r>
      <w:r>
        <w:t xml:space="preserve"> </w:t>
      </w:r>
      <w:r>
        <w:t xml:space="preserve">Kurita and Kurosaki (</w:t>
      </w:r>
      <w:hyperlink w:anchor="ref-kurita_kurosaki_2011">
        <w:r>
          <w:rPr>
            <w:rStyle w:val="Hyperlink"/>
          </w:rPr>
          <w:t xml:space="preserve">2011</w:t>
        </w:r>
      </w:hyperlink>
      <w:r>
        <w:t xml:space="preserve">)</w:t>
      </w:r>
      <w:r>
        <w:t xml:space="preserve"> </w:t>
      </w:r>
      <w:r>
        <w:t xml:space="preserve">analyse regional growth, poverty and inequality in Thailand and the Philippines, and</w:t>
      </w:r>
      <w:r>
        <w:t xml:space="preserve"> </w:t>
      </w:r>
      <w:r>
        <w:t xml:space="preserve">Pagaduan (</w:t>
      </w:r>
      <w:hyperlink w:anchor="ref-pagaduan_2022">
        <w:r>
          <w:rPr>
            <w:rStyle w:val="Hyperlink"/>
          </w:rPr>
          <w:t xml:space="preserve">2022</w:t>
        </w:r>
      </w:hyperlink>
      <w:r>
        <w:t xml:space="preserve">)</w:t>
      </w:r>
      <w:r>
        <w:t xml:space="preserve"> </w:t>
      </w:r>
      <w:r>
        <w:t xml:space="preserve">studies subnational output measurement.</w:t>
      </w:r>
    </w:p>
    <w:bookmarkEnd w:id="28"/>
    <w:bookmarkStart w:id="29" w:name="X675899c7ffbec3b23dfca21cbb04c2d29f2f5b4"/>
    <w:p>
      <w:pPr>
        <w:pStyle w:val="Heading2"/>
      </w:pPr>
      <w:r>
        <w:t xml:space="preserve">2.5 Asian evidence on shocks, poverty and regions</w:t>
      </w:r>
    </w:p>
    <w:p>
      <w:pPr>
        <w:pStyle w:val="FirstParagraph"/>
      </w:pPr>
      <w:r>
        <w:t xml:space="preserve">The</w:t>
      </w:r>
      <w:r>
        <w:t xml:space="preserve"> </w:t>
      </w:r>
      <w:r>
        <w:rPr>
          <w:i/>
          <w:iCs/>
        </w:rPr>
        <w:t xml:space="preserve">Asian Economic Journal</w:t>
      </w:r>
      <w:r>
        <w:t xml:space="preserve"> </w:t>
      </w:r>
      <w:r>
        <w:t xml:space="preserve">has a long line of work on who bears the cost of shocks and policies: the targeting of rice subsidies in Indonesia</w:t>
      </w:r>
      <w:r>
        <w:t xml:space="preserve"> </w:t>
      </w:r>
      <w:r>
        <w:t xml:space="preserve">(</w:t>
      </w:r>
      <w:hyperlink w:anchor="ref-satriawan_shrestha_2018">
        <w:r>
          <w:rPr>
            <w:rStyle w:val="Hyperlink"/>
          </w:rPr>
          <w:t xml:space="preserve">Satriawan and Shrestha 2018</w:t>
        </w:r>
      </w:hyperlink>
      <w:r>
        <w:t xml:space="preserve">)</w:t>
      </w:r>
      <w:r>
        <w:t xml:space="preserve">, food price instability in Asia</w:t>
      </w:r>
      <w:r>
        <w:t xml:space="preserve"> </w:t>
      </w:r>
      <w:r>
        <w:t xml:space="preserve">(</w:t>
      </w:r>
      <w:hyperlink w:anchor="ref-timmer_dawe_2007">
        <w:r>
          <w:rPr>
            <w:rStyle w:val="Hyperlink"/>
          </w:rPr>
          <w:t xml:space="preserve">Timmer and Dawe 2007</w:t>
        </w:r>
      </w:hyperlink>
      <w:r>
        <w:t xml:space="preserve">)</w:t>
      </w:r>
      <w:r>
        <w:t xml:space="preserve">, and the evolution of poverty and inequality</w:t>
      </w:r>
      <w:r>
        <w:t xml:space="preserve"> </w:t>
      </w:r>
      <w:r>
        <w:t xml:space="preserve">(</w:t>
      </w:r>
      <w:hyperlink w:anchor="ref-warr_etal_2018">
        <w:r>
          <w:rPr>
            <w:rStyle w:val="Hyperlink"/>
          </w:rPr>
          <w:t xml:space="preserve">Warr et al. 2018</w:t>
        </w:r>
      </w:hyperlink>
      <w:r>
        <w:t xml:space="preserve">;</w:t>
      </w:r>
      <w:r>
        <w:t xml:space="preserve"> </w:t>
      </w:r>
      <w:hyperlink w:anchor="ref-wihardja_pradana_2024">
        <w:r>
          <w:rPr>
            <w:rStyle w:val="Hyperlink"/>
          </w:rPr>
          <w:t xml:space="preserve">Wihardja and Pradana 2024</w:t>
        </w:r>
      </w:hyperlink>
      <w:r>
        <w:t xml:space="preserve">)</w:t>
      </w:r>
      <w:r>
        <w:t xml:space="preserve">. Subnational studies show that regions differ in their exposure to and recovery from shocks</w:t>
      </w:r>
      <w:r>
        <w:t xml:space="preserve"> </w:t>
      </w:r>
      <w:r>
        <w:t xml:space="preserve">(</w:t>
      </w:r>
      <w:hyperlink w:anchor="ref-kataoka_2022">
        <w:r>
          <w:rPr>
            <w:rStyle w:val="Hyperlink"/>
          </w:rPr>
          <w:t xml:space="preserve">Kataoka 2022</w:t>
        </w:r>
      </w:hyperlink>
      <w:r>
        <w:t xml:space="preserve">)</w:t>
      </w:r>
      <w:r>
        <w:t xml:space="preserve">. Work on price transmission in the region has focused on the exchange rate and inflation targeting</w:t>
      </w:r>
      <w:r>
        <w:t xml:space="preserve"> </w:t>
      </w:r>
      <w:r>
        <w:t xml:space="preserve">(</w:t>
      </w:r>
      <w:hyperlink w:anchor="ref-taguchi_sohn_2014">
        <w:r>
          <w:rPr>
            <w:rStyle w:val="Hyperlink"/>
          </w:rPr>
          <w:t xml:space="preserve">Taguchi and Sohn 2014</w:t>
        </w:r>
      </w:hyperlink>
      <w:r>
        <w:t xml:space="preserve">)</w:t>
      </w:r>
      <w:r>
        <w:t xml:space="preserve">.</w:t>
      </w:r>
    </w:p>
    <w:bookmarkEnd w:id="29"/>
    <w:bookmarkStart w:id="30" w:name="synthesis-and-research-gap"/>
    <w:p>
      <w:pPr>
        <w:pStyle w:val="Heading2"/>
      </w:pPr>
      <w:r>
        <w:t xml:space="preserve">2.6 Synthesis and research gap</w:t>
      </w:r>
    </w:p>
    <w:p>
      <w:pPr>
        <w:pStyle w:val="FirstParagraph"/>
      </w:pPr>
      <w:r>
        <w:t xml:space="preserve">The literature establishes that fuel prices pass through to inflation, that retail prices capture this better than crude prices, and, from cross-country data, that the effect is progressive. It leaves three gaps that this study addresses: no within-country test using official income-group price indices; no evidence on regional differences in the distributional effect; and no evidence for the 2026 shock.</w:t>
      </w:r>
    </w:p>
    <w:bookmarkEnd w:id="30"/>
    <w:bookmarkStart w:id="34" w:name="conceptual-framework"/>
    <w:p>
      <w:pPr>
        <w:pStyle w:val="Heading2"/>
      </w:pPr>
      <w:r>
        <w:t xml:space="preserve">2.7 Conceptual framework</w:t>
      </w:r>
    </w:p>
    <w:p>
      <w:pPr>
        <w:pStyle w:val="FirstParagraph"/>
      </w:pPr>
      <w:r>
        <w:t xml:space="preserve">Figure 1 summarises the framework. A rise in world oil prices, converted at the exchange rate, raises retail fuel prices, whose level also depends on taxes and margins. The shock reaches consumer prices through the direct, indirect and second-round channels. How much it raises the all-income and bottom-30% indices depends on the two groups’ basket weights and on the price changes they face within each category, which in turn may depend on the region. The gap between the two indices is the distributional effect. Policy can intervene at several points: excise relief and subsidies at the retail fuel price, fare regulation in the indirect channel, monetary policy in the second round, and transfers, which offset the burden without changing prices.</w:t>
      </w:r>
    </w:p>
    <w:p>
      <w:pPr>
        <w:pStyle w:val="CaptionedFigure"/>
      </w:pPr>
      <w:r>
        <w:drawing>
          <wp:inline>
            <wp:extent cx="5052060" cy="4468093"/>
            <wp:effectExtent b="0" l="0" r="0" t="0"/>
            <wp:docPr descr="Figure 1. Conceptual framework of the study." title="" id="32" name="Picture"/>
            <a:graphic>
              <a:graphicData uri="http://schemas.openxmlformats.org/drawingml/2006/picture">
                <pic:pic>
                  <pic:nvPicPr>
                    <pic:cNvPr descr="../output/figures/figw0_framework.png" id="33" name="Picture"/>
                    <pic:cNvPicPr>
                      <a:picLocks noChangeArrowheads="1" noChangeAspect="1"/>
                    </pic:cNvPicPr>
                  </pic:nvPicPr>
                  <pic:blipFill>
                    <a:blip r:embed="rId31"/>
                    <a:stretch>
                      <a:fillRect/>
                    </a:stretch>
                  </pic:blipFill>
                  <pic:spPr bwMode="auto">
                    <a:xfrm>
                      <a:off x="0" y="0"/>
                      <a:ext cx="5052060" cy="4468093"/>
                    </a:xfrm>
                    <a:prstGeom prst="rect">
                      <a:avLst/>
                    </a:prstGeom>
                    <a:noFill/>
                    <a:ln w="9525">
                      <a:noFill/>
                      <a:headEnd/>
                      <a:tailEnd/>
                    </a:ln>
                  </pic:spPr>
                </pic:pic>
              </a:graphicData>
            </a:graphic>
          </wp:inline>
        </w:drawing>
      </w:r>
    </w:p>
    <w:p>
      <w:pPr>
        <w:pStyle w:val="ImageCaption"/>
      </w:pPr>
      <w:r>
        <w:t xml:space="preserve">Figure 1. Conceptual framework of the study.</w:t>
      </w:r>
    </w:p>
    <w:bookmarkEnd w:id="34"/>
    <w:bookmarkEnd w:id="35"/>
    <w:bookmarkStart w:id="45" w:name="X87fcbdfac58c1f956e80fe4ec4d34267d0f49c7"/>
    <w:p>
      <w:pPr>
        <w:pStyle w:val="Heading1"/>
      </w:pPr>
      <w:r>
        <w:t xml:space="preserve">Chapter 3. Digression: The Local Projection Model and How to Implement It</w:t>
      </w:r>
    </w:p>
    <w:p>
      <w:pPr>
        <w:pStyle w:val="FirstParagraph"/>
      </w:pPr>
      <w:r>
        <w:t xml:space="preserve">This chapter explains the model used for Objectives 2 and 3 and shows, step by step, how to estimate it. It is written so that a reader with a background in regression can reproduce every estimate in the paper.</w:t>
      </w:r>
    </w:p>
    <w:bookmarkStart w:id="36" w:name="the-question-an-impulse-response-answers"/>
    <w:p>
      <w:pPr>
        <w:pStyle w:val="Heading2"/>
      </w:pPr>
      <w:r>
        <w:t xml:space="preserve">3.1 The question an impulse response answers</w:t>
      </w:r>
    </w:p>
    <w:p>
      <w:pPr>
        <w:pStyle w:val="FirstParagraph"/>
      </w:pPr>
      <w:r>
        <w:t xml:space="preserve">Suppose the fuel price rises by 1% this month. By how much will the consumer price index be higher next month, in three months, in a year, compared with what would have happened otherwise? The sequence of answers, one per horizon, is the</w:t>
      </w:r>
      <w:r>
        <w:t xml:space="preserve"> </w:t>
      </w:r>
      <w:r>
        <w:rPr>
          <w:i/>
          <w:iCs/>
        </w:rPr>
        <w:t xml:space="preserve">impulse response function</w:t>
      </w:r>
      <w:r>
        <w:t xml:space="preserve">. It cannot be read from a single regression of inflation on fuel prices, because the effect unfolds over time and because fuel prices and inflation also respond to their own past.</w:t>
      </w:r>
    </w:p>
    <w:p>
      <w:pPr>
        <w:pStyle w:val="BodyText"/>
      </w:pPr>
      <w:r>
        <w:t xml:space="preserve">The traditional tool is the vector autoregression (VAR): estimate a system of equations for fuel prices and inflation with their lags, then simulate the system forward after a shock. The impulse response then depends on the whole dynamic structure being right; a misspecified lag structure distorts every horizon.</w:t>
      </w:r>
    </w:p>
    <w:bookmarkEnd w:id="36"/>
    <w:bookmarkStart w:id="37" w:name="the-local-projection-idea"/>
    <w:p>
      <w:pPr>
        <w:pStyle w:val="Heading2"/>
      </w:pPr>
      <w:r>
        <w:t xml:space="preserve">3.2 The local projection idea</w:t>
      </w:r>
    </w:p>
    <w:p>
      <w:pPr>
        <w:pStyle w:val="FirstParagraph"/>
      </w:pPr>
      <w:r>
        <w:t xml:space="preserve">Jordà (</w:t>
      </w:r>
      <w:hyperlink w:anchor="ref-jorda_2005">
        <w:r>
          <w:rPr>
            <w:rStyle w:val="Hyperlink"/>
          </w:rPr>
          <w:t xml:space="preserve">2005</w:t>
        </w:r>
      </w:hyperlink>
      <w:r>
        <w:t xml:space="preserve">)</w:t>
      </w:r>
      <w:r>
        <w:t xml:space="preserve"> </w:t>
      </w:r>
      <w:r>
        <w:t xml:space="preserve">proposed estimating the response at each horizon</w:t>
      </w:r>
      <w:r>
        <w:t xml:space="preserve"> </w:t>
      </w:r>
      <w:r>
        <w:rPr>
          <w:i/>
          <w:iCs/>
        </w:rPr>
        <w:t xml:space="preserve">h</w:t>
      </w:r>
      <w:r>
        <w:t xml:space="preserve"> </w:t>
      </w:r>
      <w:r>
        <w:t xml:space="preserve">directly, with its own regression: regress inflation</w:t>
      </w:r>
      <w:r>
        <w:t xml:space="preserve"> </w:t>
      </w:r>
      <w:r>
        <w:rPr>
          <w:i/>
          <w:iCs/>
        </w:rPr>
        <w:t xml:space="preserve">h</w:t>
      </w:r>
      <w:r>
        <w:t xml:space="preserve"> </w:t>
      </w:r>
      <w:r>
        <w:t xml:space="preserve">months ahead on today’s fuel price change and on enough lags to absorb the predictable dynamics. The coefficient on today’s fuel price change</w:t>
      </w:r>
      <w:r>
        <w:t xml:space="preserve"> </w:t>
      </w:r>
      <w:r>
        <w:rPr>
          <w:i/>
          <w:iCs/>
        </w:rPr>
        <w:t xml:space="preserve">is</w:t>
      </w:r>
      <w:r>
        <w:t xml:space="preserve"> </w:t>
      </w:r>
      <w:r>
        <w:t xml:space="preserve">the response at horizon</w:t>
      </w:r>
      <w:r>
        <w:t xml:space="preserve"> </w:t>
      </w:r>
      <w:r>
        <w:rPr>
          <w:i/>
          <w:iCs/>
        </w:rPr>
        <w:t xml:space="preserve">h</w:t>
      </w:r>
      <w:r>
        <w:t xml:space="preserve">. Repeating this for</w:t>
      </w:r>
      <w:r>
        <w:t xml:space="preserve"> </w:t>
      </w:r>
      <w:r>
        <w:rPr>
          <w:i/>
          <w:iCs/>
        </w:rPr>
        <w:t xml:space="preserve">h</w:t>
      </w:r>
      <w:r>
        <w:t xml:space="preserve"> </w:t>
      </w:r>
      <w:r>
        <w:t xml:space="preserve">= 0, 1, …, 12 traces out the impulse response. Each regression is ordinary least squares, the specification is the same at every horizon, and no forward simulation is needed. The cost is some loss of precision at long horizons, and serially correlated errors (because the outcomes of neighbouring months overlap), which the standard errors must allow for.</w:t>
      </w:r>
    </w:p>
    <w:bookmarkEnd w:id="37"/>
    <w:bookmarkStart w:id="38" w:name="the-specification-term-by-term"/>
    <w:p>
      <w:pPr>
        <w:pStyle w:val="Heading2"/>
      </w:pPr>
      <w:r>
        <w:t xml:space="preserve">3.3 The specification term by term</w:t>
      </w:r>
    </w:p>
    <w:p>
      <w:pPr>
        <w:pStyle w:val="FirstParagraph"/>
      </w:pPr>
      <w:r>
        <w:t xml:space="preserve">The model of</w:t>
      </w:r>
      <w:r>
        <w:t xml:space="preserve"> </w:t>
      </w:r>
      <w:r>
        <w:t xml:space="preserve">Kpodar and Liu (</w:t>
      </w:r>
      <w:hyperlink w:anchor="ref-kpodar_liu_2022">
        <w:r>
          <w:rPr>
            <w:rStyle w:val="Hyperlink"/>
          </w:rPr>
          <w:t xml:space="preserve">2022</w:t>
        </w:r>
      </w:hyperlink>
      <w:r>
        <w:t xml:space="preserve">)</w:t>
      </w:r>
      <w:r>
        <w:t xml:space="preserve">, which we use, is</w:t>
      </w:r>
    </w:p>
    <w:p>
      <w:pPr>
        <w:pStyle w:val="BodyText"/>
      </w:pPr>
      <m:oMathPara>
        <m:oMathParaPr>
          <m:jc m:val="center"/>
        </m:oMathParaPr>
        <m:oMath>
          <m:r>
            <m:rPr>
              <m:sty m:val="p"/>
            </m:rPr>
            <m:t>Δ</m:t>
          </m:r>
          <m:r>
            <m:rPr>
              <m:sty m:val="p"/>
            </m:rPr>
            <m:t>ln</m:t>
          </m:r>
          <m:sSub>
            <m:e>
              <m:r>
                <m:t>y</m:t>
              </m:r>
            </m:e>
            <m:sub>
              <m:r>
                <m:t>t</m:t>
              </m:r>
              <m:r>
                <m:rPr>
                  <m:sty m:val="p"/>
                </m:rPr>
                <m:t>+</m:t>
              </m:r>
              <m:r>
                <m:t>h</m:t>
              </m:r>
            </m:sub>
          </m:sSub>
          <m:r>
            <m:rPr>
              <m:sty m:val="p"/>
            </m:rPr>
            <m:t>=</m:t>
          </m:r>
          <m:sSub>
            <m:e>
              <m:r>
                <m:t>α</m:t>
              </m:r>
            </m:e>
            <m:sub>
              <m:r>
                <m:t>h</m:t>
              </m:r>
            </m:sub>
          </m:sSub>
          <m:r>
            <m:rPr>
              <m:sty m:val="p"/>
            </m:rPr>
            <m:t>+</m:t>
          </m:r>
          <m:nary>
            <m:naryPr>
              <m:chr m:val="∑"/>
              <m:limLoc m:val="undOvr"/>
              <m:subHide m:val="off"/>
              <m:supHide m:val="off"/>
            </m:naryPr>
            <m:sub>
              <m:r>
                <m:t>q</m:t>
              </m:r>
              <m:r>
                <m:rPr>
                  <m:sty m:val="p"/>
                </m:rPr>
                <m:t>=</m:t>
              </m:r>
              <m:r>
                <m:t>1</m:t>
              </m:r>
            </m:sub>
            <m:sup>
              <m:r>
                <m:t>12</m:t>
              </m:r>
            </m:sup>
            <m:e>
              <m:sSub>
                <m:e>
                  <m:r>
                    <m:t>γ</m:t>
                  </m:r>
                </m:e>
                <m:sub>
                  <m:r>
                    <m:t>1</m:t>
                  </m:r>
                  <m:r>
                    <m:t>q</m:t>
                  </m:r>
                </m:sub>
              </m:sSub>
            </m:e>
          </m:nary>
          <m:r>
            <m:t> </m:t>
          </m:r>
          <m:r>
            <m:rPr>
              <m:sty m:val="p"/>
            </m:rPr>
            <m:t>Δ</m:t>
          </m:r>
          <m:r>
            <m:rPr>
              <m:sty m:val="p"/>
            </m:rPr>
            <m:t>ln</m:t>
          </m:r>
          <m:sSub>
            <m:e>
              <m:r>
                <m:t>y</m:t>
              </m:r>
            </m:e>
            <m:sub>
              <m:r>
                <m:t>t</m:t>
              </m:r>
              <m:r>
                <m:rPr>
                  <m:sty m:val="p"/>
                </m:rPr>
                <m:t>−</m:t>
              </m:r>
              <m:r>
                <m:t>q</m:t>
              </m:r>
            </m:sub>
          </m:sSub>
          <m:r>
            <m:rPr>
              <m:sty m:val="p"/>
            </m:rPr>
            <m:t>+</m:t>
          </m:r>
          <m:nary>
            <m:naryPr>
              <m:chr m:val="∑"/>
              <m:limLoc m:val="undOvr"/>
              <m:subHide m:val="off"/>
              <m:supHide m:val="off"/>
            </m:naryPr>
            <m:sub>
              <m:r>
                <m:t>q</m:t>
              </m:r>
              <m:r>
                <m:rPr>
                  <m:sty m:val="p"/>
                </m:rPr>
                <m:t>=</m:t>
              </m:r>
              <m:r>
                <m:t>1</m:t>
              </m:r>
            </m:sub>
            <m:sup>
              <m:r>
                <m:t>12</m:t>
              </m:r>
            </m:sup>
            <m:e>
              <m:sSub>
                <m:e>
                  <m:r>
                    <m:t>γ</m:t>
                  </m:r>
                </m:e>
                <m:sub>
                  <m:r>
                    <m:t>2</m:t>
                  </m:r>
                  <m:r>
                    <m:t>q</m:t>
                  </m:r>
                </m:sub>
              </m:sSub>
            </m:e>
          </m:nary>
          <m:r>
            <m:t> </m:t>
          </m:r>
          <m:r>
            <m:rPr>
              <m:sty m:val="p"/>
            </m:rPr>
            <m:t>Δ</m:t>
          </m:r>
          <m:r>
            <m:rPr>
              <m:sty m:val="p"/>
            </m:rPr>
            <m:t>ln</m:t>
          </m:r>
          <m:sSub>
            <m:e>
              <m:r>
                <m:t>F</m:t>
              </m:r>
            </m:e>
            <m:sub>
              <m:r>
                <m:t>t</m:t>
              </m:r>
              <m:r>
                <m:rPr>
                  <m:sty m:val="p"/>
                </m:rPr>
                <m:t>−</m:t>
              </m:r>
              <m:r>
                <m:t>q</m:t>
              </m:r>
            </m:sub>
          </m:sSub>
          <m:r>
            <m:rPr>
              <m:sty m:val="p"/>
            </m:rPr>
            <m:t>+</m:t>
          </m:r>
          <m:sSub>
            <m:e>
              <m:r>
                <m:t>β</m:t>
              </m:r>
            </m:e>
            <m:sub>
              <m:r>
                <m:t>h</m:t>
              </m:r>
            </m:sub>
          </m:sSub>
          <m:r>
            <m:t> </m:t>
          </m:r>
          <m:r>
            <m:rPr>
              <m:sty m:val="p"/>
            </m:rPr>
            <m:t>Δ</m:t>
          </m:r>
          <m:r>
            <m:rPr>
              <m:sty m:val="p"/>
            </m:rPr>
            <m:t>ln</m:t>
          </m:r>
          <m:sSub>
            <m:e>
              <m:r>
                <m:t>F</m:t>
              </m:r>
            </m:e>
            <m:sub>
              <m:r>
                <m:t>t</m:t>
              </m:r>
            </m:sub>
          </m:sSub>
          <m:r>
            <m:rPr>
              <m:sty m:val="p"/>
            </m:rPr>
            <m:t>+</m:t>
          </m:r>
          <m:nary>
            <m:naryPr>
              <m:chr m:val="∑"/>
              <m:limLoc m:val="undOvr"/>
              <m:subHide m:val="off"/>
              <m:supHide m:val="off"/>
            </m:naryPr>
            <m:sub>
              <m:r>
                <m:t>l</m:t>
              </m:r>
              <m:r>
                <m:rPr>
                  <m:sty m:val="p"/>
                </m:rPr>
                <m:t>=</m:t>
              </m:r>
              <m:r>
                <m:t>1</m:t>
              </m:r>
            </m:sub>
            <m:sup>
              <m:r>
                <m:t>h</m:t>
              </m:r>
              <m:r>
                <m:rPr>
                  <m:sty m:val="p"/>
                </m:rPr>
                <m:t>−</m:t>
              </m:r>
              <m:r>
                <m:t>1</m:t>
              </m:r>
            </m:sup>
            <m:e>
              <m:sSub>
                <m:e>
                  <m:r>
                    <m:t>γ</m:t>
                  </m:r>
                </m:e>
                <m:sub>
                  <m:r>
                    <m:t>3</m:t>
                  </m:r>
                  <m:r>
                    <m:t>l</m:t>
                  </m:r>
                </m:sub>
              </m:sSub>
            </m:e>
          </m:nary>
          <m:r>
            <m:t> </m:t>
          </m:r>
          <m:r>
            <m:rPr>
              <m:sty m:val="p"/>
            </m:rPr>
            <m:t>Δ</m:t>
          </m:r>
          <m:r>
            <m:rPr>
              <m:sty m:val="p"/>
            </m:rPr>
            <m:t>ln</m:t>
          </m:r>
          <m:sSub>
            <m:e>
              <m:r>
                <m:t>F</m:t>
              </m:r>
            </m:e>
            <m:sub>
              <m:r>
                <m:t>t</m:t>
              </m:r>
              <m:r>
                <m:rPr>
                  <m:sty m:val="p"/>
                </m:rPr>
                <m:t>+</m:t>
              </m:r>
              <m:r>
                <m:t>l</m:t>
              </m:r>
            </m:sub>
          </m:sSub>
          <m:r>
            <m:rPr>
              <m:sty m:val="p"/>
            </m:rPr>
            <m:t>+</m:t>
          </m:r>
          <m:sSub>
            <m:e>
              <m:r>
                <m:t>δ</m:t>
              </m:r>
            </m:e>
            <m:sub>
              <m:r>
                <m:t>h</m:t>
              </m:r>
            </m:sub>
          </m:sSub>
          <m:r>
            <m:t> </m:t>
          </m:r>
          <m:r>
            <m:t>t</m:t>
          </m:r>
          <m:r>
            <m:rPr>
              <m:sty m:val="p"/>
            </m:rPr>
            <m:t>+</m:t>
          </m:r>
          <m:sSub>
            <m:e>
              <m:r>
                <m:t>ε</m:t>
              </m:r>
            </m:e>
            <m:sub>
              <m:r>
                <m:t>t</m:t>
              </m:r>
              <m:r>
                <m:rPr>
                  <m:sty m:val="p"/>
                </m:rPr>
                <m:t>+</m:t>
              </m:r>
              <m:r>
                <m:t>h</m:t>
              </m:r>
            </m:sub>
          </m:sSub>
        </m:oMath>
      </m:oMathPara>
    </w:p>
    <w:p>
      <w:pPr>
        <w:pStyle w:val="Compact"/>
        <w:numPr>
          <w:ilvl w:val="0"/>
          <w:numId w:val="1004"/>
        </w:numPr>
      </w:pPr>
      <w:r>
        <w:rPr>
          <w:b/>
          <w:bCs/>
        </w:rPr>
        <w:t xml:space="preserve">Left-hand side.</w:t>
      </w:r>
      <w:r>
        <w:t xml:space="preserve"> </w:t>
      </w:r>
      <w:r>
        <w:t xml:space="preserve">Δln y</w:t>
      </w:r>
      <w:r>
        <w:rPr>
          <w:vertAlign w:val="subscript"/>
        </w:rPr>
        <w:t xml:space="preserve">t+h</w:t>
      </w:r>
      <w:r>
        <w:t xml:space="preserve"> </w:t>
      </w:r>
      <w:r>
        <w:t xml:space="preserve">is the change in the log price index in month</w:t>
      </w:r>
      <w:r>
        <w:t xml:space="preserve"> </w:t>
      </w:r>
      <w:r>
        <w:rPr>
          <w:i/>
          <w:iCs/>
        </w:rPr>
        <w:t xml:space="preserve">t + h</w:t>
      </w:r>
      <w:r>
        <w:t xml:space="preserve">, multiplied by 100 (approximately the monthly inflation rate in percent). The model is written in changes because the levels of prices are non-stationary (Section 5.1.6).</w:t>
      </w:r>
    </w:p>
    <w:p>
      <w:pPr>
        <w:pStyle w:val="Compact"/>
        <w:numPr>
          <w:ilvl w:val="0"/>
          <w:numId w:val="1004"/>
        </w:numPr>
      </w:pPr>
      <w:r>
        <w:rPr>
          <w:b/>
          <w:bCs/>
        </w:rPr>
        <w:t xml:space="preserve">Lags of the outcome</w:t>
      </w:r>
      <w:r>
        <w:t xml:space="preserve">, Δln y</w:t>
      </w:r>
      <w:r>
        <w:rPr>
          <w:vertAlign w:val="subscript"/>
        </w:rPr>
        <w:t xml:space="preserve">t−1</w:t>
      </w:r>
      <w:r>
        <w:t xml:space="preserve">, …, Δln y</w:t>
      </w:r>
      <w:r>
        <w:rPr>
          <w:vertAlign w:val="subscript"/>
        </w:rPr>
        <w:t xml:space="preserve">t−12</w:t>
      </w:r>
      <w:r>
        <w:t xml:space="preserve">, absorb the persistence of inflation and, because the data are not seasonally adjusted, its seasonal pattern: the coefficient on the lag that falls in the same calendar month a year earlier picks up seasonality.</w:t>
      </w:r>
    </w:p>
    <w:p>
      <w:pPr>
        <w:pStyle w:val="Compact"/>
        <w:numPr>
          <w:ilvl w:val="0"/>
          <w:numId w:val="1004"/>
        </w:numPr>
      </w:pPr>
      <w:r>
        <w:rPr>
          <w:b/>
          <w:bCs/>
        </w:rPr>
        <w:t xml:space="preserve">Lags of the fuel price</w:t>
      </w:r>
      <w:r>
        <w:t xml:space="preserve">, Δln F</w:t>
      </w:r>
      <w:r>
        <w:rPr>
          <w:vertAlign w:val="subscript"/>
        </w:rPr>
        <w:t xml:space="preserve">t−1</w:t>
      </w:r>
      <w:r>
        <w:t xml:space="preserve">, …, Δln F</w:t>
      </w:r>
      <w:r>
        <w:rPr>
          <w:vertAlign w:val="subscript"/>
        </w:rPr>
        <w:t xml:space="preserve">t−12</w:t>
      </w:r>
      <w:r>
        <w:t xml:space="preserve">, remove the part of today’s inflation that is a delayed effect of past fuel shocks.</w:t>
      </w:r>
    </w:p>
    <w:p>
      <w:pPr>
        <w:pStyle w:val="Compact"/>
        <w:numPr>
          <w:ilvl w:val="0"/>
          <w:numId w:val="1004"/>
        </w:numPr>
      </w:pPr>
      <w:r>
        <w:rPr>
          <w:b/>
          <w:bCs/>
        </w:rPr>
        <w:t xml:space="preserve">The shock</w:t>
      </w:r>
      <w:r>
        <w:t xml:space="preserve">, Δln F</w:t>
      </w:r>
      <w:r>
        <w:rPr>
          <w:vertAlign w:val="subscript"/>
        </w:rPr>
        <w:t xml:space="preserve">t</w:t>
      </w:r>
      <w:r>
        <w:t xml:space="preserve">, today’s percentage change in the fuel index. Its coefficient β</w:t>
      </w:r>
      <w:r>
        <w:rPr>
          <w:vertAlign w:val="subscript"/>
        </w:rPr>
        <w:t xml:space="preserve">h</w:t>
      </w:r>
      <w:r>
        <w:t xml:space="preserve"> </w:t>
      </w:r>
      <w:r>
        <w:t xml:space="preserve">is the quantity of interest: the change in inflation in month</w:t>
      </w:r>
      <w:r>
        <w:t xml:space="preserve"> </w:t>
      </w:r>
      <w:r>
        <w:rPr>
          <w:i/>
          <w:iCs/>
        </w:rPr>
        <w:t xml:space="preserve">t + h</w:t>
      </w:r>
      <w:r>
        <w:t xml:space="preserve"> </w:t>
      </w:r>
      <w:r>
        <w:t xml:space="preserve">per 1% change in fuel prices in month</w:t>
      </w:r>
      <w:r>
        <w:t xml:space="preserve"> </w:t>
      </w:r>
      <w:r>
        <w:rPr>
          <w:i/>
          <w:iCs/>
        </w:rPr>
        <w:t xml:space="preserve">t</w:t>
      </w:r>
      <w:r>
        <w:t xml:space="preserve">.</w:t>
      </w:r>
    </w:p>
    <w:p>
      <w:pPr>
        <w:pStyle w:val="Compact"/>
        <w:numPr>
          <w:ilvl w:val="0"/>
          <w:numId w:val="1004"/>
        </w:numPr>
      </w:pPr>
      <w:r>
        <w:rPr>
          <w:b/>
          <w:bCs/>
        </w:rPr>
        <w:t xml:space="preserve">The Teulings–Zubanov terms</w:t>
      </w:r>
      <w:r>
        <w:t xml:space="preserve">, the fuel price changes in months</w:t>
      </w:r>
      <w:r>
        <w:t xml:space="preserve"> </w:t>
      </w:r>
      <w:r>
        <w:rPr>
          <w:i/>
          <w:iCs/>
        </w:rPr>
        <w:t xml:space="preserve">t + 1</w:t>
      </w:r>
      <w:r>
        <w:t xml:space="preserve">, …,</w:t>
      </w:r>
      <w:r>
        <w:t xml:space="preserve"> </w:t>
      </w:r>
      <w:r>
        <w:rPr>
          <w:i/>
          <w:iCs/>
        </w:rPr>
        <w:t xml:space="preserve">t + h − 1</w:t>
      </w:r>
      <w:r>
        <w:t xml:space="preserve">. Fuel prices are persistent: a shock today is often followed by further increases. Without these terms, β</w:t>
      </w:r>
      <w:r>
        <w:rPr>
          <w:vertAlign w:val="subscript"/>
        </w:rPr>
        <w:t xml:space="preserve">h</w:t>
      </w:r>
      <w:r>
        <w:t xml:space="preserve"> </w:t>
      </w:r>
      <w:r>
        <w:t xml:space="preserve">would mix the effect of today’s shock with the effect of the later shocks it predicts. Including them isolates the effect of a one-time shock</w:t>
      </w:r>
      <w:r>
        <w:t xml:space="preserve"> </w:t>
      </w:r>
      <w:r>
        <w:t xml:space="preserve">(</w:t>
      </w:r>
      <w:hyperlink w:anchor="ref-teulings_zubanov_2014">
        <w:r>
          <w:rPr>
            <w:rStyle w:val="Hyperlink"/>
          </w:rPr>
          <w:t xml:space="preserve">Teulings and Zubanov 2014</w:t>
        </w:r>
      </w:hyperlink>
      <w:r>
        <w:t xml:space="preserve">)</w:t>
      </w:r>
      <w:r>
        <w:t xml:space="preserve">. Following the reference study’s tables, there are none at</w:t>
      </w:r>
      <w:r>
        <w:t xml:space="preserve"> </w:t>
      </w:r>
      <w:r>
        <w:rPr>
          <w:i/>
          <w:iCs/>
        </w:rPr>
        <w:t xml:space="preserve">h</w:t>
      </w:r>
      <w:r>
        <w:t xml:space="preserve"> </w:t>
      </w:r>
      <w:r>
        <w:t xml:space="preserve">= 0 and</w:t>
      </w:r>
      <w:r>
        <w:t xml:space="preserve"> </w:t>
      </w:r>
      <w:r>
        <w:rPr>
          <w:i/>
          <w:iCs/>
        </w:rPr>
        <w:t xml:space="preserve">h</w:t>
      </w:r>
      <w:r>
        <w:t xml:space="preserve"> </w:t>
      </w:r>
      <w:r>
        <w:t xml:space="preserve">= 1.</w:t>
      </w:r>
    </w:p>
    <w:p>
      <w:pPr>
        <w:pStyle w:val="Compact"/>
        <w:numPr>
          <w:ilvl w:val="0"/>
          <w:numId w:val="1004"/>
        </w:numPr>
      </w:pPr>
      <w:r>
        <w:rPr>
          <w:b/>
          <w:bCs/>
        </w:rPr>
        <w:t xml:space="preserve">A linear trend</w:t>
      </w:r>
      <w:r>
        <w:t xml:space="preserve"> </w:t>
      </w:r>
      <w:r>
        <w:rPr>
          <w:i/>
          <w:iCs/>
        </w:rPr>
        <w:t xml:space="preserve">t</w:t>
      </w:r>
      <w:r>
        <w:t xml:space="preserve"> </w:t>
      </w:r>
      <w:r>
        <w:t xml:space="preserve">and a constant α</w:t>
      </w:r>
      <w:r>
        <w:rPr>
          <w:vertAlign w:val="subscript"/>
        </w:rPr>
        <w:t xml:space="preserve">h</w:t>
      </w:r>
      <w:r>
        <w:t xml:space="preserve">. In the regional panel the constant is replaced by region fixed effects.</w:t>
      </w:r>
    </w:p>
    <w:bookmarkEnd w:id="38"/>
    <w:bookmarkStart w:id="39" w:name="from-monthly-effects-to-the-price-level"/>
    <w:p>
      <w:pPr>
        <w:pStyle w:val="Heading2"/>
      </w:pPr>
      <w:r>
        <w:t xml:space="preserve">3.4 From monthly effects to the price level</w:t>
      </w:r>
    </w:p>
    <w:p>
      <w:pPr>
        <w:pStyle w:val="FirstParagraph"/>
      </w:pPr>
      <w:r>
        <w:t xml:space="preserve">β</w:t>
      </w:r>
      <w:r>
        <w:rPr>
          <w:vertAlign w:val="subscript"/>
        </w:rPr>
        <w:t xml:space="preserve">h</w:t>
      </w:r>
      <w:r>
        <w:t xml:space="preserve"> </w:t>
      </w:r>
      <w:r>
        <w:t xml:space="preserve">is an effect on</w:t>
      </w:r>
      <w:r>
        <w:t xml:space="preserve"> </w:t>
      </w:r>
      <w:r>
        <w:rPr>
          <w:i/>
          <w:iCs/>
        </w:rPr>
        <w:t xml:space="preserve">inflation in one month</w:t>
      </w:r>
      <w:r>
        <w:t xml:space="preserve">. Policy questions are usually about the</w:t>
      </w:r>
      <w:r>
        <w:t xml:space="preserve"> </w:t>
      </w:r>
      <w:r>
        <w:rPr>
          <w:i/>
          <w:iCs/>
        </w:rPr>
        <w:t xml:space="preserve">price level</w:t>
      </w:r>
      <w:r>
        <w:t xml:space="preserve">: how much higher are prices after a year? The answer is the cumulative response, β</w:t>
      </w:r>
      <w:r>
        <w:rPr>
          <w:vertAlign w:val="subscript"/>
        </w:rPr>
        <w:t xml:space="preserve">0</w:t>
      </w:r>
      <w:r>
        <w:t xml:space="preserve"> </w:t>
      </w:r>
      <w:r>
        <w:t xml:space="preserve">+ β</w:t>
      </w:r>
      <w:r>
        <w:rPr>
          <w:vertAlign w:val="subscript"/>
        </w:rPr>
        <w:t xml:space="preserve">1</w:t>
      </w:r>
      <w:r>
        <w:t xml:space="preserve"> </w:t>
      </w:r>
      <w:r>
        <w:t xml:space="preserve">+ … + β</w:t>
      </w:r>
      <w:r>
        <w:rPr>
          <w:vertAlign w:val="subscript"/>
        </w:rPr>
        <w:t xml:space="preserve">h</w:t>
      </w:r>
      <w:r>
        <w:t xml:space="preserve">. To obtain it with a correct standard error, we re-estimate the model with the cumulative change Σ</w:t>
      </w:r>
      <w:r>
        <w:rPr>
          <w:vertAlign w:val="subscript"/>
        </w:rPr>
        <w:t xml:space="preserve">j=0</w:t>
      </w:r>
      <w:r>
        <w:rPr>
          <w:vertAlign w:val="superscript"/>
        </w:rPr>
        <w:t xml:space="preserve">h</w:t>
      </w:r>
      <w:r>
        <w:t xml:space="preserve"> </w:t>
      </w:r>
      <w:r>
        <w:t xml:space="preserve">Δln y</w:t>
      </w:r>
      <w:r>
        <w:rPr>
          <w:vertAlign w:val="subscript"/>
        </w:rPr>
        <w:t xml:space="preserve">t+j</w:t>
      </w:r>
      <w:r>
        <w:t xml:space="preserve"> </w:t>
      </w:r>
      <w:r>
        <w:t xml:space="preserve">= ln y</w:t>
      </w:r>
      <w:r>
        <w:rPr>
          <w:vertAlign w:val="subscript"/>
        </w:rPr>
        <w:t xml:space="preserve">t+h</w:t>
      </w:r>
      <w:r>
        <w:t xml:space="preserve"> </w:t>
      </w:r>
      <w:r>
        <w:t xml:space="preserve">− ln y</w:t>
      </w:r>
      <w:r>
        <w:rPr>
          <w:vertAlign w:val="subscript"/>
        </w:rPr>
        <w:t xml:space="preserve">t−1</w:t>
      </w:r>
      <w:r>
        <w:t xml:space="preserve"> </w:t>
      </w:r>
      <w:r>
        <w:t xml:space="preserve">on the left-hand side.</w:t>
      </w:r>
    </w:p>
    <w:p>
      <w:pPr>
        <w:pStyle w:val="BodyText"/>
      </w:pPr>
      <w:r>
        <w:rPr>
          <w:i/>
          <w:iCs/>
        </w:rPr>
        <w:t xml:space="preserve">Worked example.</w:t>
      </w:r>
      <w:r>
        <w:t xml:space="preserve"> </w:t>
      </w:r>
      <w:r>
        <w:t xml:space="preserve">With the estimates of Chapter 5, the cumulative response of the all-income CPI after twelve months is 0.102. A 10% increase in fuel prices therefore raises the price level by 10 × 0.102 ≈ 1.0% after a year. For the distributional gap D = ln(CPI all/CPI b30), a cumulative response of −0.0214 after six months means that a 10% fuel increase lowers D by 0.2 log points: the poor’s price level ends up 0.2% higher, relative to the average household’s, than before the shock.</w:t>
      </w:r>
    </w:p>
    <w:bookmarkEnd w:id="39"/>
    <w:bookmarkStart w:id="40" w:name="standard-errors"/>
    <w:p>
      <w:pPr>
        <w:pStyle w:val="Heading2"/>
      </w:pPr>
      <w:r>
        <w:t xml:space="preserve">3.5 Standard errors</w:t>
      </w:r>
    </w:p>
    <w:p>
      <w:pPr>
        <w:pStyle w:val="FirstParagraph"/>
      </w:pPr>
      <w:r>
        <w:t xml:space="preserve">Because the outcome at horizon</w:t>
      </w:r>
      <w:r>
        <w:t xml:space="preserve"> </w:t>
      </w:r>
      <w:r>
        <w:rPr>
          <w:i/>
          <w:iCs/>
        </w:rPr>
        <w:t xml:space="preserve">h</w:t>
      </w:r>
      <w:r>
        <w:t xml:space="preserve"> </w:t>
      </w:r>
      <w:r>
        <w:t xml:space="preserve">overlaps with the outcomes of nearby months, the regression errors are serially correlated. For the national time series we use Newey–West standard errors with</w:t>
      </w:r>
      <w:r>
        <w:t xml:space="preserve"> </w:t>
      </w:r>
      <w:r>
        <w:rPr>
          <w:i/>
          <w:iCs/>
        </w:rPr>
        <w:t xml:space="preserve">h</w:t>
      </w:r>
      <w:r>
        <w:t xml:space="preserve"> </w:t>
      </w:r>
      <w:r>
        <w:t xml:space="preserve">+ 1 lags</w:t>
      </w:r>
      <w:r>
        <w:t xml:space="preserve"> </w:t>
      </w:r>
      <w:r>
        <w:t xml:space="preserve">(</w:t>
      </w:r>
      <w:hyperlink w:anchor="ref-newey_west_1987">
        <w:r>
          <w:rPr>
            <w:rStyle w:val="Hyperlink"/>
          </w:rPr>
          <w:t xml:space="preserve">Newey and West 1987</w:t>
        </w:r>
      </w:hyperlink>
      <w:r>
        <w:t xml:space="preserve">)</w:t>
      </w:r>
      <w:r>
        <w:t xml:space="preserve">. In the regional panel, all regions are hit by common national shocks in the same month, so errors are correlated across regions as well as over time; Driscoll–Kraay standard errors allow for both</w:t>
      </w:r>
      <w:r>
        <w:t xml:space="preserve"> </w:t>
      </w:r>
      <w:r>
        <w:t xml:space="preserve">(</w:t>
      </w:r>
      <w:hyperlink w:anchor="ref-driscoll_kraay_1998">
        <w:r>
          <w:rPr>
            <w:rStyle w:val="Hyperlink"/>
          </w:rPr>
          <w:t xml:space="preserve">Driscoll and Kraay 1998</w:t>
        </w:r>
      </w:hyperlink>
      <w:r>
        <w:t xml:space="preserve">)</w:t>
      </w:r>
      <w:r>
        <w:t xml:space="preserve">. Confidence bands are 90%, as in the reference study.</w:t>
      </w:r>
    </w:p>
    <w:bookmarkEnd w:id="40"/>
    <w:bookmarkStart w:id="41" w:name="the-panel-version-and-group-differences"/>
    <w:p>
      <w:pPr>
        <w:pStyle w:val="Heading2"/>
      </w:pPr>
      <w:r>
        <w:t xml:space="preserve">3.6 The panel version and group differences</w:t>
      </w:r>
    </w:p>
    <w:p>
      <w:pPr>
        <w:pStyle w:val="FirstParagraph"/>
      </w:pPr>
      <w:r>
        <w:t xml:space="preserve">For 17 regions</w:t>
      </w:r>
      <w:r>
        <w:t xml:space="preserve"> </w:t>
      </w:r>
      <w:r>
        <w:rPr>
          <w:i/>
          <w:iCs/>
        </w:rPr>
        <w:t xml:space="preserve">r</w:t>
      </w:r>
      <w:r>
        <w:t xml:space="preserve">, the model is estimated jointly with region fixed effects u</w:t>
      </w:r>
      <w:r>
        <w:rPr>
          <w:vertAlign w:val="subscript"/>
        </w:rPr>
        <w:t xml:space="preserve">r</w:t>
      </w:r>
      <w:r>
        <w:t xml:space="preserve">, using each region’s own fuel index and outcome. To test whether a group of regions</w:t>
      </w:r>
      <w:r>
        <w:t xml:space="preserve"> </w:t>
      </w:r>
      <w:r>
        <w:rPr>
          <w:i/>
          <w:iCs/>
        </w:rPr>
        <w:t xml:space="preserve">G</w:t>
      </w:r>
      <w:r>
        <w:t xml:space="preserve"> </w:t>
      </w:r>
      <w:r>
        <w:t xml:space="preserve">(for example, Mindanao) responds differently, we add the interaction Δln F</w:t>
      </w:r>
      <w:r>
        <w:rPr>
          <w:vertAlign w:val="subscript"/>
        </w:rPr>
        <w:t xml:space="preserve">r,t</w:t>
      </w:r>
      <w:r>
        <w:t xml:space="preserve"> </w:t>
      </w:r>
      <w:r>
        <w:t xml:space="preserve">× G</w:t>
      </w:r>
      <w:r>
        <w:rPr>
          <w:vertAlign w:val="subscript"/>
        </w:rPr>
        <w:t xml:space="preserve">r</w:t>
      </w:r>
      <w:r>
        <w:t xml:space="preserve">. Its coefficient θ</w:t>
      </w:r>
      <w:r>
        <w:rPr>
          <w:vertAlign w:val="subscript"/>
        </w:rPr>
        <w:t xml:space="preserve">h</w:t>
      </w:r>
      <w:r>
        <w:t xml:space="preserve"> </w:t>
      </w:r>
      <w:r>
        <w:t xml:space="preserve">is the</w:t>
      </w:r>
      <w:r>
        <w:t xml:space="preserve"> </w:t>
      </w:r>
      <w:r>
        <w:rPr>
          <w:i/>
          <w:iCs/>
        </w:rPr>
        <w:t xml:space="preserve">additional</w:t>
      </w:r>
      <w:r>
        <w:t xml:space="preserve"> </w:t>
      </w:r>
      <w:r>
        <w:t xml:space="preserve">response in group</w:t>
      </w:r>
      <w:r>
        <w:t xml:space="preserve"> </w:t>
      </w:r>
      <w:r>
        <w:rPr>
          <w:i/>
          <w:iCs/>
        </w:rPr>
        <w:t xml:space="preserve">G</w:t>
      </w:r>
      <w:r>
        <w:t xml:space="preserve">; the coefficient on Δln F</w:t>
      </w:r>
      <w:r>
        <w:rPr>
          <w:vertAlign w:val="subscript"/>
        </w:rPr>
        <w:t xml:space="preserve">r,t</w:t>
      </w:r>
      <w:r>
        <w:t xml:space="preserve"> </w:t>
      </w:r>
      <w:r>
        <w:t xml:space="preserve">is then the response outside</w:t>
      </w:r>
      <w:r>
        <w:t xml:space="preserve"> </w:t>
      </w:r>
      <w:r>
        <w:rPr>
          <w:i/>
          <w:iCs/>
        </w:rPr>
        <w:t xml:space="preserve">G</w:t>
      </w:r>
      <w:r>
        <w:t xml:space="preserve">. Because G</w:t>
      </w:r>
      <w:r>
        <w:rPr>
          <w:vertAlign w:val="subscript"/>
        </w:rPr>
        <w:t xml:space="preserve">r</w:t>
      </w:r>
      <w:r>
        <w:t xml:space="preserve"> </w:t>
      </w:r>
      <w:r>
        <w:t xml:space="preserve">does not change over time, its own effect is absorbed by the fixed effects.</w:t>
      </w:r>
    </w:p>
    <w:bookmarkEnd w:id="41"/>
    <w:bookmarkStart w:id="42" w:name="checking-the-implementation"/>
    <w:p>
      <w:pPr>
        <w:pStyle w:val="Heading2"/>
      </w:pPr>
      <w:r>
        <w:t xml:space="preserve">3.7 Checking the implementation</w:t>
      </w:r>
    </w:p>
    <w:p>
      <w:pPr>
        <w:pStyle w:val="FirstParagraph"/>
      </w:pPr>
      <w:r>
        <w:t xml:space="preserve">Two checks were made before any Philippine estimate was produced. First, a</w:t>
      </w:r>
      <w:r>
        <w:t xml:space="preserve"> </w:t>
      </w:r>
      <w:r>
        <w:rPr>
          <w:i/>
          <w:iCs/>
        </w:rPr>
        <w:t xml:space="preserve">simulation test</w:t>
      </w:r>
      <w:r>
        <w:t xml:space="preserve">: data are generated from a model whose impulse response is known exactly, and the estimator must recover it. Second, a</w:t>
      </w:r>
      <w:r>
        <w:t xml:space="preserve"> </w:t>
      </w:r>
      <w:r>
        <w:rPr>
          <w:i/>
          <w:iCs/>
        </w:rPr>
        <w:t xml:space="preserve">replication gate</w:t>
      </w:r>
      <w:r>
        <w:t xml:space="preserve">: our code must reproduce the reference study’s published results on comparable data, against criteria written down in advance. Both are described in Chapter 4 and their results in Chapter 5.</w:t>
      </w:r>
    </w:p>
    <w:bookmarkEnd w:id="42"/>
    <w:bookmarkStart w:id="43" w:name="step-by-step-implementation"/>
    <w:p>
      <w:pPr>
        <w:pStyle w:val="Heading2"/>
      </w:pPr>
      <w:r>
        <w:t xml:space="preserve">3.8 Step-by-step implementation</w:t>
      </w:r>
    </w:p>
    <w:p>
      <w:pPr>
        <w:pStyle w:val="FirstParagraph"/>
      </w:pPr>
      <w:r>
        <w:t xml:space="preserve">The full code is in the replication package (</w:t>
      </w:r>
      <w:r>
        <w:rPr>
          <w:rStyle w:val="VerbatimChar"/>
        </w:rPr>
        <w:t xml:space="preserve">ospd/lp.py</w:t>
      </w:r>
      <w:r>
        <w:t xml:space="preserve"> </w:t>
      </w:r>
      <w:r>
        <w:t xml:space="preserve">for the estimator,</w:t>
      </w:r>
      <w:r>
        <w:t xml:space="preserve"> </w:t>
      </w:r>
      <w:r>
        <w:rPr>
          <w:rStyle w:val="VerbatimChar"/>
        </w:rPr>
        <w:t xml:space="preserve">scripts/</w:t>
      </w:r>
      <w:r>
        <w:t xml:space="preserve"> </w:t>
      </w:r>
      <w:r>
        <w:t xml:space="preserve">for the pipeline). The steps are:</w:t>
      </w:r>
    </w:p>
    <w:p>
      <w:pPr>
        <w:pStyle w:val="BodyText"/>
      </w:pPr>
      <w:r>
        <w:rPr>
          <w:b/>
          <w:bCs/>
        </w:rPr>
        <w:t xml:space="preserve">Step 1. Arrange the data.</w:t>
      </w:r>
      <w:r>
        <w:t xml:space="preserve"> </w:t>
      </w:r>
      <w:r>
        <w:t xml:space="preserve">One row per region and month, sorted by region and then date, with a complete monthly calendar (missing months as blank rows, so that</w:t>
      </w:r>
      <w:r>
        <w:t xml:space="preserve"> </w:t>
      </w:r>
      <w:r>
        <w:t xml:space="preserve">“lag 1”</w:t>
      </w:r>
      <w:r>
        <w:t xml:space="preserve"> </w:t>
      </w:r>
      <w:r>
        <w:t xml:space="preserve">is always the previous calendar month). Compute 100 × Δln of each price index and of the fuel index, and an integer month counter</w:t>
      </w:r>
      <w:r>
        <w:t xml:space="preserve"> </w:t>
      </w:r>
      <w:r>
        <w:rPr>
          <w:i/>
          <w:iCs/>
        </w:rPr>
        <w:t xml:space="preserve">t</w:t>
      </w:r>
      <w:r>
        <w:t xml:space="preserve"> </w:t>
      </w:r>
      <w:r>
        <w:t xml:space="preserve">for the trend.</w:t>
      </w:r>
    </w:p>
    <w:p>
      <w:pPr>
        <w:pStyle w:val="BodyText"/>
      </w:pPr>
      <w:r>
        <w:rPr>
          <w:b/>
          <w:bCs/>
        </w:rPr>
        <w:t xml:space="preserve">Step 2. Build the regressors for horizon</w:t>
      </w:r>
      <w:r>
        <w:rPr>
          <w:b/>
          <w:bCs/>
        </w:rPr>
        <w:t xml:space="preserve"> </w:t>
      </w:r>
      <w:r>
        <w:rPr>
          <w:b/>
          <w:bCs/>
          <w:i/>
          <w:iCs/>
        </w:rPr>
        <w:t xml:space="preserve">h</w:t>
      </w:r>
      <w:r>
        <w:rPr>
          <w:b/>
          <w:bCs/>
        </w:rPr>
        <w:t xml:space="preserve">.</w:t>
      </w:r>
      <w:r>
        <w:t xml:space="preserve"> </w:t>
      </w:r>
      <w:r>
        <w:t xml:space="preserve">Within each region, shift the outcome forward by</w:t>
      </w:r>
      <w:r>
        <w:t xml:space="preserve"> </w:t>
      </w:r>
      <w:r>
        <w:rPr>
          <w:i/>
          <w:iCs/>
        </w:rPr>
        <w:t xml:space="preserve">h</w:t>
      </w:r>
      <w:r>
        <w:t xml:space="preserve"> </w:t>
      </w:r>
      <w:r>
        <w:t xml:space="preserve">months to obtain y</w:t>
      </w:r>
      <w:r>
        <w:rPr>
          <w:vertAlign w:val="subscript"/>
        </w:rPr>
        <w:t xml:space="preserve">t+h</w:t>
      </w:r>
      <w:r>
        <w:t xml:space="preserve">; shift the outcome and the fuel change backward by 1 to 12 months to obtain the lags; shift the fuel change forward by 1 to</w:t>
      </w:r>
      <w:r>
        <w:t xml:space="preserve"> </w:t>
      </w:r>
      <w:r>
        <w:rPr>
          <w:i/>
          <w:iCs/>
        </w:rPr>
        <w:t xml:space="preserve">h</w:t>
      </w:r>
      <w:r>
        <w:t xml:space="preserve"> </w:t>
      </w:r>
      <w:r>
        <w:t xml:space="preserve">− 1 months to obtain the Teulings–Zubanov terms.</w:t>
      </w:r>
    </w:p>
    <w:p>
      <w:pPr>
        <w:pStyle w:val="BodyText"/>
      </w:pPr>
      <w:r>
        <w:rPr>
          <w:b/>
          <w:bCs/>
        </w:rPr>
        <w:t xml:space="preserve">Step 3. Restrict the sample</w:t>
      </w:r>
      <w:r>
        <w:t xml:space="preserve"> </w:t>
      </w:r>
      <w:r>
        <w:t xml:space="preserve">to shock dates in the estimation window</w:t>
      </w:r>
      <w:r>
        <w:t xml:space="preserve"> </w:t>
      </w:r>
      <w:r>
        <w:rPr>
          <w:i/>
          <w:iCs/>
        </w:rPr>
        <w:t xml:space="preserve">after</w:t>
      </w:r>
      <w:r>
        <w:t xml:space="preserve"> </w:t>
      </w:r>
      <w:r>
        <w:t xml:space="preserve">building the lags, so that earlier data still supply the lags of the first observations, and drop rows with any missing value.</w:t>
      </w:r>
    </w:p>
    <w:p>
      <w:pPr>
        <w:pStyle w:val="BodyText"/>
      </w:pPr>
      <w:r>
        <w:rPr>
          <w:b/>
          <w:bCs/>
        </w:rPr>
        <w:t xml:space="preserve">Step 4. Estimate by OLS</w:t>
      </w:r>
      <w:r>
        <w:t xml:space="preserve"> </w:t>
      </w:r>
      <w:r>
        <w:t xml:space="preserve">(with region fixed effects in the panel) and keep the coefficient on Δln F</w:t>
      </w:r>
      <w:r>
        <w:rPr>
          <w:vertAlign w:val="subscript"/>
        </w:rPr>
        <w:t xml:space="preserve">t</w:t>
      </w:r>
      <w:r>
        <w:t xml:space="preserve"> </w:t>
      </w:r>
      <w:r>
        <w:t xml:space="preserve">and its standard error.</w:t>
      </w:r>
    </w:p>
    <w:p>
      <w:pPr>
        <w:pStyle w:val="BodyText"/>
      </w:pPr>
      <w:r>
        <w:rPr>
          <w:b/>
          <w:bCs/>
        </w:rPr>
        <w:t xml:space="preserve">Step 5. Repeat for</w:t>
      </w:r>
      <w:r>
        <w:rPr>
          <w:b/>
          <w:bCs/>
        </w:rPr>
        <w:t xml:space="preserve"> </w:t>
      </w:r>
      <w:r>
        <w:rPr>
          <w:b/>
          <w:bCs/>
          <w:i/>
          <w:iCs/>
        </w:rPr>
        <w:t xml:space="preserve">h</w:t>
      </w:r>
      <w:r>
        <w:rPr>
          <w:b/>
          <w:bCs/>
        </w:rPr>
        <w:t xml:space="preserve"> </w:t>
      </w:r>
      <w:r>
        <w:rPr>
          <w:b/>
          <w:bCs/>
        </w:rPr>
        <w:t xml:space="preserve">= 0, …, 12</w:t>
      </w:r>
      <w:r>
        <w:t xml:space="preserve">, and again with the cumulative outcome.</w:t>
      </w:r>
    </w:p>
    <w:p>
      <w:pPr>
        <w:pStyle w:val="BodyText"/>
      </w:pPr>
      <w:r>
        <w:rPr>
          <w:b/>
          <w:bCs/>
        </w:rPr>
        <w:t xml:space="preserve">Step 6. Plot</w:t>
      </w:r>
      <w:r>
        <w:t xml:space="preserve"> </w:t>
      </w:r>
      <w:r>
        <w:t xml:space="preserve">β</w:t>
      </w:r>
      <w:r>
        <w:rPr>
          <w:vertAlign w:val="subscript"/>
        </w:rPr>
        <w:t xml:space="preserve">h</w:t>
      </w:r>
      <w:r>
        <w:t xml:space="preserve"> </w:t>
      </w:r>
      <w:r>
        <w:t xml:space="preserve">against</w:t>
      </w:r>
      <w:r>
        <w:t xml:space="preserve"> </w:t>
      </w:r>
      <w:r>
        <w:rPr>
          <w:i/>
          <w:iCs/>
        </w:rPr>
        <w:t xml:space="preserve">h</w:t>
      </w:r>
      <w:r>
        <w:t xml:space="preserve"> </w:t>
      </w:r>
      <w:r>
        <w:t xml:space="preserve">with the 90% band β</w:t>
      </w:r>
      <w:r>
        <w:rPr>
          <w:vertAlign w:val="subscript"/>
        </w:rPr>
        <w:t xml:space="preserve">h</w:t>
      </w:r>
      <w:r>
        <w:t xml:space="preserve"> </w:t>
      </w:r>
      <w:r>
        <w:t xml:space="preserve">± 1.645 × s.e.</w:t>
      </w:r>
    </w:p>
    <w:p>
      <w:pPr>
        <w:pStyle w:val="BodyText"/>
      </w:pPr>
      <w:r>
        <w:t xml:space="preserve">A minimal version of steps 2–4 for one horizon of the national model, written in Python with</w:t>
      </w:r>
      <w:r>
        <w:t xml:space="preserve"> </w:t>
      </w:r>
      <w:r>
        <w:rPr>
          <w:i/>
          <w:iCs/>
        </w:rPr>
        <w:t xml:space="preserve">pandas</w:t>
      </w:r>
      <w:r>
        <w:t xml:space="preserve"> </w:t>
      </w:r>
      <w:r>
        <w:t xml:space="preserve">and</w:t>
      </w:r>
      <w:r>
        <w:t xml:space="preserve"> </w:t>
      </w:r>
      <w:r>
        <w:rPr>
          <w:i/>
          <w:iCs/>
        </w:rPr>
        <w:t xml:space="preserve">statsmodels</w:t>
      </w:r>
      <w:r>
        <w:t xml:space="preserve">, is:</w:t>
      </w:r>
    </w:p>
    <w:p>
      <w:pPr>
        <w:pStyle w:val="SourceCode"/>
      </w:pP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KeywordTok"/>
        </w:rPr>
        <w:t xml:space="preserve">def</w:t>
      </w:r>
      <w:r>
        <w:rPr>
          <w:rStyle w:val="NormalTok"/>
        </w:rPr>
        <w:t xml:space="preserve"> one_horizon(df, h, p</w:t>
      </w:r>
      <w:r>
        <w:rPr>
          <w:rStyle w:val="OperatorTok"/>
        </w:rPr>
        <w:t xml:space="preserve">=</w:t>
      </w:r>
      <w:r>
        <w:rPr>
          <w:rStyle w:val="DecValTok"/>
        </w:rPr>
        <w:t xml:space="preserve">12</w:t>
      </w:r>
      <w:r>
        <w:rPr>
          <w:rStyle w:val="NormalTok"/>
        </w:rPr>
        <w:t xml:space="preserve">):</w:t>
      </w:r>
      <w:r>
        <w:br/>
      </w:r>
      <w:r>
        <w:rPr>
          <w:rStyle w:val="NormalTok"/>
        </w:rPr>
        <w:t xml:space="preserve">    X </w:t>
      </w:r>
      <w:r>
        <w:rPr>
          <w:rStyle w:val="OperatorTok"/>
        </w:rPr>
        <w:t xml:space="preserve">=</w:t>
      </w:r>
      <w:r>
        <w:rPr>
          <w:rStyle w:val="NormalTok"/>
        </w:rPr>
        <w:t xml:space="preserve"> df[[</w:t>
      </w:r>
      <w:r>
        <w:rPr>
          <w:rStyle w:val="StringTok"/>
        </w:rPr>
        <w:t xml:space="preserve">"d_fuel"</w:t>
      </w:r>
      <w:r>
        <w:rPr>
          <w:rStyle w:val="NormalTok"/>
        </w:rPr>
        <w:t xml:space="preserve">, </w:t>
      </w:r>
      <w:r>
        <w:rPr>
          <w:rStyle w:val="StringTok"/>
        </w:rPr>
        <w:t xml:space="preserve">"t"</w:t>
      </w:r>
      <w:r>
        <w:rPr>
          <w:rStyle w:val="NormalTok"/>
        </w:rPr>
        <w:t xml:space="preserve">]].copy()</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w:t>
      </w:r>
      <w:r>
        <w:rPr>
          <w:rStyle w:val="SpecialStringTok"/>
        </w:rPr>
        <w:t xml:space="preserve">f"y_l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"d_cpi_all"</w:t>
      </w:r>
      <w:r>
        <w:rPr>
          <w:rStyle w:val="NormalTok"/>
        </w:rPr>
        <w:t xml:space="preserve">].shift(q)      </w:t>
      </w:r>
      <w:r>
        <w:rPr>
          <w:rStyle w:val="CommentTok"/>
        </w:rPr>
        <w:t xml:space="preserve"># lags of the outcome</w:t>
      </w:r>
      <w:r>
        <w:br/>
      </w:r>
      <w:r>
        <w:rPr>
          <w:rStyle w:val="NormalTok"/>
        </w:rPr>
        <w:t xml:space="preserve">        X[</w:t>
      </w:r>
      <w:r>
        <w:rPr>
          <w:rStyle w:val="SpecialStringTok"/>
        </w:rPr>
        <w:t xml:space="preserve">f"f_l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].shift(q)         </w:t>
      </w:r>
      <w:r>
        <w:rPr>
          <w:rStyle w:val="CommentTok"/>
        </w:rPr>
        <w:t xml:space="preserve"># lags of the shock</w:t>
      </w:r>
      <w:r>
        <w:br/>
      </w:r>
      <w:r>
        <w:rPr>
          <w:rStyle w:val="NormalTok"/>
        </w:rPr>
        <w:t xml:space="preserve">    </w:t>
      </w:r>
      <w:r>
        <w:rPr>
          <w:rStyle w:val="ControlFlowTok"/>
        </w:rPr>
        <w:t xml:space="preserve">for</w:t>
      </w:r>
      <w:r>
        <w:rPr>
          <w:rStyle w:val="NormalTok"/>
        </w:rPr>
        <w:t xml:space="preserve"> lead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h):                         </w:t>
      </w:r>
      <w:r>
        <w:rPr>
          <w:rStyle w:val="CommentTok"/>
        </w:rPr>
        <w:t xml:space="preserve"># Teulings-Zubanov terms</w:t>
      </w:r>
      <w:r>
        <w:br/>
      </w:r>
      <w:r>
        <w:rPr>
          <w:rStyle w:val="NormalTok"/>
        </w:rPr>
        <w:t xml:space="preserve">        X[</w:t>
      </w:r>
      <w:r>
        <w:rPr>
          <w:rStyle w:val="SpecialStringTok"/>
        </w:rPr>
        <w:t xml:space="preserve">f"f_f</w:t>
      </w:r>
      <w:r>
        <w:rPr>
          <w:rStyle w:val="SpecialCharTok"/>
        </w:rPr>
        <w:t xml:space="preserve">{</w:t>
      </w:r>
      <w:r>
        <w:rPr>
          <w:rStyle w:val="NormalTok"/>
        </w:rPr>
        <w:t xml:space="preserve">lead</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w:t>
      </w:r>
      <w:r>
        <w:rPr>
          <w:rStyle w:val="OperatorTok"/>
        </w:rPr>
        <w:t xml:space="preserve">-</w:t>
      </w:r>
      <w:r>
        <w:rPr>
          <w:rStyle w:val="NormalTok"/>
        </w:rPr>
        <w:t xml:space="preserve">lead)</w:t>
      </w:r>
      <w:r>
        <w:br/>
      </w:r>
      <w:r>
        <w:rPr>
          <w:rStyle w:val="NormalTok"/>
        </w:rPr>
        <w:t xml:space="preserve">    y </w:t>
      </w:r>
      <w:r>
        <w:rPr>
          <w:rStyle w:val="OperatorTok"/>
        </w:rPr>
        <w:t xml:space="preserve">=</w:t>
      </w:r>
      <w:r>
        <w:rPr>
          <w:rStyle w:val="NormalTok"/>
        </w:rPr>
        <w:t xml:space="preserve"> df[</w:t>
      </w:r>
      <w:r>
        <w:rPr>
          <w:rStyle w:val="StringTok"/>
        </w:rPr>
        <w:t xml:space="preserve">"d_cpi_all"</w:t>
      </w:r>
      <w:r>
        <w:rPr>
          <w:rStyle w:val="NormalTok"/>
        </w:rPr>
        <w:t xml:space="preserve">].shift(</w:t>
      </w:r>
      <w:r>
        <w:rPr>
          <w:rStyle w:val="OperatorTok"/>
        </w:rPr>
        <w:t xml:space="preserve">-</w:t>
      </w:r>
      <w:r>
        <w:rPr>
          <w:rStyle w:val="NormalTok"/>
        </w:rPr>
        <w:t xml:space="preserve">h)                    </w:t>
      </w:r>
      <w:r>
        <w:rPr>
          <w:rStyle w:val="CommentTok"/>
        </w:rPr>
        <w:t xml:space="preserve"># outcome h months ahead</w:t>
      </w:r>
      <w:r>
        <w:br/>
      </w:r>
      <w:r>
        <w:rPr>
          <w:rStyle w:val="NormalTok"/>
        </w:rPr>
        <w:t xml:space="preserve">    data </w:t>
      </w:r>
      <w:r>
        <w:rPr>
          <w:rStyle w:val="OperatorTok"/>
        </w:rPr>
        <w:t xml:space="preserve">=</w:t>
      </w:r>
      <w:r>
        <w:rPr>
          <w:rStyle w:val="NormalTok"/>
        </w:rPr>
        <w:t xml:space="preserve"> X.assign(y</w:t>
      </w:r>
      <w:r>
        <w:rPr>
          <w:rStyle w:val="OperatorTok"/>
        </w:rPr>
        <w:t xml:space="preserve">=</w:t>
      </w:r>
      <w:r>
        <w:rPr>
          <w:rStyle w:val="NormalTok"/>
        </w:rPr>
        <w:t xml:space="preserve">y)[df.date </w:t>
      </w:r>
      <w:r>
        <w:rPr>
          <w:rStyle w:val="OperatorTok"/>
        </w:rPr>
        <w:t xml:space="preserve">&gt;=</w:t>
      </w:r>
      <w:r>
        <w:rPr>
          <w:rStyle w:val="NormalTok"/>
        </w:rPr>
        <w:t xml:space="preserve"> </w:t>
      </w:r>
      <w:r>
        <w:rPr>
          <w:rStyle w:val="StringTok"/>
        </w:rPr>
        <w:t xml:space="preserve">"2001-01-01"</w:t>
      </w:r>
      <w:r>
        <w:rPr>
          <w:rStyle w:val="NormalTok"/>
        </w:rPr>
        <w:t xml:space="preserve">].dropna()</w:t>
      </w:r>
      <w:r>
        <w:br/>
      </w:r>
      <w:r>
        <w:rPr>
          <w:rStyle w:val="NormalTok"/>
        </w:rPr>
        <w:t xml:space="preserve">    res </w:t>
      </w:r>
      <w:r>
        <w:rPr>
          <w:rStyle w:val="OperatorTok"/>
        </w:rPr>
        <w:t xml:space="preserve">=</w:t>
      </w:r>
      <w:r>
        <w:rPr>
          <w:rStyle w:val="NormalTok"/>
        </w:rPr>
        <w:t xml:space="preserve"> sm.OLS(data[</w:t>
      </w:r>
      <w:r>
        <w:rPr>
          <w:rStyle w:val="StringTok"/>
        </w:rPr>
        <w:t xml:space="preserve">"y"</w:t>
      </w:r>
      <w:r>
        <w:rPr>
          <w:rStyle w:val="NormalTok"/>
        </w:rPr>
        <w:t xml:space="preserve">], sm.add_constant(data.drop(columns</w:t>
      </w:r>
      <w:r>
        <w:rPr>
          <w:rStyle w:val="OperatorTok"/>
        </w:rPr>
        <w:t xml:space="preserve">=</w:t>
      </w:r>
      <w:r>
        <w:rPr>
          <w:rStyle w:val="StringTok"/>
        </w:rPr>
        <w:t xml:space="preserve">"y"</w:t>
      </w:r>
      <w:r>
        <w:rPr>
          <w:rStyle w:val="NormalTok"/>
        </w:rPr>
        <w:t xml:space="preserve">))).fit(</w:t>
      </w:r>
      <w:r>
        <w:br/>
      </w:r>
      <w:r>
        <w:rPr>
          <w:rStyle w:val="NormalTok"/>
        </w:rPr>
        <w:t xml:space="preserve">        cov_type</w:t>
      </w:r>
      <w:r>
        <w:rPr>
          <w:rStyle w:val="OperatorTok"/>
        </w:rPr>
        <w:t xml:space="preserve">=</w:t>
      </w:r>
      <w:r>
        <w:rPr>
          <w:rStyle w:val="StringTok"/>
        </w:rPr>
        <w:t xml:space="preserve">"HAC"</w:t>
      </w:r>
      <w:r>
        <w:rPr>
          <w:rStyle w:val="NormalTok"/>
        </w:rPr>
        <w:t xml:space="preserve">, cov_kwds</w:t>
      </w:r>
      <w:r>
        <w:rPr>
          <w:rStyle w:val="OperatorTok"/>
        </w:rPr>
        <w:t xml:space="preserve">=</w:t>
      </w:r>
      <w:r>
        <w:rPr>
          <w:rStyle w:val="NormalTok"/>
        </w:rPr>
        <w:t xml:space="preserve">{</w:t>
      </w:r>
      <w:r>
        <w:rPr>
          <w:rStyle w:val="StringTok"/>
        </w:rPr>
        <w:t xml:space="preserve">"maxlags"</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Newey-West</w:t>
      </w:r>
      <w:r>
        <w:br/>
      </w:r>
      <w:r>
        <w:rPr>
          <w:rStyle w:val="NormalTok"/>
        </w:rPr>
        <w:t xml:space="preserve">    </w:t>
      </w:r>
      <w:r>
        <w:rPr>
          <w:rStyle w:val="ControlFlowTok"/>
        </w:rPr>
        <w:t xml:space="preserve">return</w:t>
      </w:r>
      <w:r>
        <w:rPr>
          <w:rStyle w:val="NormalTok"/>
        </w:rPr>
        <w:t xml:space="preserve"> res.params[</w:t>
      </w:r>
      <w:r>
        <w:rPr>
          <w:rStyle w:val="StringTok"/>
        </w:rPr>
        <w:t xml:space="preserve">"d_fuel"</w:t>
      </w:r>
      <w:r>
        <w:rPr>
          <w:rStyle w:val="NormalTok"/>
        </w:rPr>
        <w:t xml:space="preserve">], res.bse[</w:t>
      </w:r>
      <w:r>
        <w:rPr>
          <w:rStyle w:val="StringTok"/>
        </w:rPr>
        <w:t xml:space="preserve">"d_fuel"</w:t>
      </w:r>
      <w:r>
        <w:rPr>
          <w:rStyle w:val="NormalTok"/>
        </w:rPr>
        <w:t xml:space="preserve">]</w:t>
      </w:r>
    </w:p>
    <w:p>
      <w:pPr>
        <w:pStyle w:val="FirstParagraph"/>
      </w:pPr>
      <w:r>
        <w:t xml:space="preserve">The function</w:t>
      </w:r>
      <w:r>
        <w:t xml:space="preserve"> </w:t>
      </w:r>
      <w:r>
        <w:rPr>
          <w:rStyle w:val="VerbatimChar"/>
        </w:rPr>
        <w:t xml:space="preserve">local_projection</w:t>
      </w:r>
      <w:r>
        <w:t xml:space="preserve"> </w:t>
      </w:r>
      <w:r>
        <w:t xml:space="preserve">in</w:t>
      </w:r>
      <w:r>
        <w:t xml:space="preserve"> </w:t>
      </w:r>
      <w:r>
        <w:rPr>
          <w:rStyle w:val="VerbatimChar"/>
        </w:rPr>
        <w:t xml:space="preserve">ospd/lp.py</w:t>
      </w:r>
      <w:r>
        <w:t xml:space="preserve"> </w:t>
      </w:r>
      <w:r>
        <w:t xml:space="preserve">does the same for all horizons, for panels (with</w:t>
      </w:r>
      <w:r>
        <w:t xml:space="preserve"> </w:t>
      </w:r>
      <w:r>
        <w:rPr>
          <w:rStyle w:val="VerbatimChar"/>
        </w:rPr>
        <w:t xml:space="preserve">linearmodels.PanelOLS</w:t>
      </w:r>
      <w:r>
        <w:t xml:space="preserve"> </w:t>
      </w:r>
      <w:r>
        <w:t xml:space="preserve">and Driscoll–Kraay errors), with interactions, controls and cumulative outcomes. For example, the regional estimate of RQ2 is obtained with</w:t>
      </w:r>
    </w:p>
    <w:p>
      <w:pPr>
        <w:pStyle w:val="SourceCode"/>
      </w:pPr>
      <w:r>
        <w:rPr>
          <w:rStyle w:val="ImportTok"/>
        </w:rPr>
        <w:t xml:space="preserve">from</w:t>
      </w:r>
      <w:r>
        <w:rPr>
          <w:rStyle w:val="NormalTok"/>
        </w:rPr>
        <w:t xml:space="preserve"> ospd.lp </w:t>
      </w:r>
      <w:r>
        <w:rPr>
          <w:rStyle w:val="ImportTok"/>
        </w:rPr>
        <w:t xml:space="preserve">import</w:t>
      </w:r>
      <w:r>
        <w:rPr>
          <w:rStyle w:val="NormalTok"/>
        </w:rPr>
        <w:t xml:space="preserve"> local_projection</w:t>
      </w:r>
      <w:r>
        <w:br/>
      </w:r>
      <w:r>
        <w:rPr>
          <w:rStyle w:val="NormalTok"/>
        </w:rPr>
        <w:t xml:space="preserve">res </w:t>
      </w:r>
      <w:r>
        <w:rPr>
          <w:rStyle w:val="OperatorTok"/>
        </w:rPr>
        <w:t xml:space="preserve">=</w:t>
      </w:r>
      <w:r>
        <w:rPr>
          <w:rStyle w:val="NormalTok"/>
        </w:rPr>
        <w:t xml:space="preserve"> local_projection(regional_panel, y</w:t>
      </w:r>
      <w:r>
        <w:rPr>
          <w:rStyle w:val="OperatorTok"/>
        </w:rPr>
        <w:t xml:space="preserve">=</w:t>
      </w:r>
      <w:r>
        <w:rPr>
          <w:rStyle w:val="StringTok"/>
        </w:rPr>
        <w:t xml:space="preserve">"d_ratio"</w:t>
      </w:r>
      <w:r>
        <w:rPr>
          <w:rStyle w:val="NormalTok"/>
        </w:rPr>
        <w:t xml:space="preserve">, x</w:t>
      </w:r>
      <w:r>
        <w:rPr>
          <w:rStyle w:val="OperatorTok"/>
        </w:rPr>
        <w:t xml:space="preserve">=</w:t>
      </w:r>
      <w:r>
        <w:rPr>
          <w:rStyle w:val="StringTok"/>
        </w:rPr>
        <w:t xml:space="preserve">"d_fuel"</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"region"</w:t>
      </w:r>
      <w:r>
        <w:rPr>
          <w:rStyle w:val="NormalTok"/>
        </w:rPr>
        <w:t xml:space="preserve">,</w:t>
      </w:r>
      <w:r>
        <w:br/>
      </w:r>
      <w:r>
        <w:rPr>
          <w:rStyle w:val="NormalTok"/>
        </w:rPr>
        <w:t xml:space="preserve">                       horizons</w:t>
      </w:r>
      <w:r>
        <w:rPr>
          <w:rStyle w:val="OperatorTok"/>
        </w:rPr>
        <w:t xml:space="preserve">=</w:t>
      </w:r>
      <w:r>
        <w:rPr>
          <w:rStyle w:val="DecValTok"/>
        </w:rPr>
        <w:t xml:space="preserve">12</w:t>
      </w:r>
      <w:r>
        <w:rPr>
          <w:rStyle w:val="NormalTok"/>
        </w:rPr>
        <w:t xml:space="preserve">, p</w:t>
      </w:r>
      <w:r>
        <w:rPr>
          <w:rStyle w:val="OperatorTok"/>
        </w:rPr>
        <w:t xml:space="preserve">=</w:t>
      </w:r>
      <w:r>
        <w:rPr>
          <w:rStyle w:val="DecValTok"/>
        </w:rPr>
        <w:t xml:space="preserve">12</w:t>
      </w:r>
      <w:r>
        <w:rPr>
          <w:rStyle w:val="NormalTok"/>
        </w:rPr>
        <w:t xml:space="preserve">, se</w:t>
      </w:r>
      <w:r>
        <w:rPr>
          <w:rStyle w:val="OperatorTok"/>
        </w:rPr>
        <w:t xml:space="preserve">=</w:t>
      </w:r>
      <w:r>
        <w:rPr>
          <w:rStyle w:val="StringTok"/>
        </w:rPr>
        <w:t xml:space="preserve">"driscoll_kraay"</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sample</w:t>
      </w:r>
      <w:r>
        <w:rPr>
          <w:rStyle w:val="OperatorTok"/>
        </w:rPr>
        <w:t xml:space="preserve">=</w:t>
      </w:r>
      <w:r>
        <w:rPr>
          <w:rStyle w:val="NormalTok"/>
        </w:rPr>
        <w:t xml:space="preserve">regional_panel.date </w:t>
      </w:r>
      <w:r>
        <w:rPr>
          <w:rStyle w:val="OperatorTok"/>
        </w:rPr>
        <w:t xml:space="preserve">&gt;=</w:t>
      </w:r>
      <w:r>
        <w:rPr>
          <w:rStyle w:val="NormalTok"/>
        </w:rPr>
        <w:t xml:space="preserve"> </w:t>
      </w:r>
      <w:r>
        <w:rPr>
          <w:rStyle w:val="StringTok"/>
        </w:rPr>
        <w:t xml:space="preserve">"2001-01-01"</w:t>
      </w:r>
      <w:r>
        <w:rPr>
          <w:rStyle w:val="NormalTok"/>
        </w:rPr>
        <w:t xml:space="preserve">)</w:t>
      </w:r>
    </w:p>
    <w:p>
      <w:pPr>
        <w:pStyle w:val="FirstParagraph"/>
      </w:pPr>
      <w:r>
        <w:t xml:space="preserve">which returns one row per horizon with the coefficient, its standard error, the 90% band, the number of observations and the R². The whole study — downloads, cleaning, validation, estimation, figures, tables and this document — is reproduced with the single command</w:t>
      </w:r>
      <w:r>
        <w:t xml:space="preserve"> </w:t>
      </w:r>
      <w:r>
        <w:rPr>
          <w:rStyle w:val="VerbatimChar"/>
        </w:rPr>
        <w:t xml:space="preserve">./run_all.sh</w:t>
      </w:r>
      <w:r>
        <w:t xml:space="preserve">.</w:t>
      </w:r>
    </w:p>
    <w:bookmarkEnd w:id="43"/>
    <w:bookmarkStart w:id="44" w:name="common-pitfalls"/>
    <w:p>
      <w:pPr>
        <w:pStyle w:val="Heading2"/>
      </w:pPr>
      <w:r>
        <w:t xml:space="preserve">3.9 Common pitfalls</w:t>
      </w:r>
    </w:p>
    <w:p>
      <w:pPr>
        <w:pStyle w:val="Compact"/>
        <w:numPr>
          <w:ilvl w:val="0"/>
          <w:numId w:val="1005"/>
        </w:numPr>
      </w:pPr>
      <w:r>
        <w:rPr>
          <w:i/>
          <w:iCs/>
        </w:rPr>
        <w:t xml:space="preserve">Calendar gaps.</w:t>
      </w:r>
      <w:r>
        <w:t xml:space="preserve"> </w:t>
      </w:r>
      <w:r>
        <w:t xml:space="preserve">If a month is missing and rows are simply stacked,</w:t>
      </w:r>
      <w:r>
        <w:t xml:space="preserve"> </w:t>
      </w:r>
      <w:r>
        <w:t xml:space="preserve">“lag 1”</w:t>
      </w:r>
      <w:r>
        <w:t xml:space="preserve"> </w:t>
      </w:r>
      <w:r>
        <w:t xml:space="preserve">silently becomes a two-month lag. Always reindex to a complete monthly calendar.</w:t>
      </w:r>
    </w:p>
    <w:p>
      <w:pPr>
        <w:pStyle w:val="Compact"/>
        <w:numPr>
          <w:ilvl w:val="0"/>
          <w:numId w:val="1005"/>
        </w:numPr>
      </w:pPr>
      <w:r>
        <w:rPr>
          <w:i/>
          <w:iCs/>
        </w:rPr>
        <w:t xml:space="preserve">Sample restriction before lagging.</w:t>
      </w:r>
      <w:r>
        <w:t xml:space="preserve"> </w:t>
      </w:r>
      <w:r>
        <w:t xml:space="preserve">Restricting the sample first throws away the data needed for the lags of the first observations.</w:t>
      </w:r>
    </w:p>
    <w:p>
      <w:pPr>
        <w:pStyle w:val="Compact"/>
        <w:numPr>
          <w:ilvl w:val="0"/>
          <w:numId w:val="1005"/>
        </w:numPr>
      </w:pPr>
      <w:r>
        <w:rPr>
          <w:i/>
          <w:iCs/>
        </w:rPr>
        <w:t xml:space="preserve">Splices and base changes.</w:t>
      </w:r>
      <w:r>
        <w:t xml:space="preserve"> </w:t>
      </w:r>
      <w:r>
        <w:t xml:space="preserve">Joining series with different bases can create artificial jumps; check the months where series are joined (Section 4.2.3).</w:t>
      </w:r>
    </w:p>
    <w:p>
      <w:pPr>
        <w:pStyle w:val="Compact"/>
        <w:numPr>
          <w:ilvl w:val="0"/>
          <w:numId w:val="1005"/>
        </w:numPr>
      </w:pPr>
      <w:r>
        <w:rPr>
          <w:i/>
          <w:iCs/>
        </w:rPr>
        <w:t xml:space="preserve">Seasonality.</w:t>
      </w:r>
      <w:r>
        <w:t xml:space="preserve"> </w:t>
      </w:r>
      <w:r>
        <w:t xml:space="preserve">With non-seasonally-adjusted data, twelve lags are needed; fewer lags leave seasonality in the errors.</w:t>
      </w:r>
    </w:p>
    <w:p>
      <w:pPr>
        <w:pStyle w:val="Compact"/>
        <w:numPr>
          <w:ilvl w:val="0"/>
          <w:numId w:val="1005"/>
        </w:numPr>
      </w:pPr>
      <w:r>
        <w:rPr>
          <w:i/>
          <w:iCs/>
        </w:rPr>
        <w:t xml:space="preserve">Reading per-horizon coefficients as level effects.</w:t>
      </w:r>
      <w:r>
        <w:t xml:space="preserve"> </w:t>
      </w:r>
      <w:r>
        <w:t xml:space="preserve">β</w:t>
      </w:r>
      <w:r>
        <w:rPr>
          <w:vertAlign w:val="subscript"/>
        </w:rPr>
        <w:t xml:space="preserve">h</w:t>
      </w:r>
      <w:r>
        <w:t xml:space="preserve"> </w:t>
      </w:r>
      <w:r>
        <w:t xml:space="preserve">is an effect on monthly inflation, not on the price level; report cumulative responses for level questions.</w:t>
      </w:r>
    </w:p>
    <w:p>
      <w:pPr>
        <w:pStyle w:val="Compact"/>
        <w:numPr>
          <w:ilvl w:val="0"/>
          <w:numId w:val="1005"/>
        </w:numPr>
      </w:pPr>
      <w:r>
        <w:rPr>
          <w:i/>
          <w:iCs/>
        </w:rPr>
        <w:t xml:space="preserve">Multiple testing.</w:t>
      </w:r>
      <w:r>
        <w:t xml:space="preserve"> </w:t>
      </w:r>
      <w:r>
        <w:t xml:space="preserve">Testing many groups or horizons makes some</w:t>
      </w:r>
      <w:r>
        <w:t xml:space="preserve"> </w:t>
      </w:r>
      <w:r>
        <w:t xml:space="preserve">“significant”</w:t>
      </w:r>
      <w:r>
        <w:t xml:space="preserve"> </w:t>
      </w:r>
      <w:r>
        <w:t xml:space="preserve">results likely by chance; report how many tests were run and correct for them.</w:t>
      </w:r>
    </w:p>
    <w:bookmarkEnd w:id="44"/>
    <w:bookmarkEnd w:id="45"/>
    <w:bookmarkStart w:id="58" w:name="chapter-4.-methodology"/>
    <w:p>
      <w:pPr>
        <w:pStyle w:val="Heading1"/>
      </w:pPr>
      <w:r>
        <w:t xml:space="preserve">Chapter 4. Methodology</w:t>
      </w:r>
    </w:p>
    <w:bookmarkStart w:id="46" w:name="research-design"/>
    <w:p>
      <w:pPr>
        <w:pStyle w:val="Heading2"/>
      </w:pPr>
      <w:r>
        <w:t xml:space="preserve">4.1 Research design</w:t>
      </w:r>
    </w:p>
    <w:p>
      <w:pPr>
        <w:pStyle w:val="FirstParagraph"/>
      </w:pPr>
      <w:r>
        <w:t xml:space="preserve">The study is quantitative and uses secondary, publicly available monthly data. It combines descriptive time-series analysis (Objective 1), econometric estimation with local projections on national time series and a regional panel (Objective 2), and counterfactual and accounting analysis of the 2026 episode (Objective 3). All specifications for Objective 2 were written in a decision log before any Philippine estimate was produced; analyses added afterwards are labelled as supplementary.</w:t>
      </w:r>
    </w:p>
    <w:bookmarkEnd w:id="46"/>
    <w:bookmarkStart w:id="50" w:name="data"/>
    <w:p>
      <w:pPr>
        <w:pStyle w:val="Heading2"/>
      </w:pPr>
      <w:r>
        <w:t xml:space="preserve">4.2 Data</w:t>
      </w:r>
    </w:p>
    <w:bookmarkStart w:id="47" w:name="sources-and-variables"/>
    <w:p>
      <w:pPr>
        <w:pStyle w:val="Heading3"/>
      </w:pPr>
      <w:r>
        <w:t xml:space="preserve">4.2.1 Sources and variables</w:t>
      </w:r>
    </w:p>
    <w:p>
      <w:pPr>
        <w:pStyle w:val="FirstParagraph"/>
      </w:pPr>
      <w:r>
        <w:t xml:space="preserve">Table 1 lists the data. All price data come from PSA OpenSTAT</w:t>
      </w:r>
      <w:r>
        <w:t xml:space="preserve"> </w:t>
      </w:r>
      <w:r>
        <w:t xml:space="preserve">(</w:t>
      </w:r>
      <w:hyperlink w:anchor="ref-psa_openstat_2026">
        <w:r>
          <w:rPr>
            <w:rStyle w:val="Hyperlink"/>
          </w:rPr>
          <w:t xml:space="preserve">Philippine Statistics Authority 2026</w:t>
        </w:r>
      </w:hyperlink>
      <w:r>
        <w:t xml:space="preserve">)</w:t>
      </w:r>
      <w:r>
        <w:t xml:space="preserve"> </w:t>
      </w:r>
      <w:r>
        <w:t xml:space="preserve">and were downloaded through its public application programming interface on 4 October 2026.</w:t>
      </w:r>
    </w:p>
    <w:p>
      <w:pPr>
        <w:pStyle w:val="BodyText"/>
      </w:pPr>
      <w:r>
        <w:rPr>
          <w:b/>
          <w:bCs/>
        </w:rPr>
        <w:t xml:space="preserve">Table 1. Data sources and variables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Definition and source</w:t>
            </w:r>
          </w:p>
        </w:tc>
        <w:tc>
          <w:tcPr/>
          <w:p>
            <w:pPr>
              <w:pStyle w:val="Compact"/>
            </w:pPr>
            <w:r>
              <w:t xml:space="preserve">Coverage</w:t>
            </w:r>
          </w:p>
        </w:tc>
        <w:tc>
          <w:tcPr/>
          <w:p>
            <w:pPr>
              <w:pStyle w:val="Compact"/>
            </w:pPr>
            <w:r>
              <w:t xml:space="preserve">Use</w:t>
            </w:r>
          </w:p>
        </w:tc>
      </w:tr>
      <w:tr>
        <w:tc>
          <w:tcPr/>
          <w:p>
            <w:pPr>
              <w:pStyle w:val="Compact"/>
            </w:pPr>
            <w:r>
              <w:t xml:space="preserve">CPI, all income households</w:t>
            </w:r>
          </w:p>
        </w:tc>
        <w:tc>
          <w:tcPr/>
          <w:p>
            <w:pPr>
              <w:pStyle w:val="Compact"/>
            </w:pPr>
            <w:r>
              <w:t xml:space="preserve">All items and 13 COICOP divisions, 2018 = 100; PSA</w:t>
            </w:r>
          </w:p>
        </w:tc>
        <w:tc>
          <w:tcPr/>
          <w:p>
            <w:pPr>
              <w:pStyle w:val="Compact"/>
            </w:pPr>
            <w:r>
              <w:t xml:space="preserve">Jan 1994–Aug 2026; national and 17 regions</w:t>
            </w:r>
          </w:p>
        </w:tc>
        <w:tc>
          <w:tcPr/>
          <w:p>
            <w:pPr>
              <w:pStyle w:val="Compact"/>
            </w:pPr>
            <w:r>
              <w:t xml:space="preserve">Objectives 1–3</w:t>
            </w:r>
          </w:p>
        </w:tc>
      </w:tr>
      <w:tr>
        <w:tc>
          <w:tcPr/>
          <w:p>
            <w:pPr>
              <w:pStyle w:val="Compact"/>
            </w:pPr>
            <w:r>
              <w:t xml:space="preserve">CPI, bottom 30% income households</w:t>
            </w:r>
          </w:p>
        </w:tc>
        <w:tc>
          <w:tcPr/>
          <w:p>
            <w:pPr>
              <w:pStyle w:val="Compact"/>
            </w:pPr>
            <w:r>
              <w:t xml:space="preserve">All items (from 2000) and commodity groups (from 2012), 2018 = 100; PSA</w:t>
            </w:r>
          </w:p>
        </w:tc>
        <w:tc>
          <w:tcPr/>
          <w:p>
            <w:pPr>
              <w:pStyle w:val="Compact"/>
            </w:pPr>
            <w:r>
              <w:t xml:space="preserve">Jan 2000–Aug 2026; national and 17 regions</w:t>
            </w:r>
          </w:p>
        </w:tc>
        <w:tc>
          <w:tcPr/>
          <w:p>
            <w:pPr>
              <w:pStyle w:val="Compact"/>
            </w:pPr>
            <w:r>
              <w:t xml:space="preserve">Objectives 1–3</w:t>
            </w:r>
          </w:p>
        </w:tc>
      </w:tr>
      <w:tr>
        <w:tc>
          <w:tcPr/>
          <w:p>
            <w:pPr>
              <w:pStyle w:val="Compact"/>
            </w:pPr>
            <w:r>
              <w:t xml:space="preserve">Fuel price index (shock)</w:t>
            </w:r>
          </w:p>
        </w:tc>
        <w:tc>
          <w:tcPr/>
          <w:p>
            <w:pPr>
              <w:pStyle w:val="Compact"/>
            </w:pPr>
            <w:r>
              <w:t xml:space="preserve">CPI sub-index 07.2.2, fuels and lubricants for personal transport equipment; PSA</w:t>
            </w:r>
          </w:p>
        </w:tc>
        <w:tc>
          <w:tcPr/>
          <w:p>
            <w:pPr>
              <w:pStyle w:val="Compact"/>
            </w:pPr>
            <w:r>
              <w:t xml:space="preserve">Jan 1994–Aug 2026; national and 17 regions</w:t>
            </w:r>
          </w:p>
        </w:tc>
        <w:tc>
          <w:tcPr/>
          <w:p>
            <w:pPr>
              <w:pStyle w:val="Compact"/>
            </w:pPr>
            <w:r>
              <w:t xml:space="preserve">Objectives 1–3</w:t>
            </w:r>
          </w:p>
        </w:tc>
      </w:tr>
      <w:tr>
        <w:tc>
          <w:tcPr/>
          <w:p>
            <w:pPr>
              <w:pStyle w:val="Compact"/>
            </w:pPr>
            <w:r>
              <w:t xml:space="preserve">Gasoline index</w:t>
            </w:r>
          </w:p>
        </w:tc>
        <w:tc>
          <w:tcPr/>
          <w:p>
            <w:pPr>
              <w:pStyle w:val="Compact"/>
            </w:pPr>
            <w:r>
              <w:t xml:space="preserve">CPI sub-index 07.2.2.2; PSA</w:t>
            </w:r>
          </w:p>
        </w:tc>
        <w:tc>
          <w:tcPr/>
          <w:p>
            <w:pPr>
              <w:pStyle w:val="Compact"/>
            </w:pPr>
            <w:r>
              <w:t xml:space="preserve">Jan 2018–Aug 2026</w:t>
            </w:r>
          </w:p>
        </w:tc>
        <w:tc>
          <w:tcPr/>
          <w:p>
            <w:pPr>
              <w:pStyle w:val="Compact"/>
            </w:pPr>
            <w:r>
              <w:t xml:space="preserve">Robustness</w:t>
            </w:r>
          </w:p>
        </w:tc>
      </w:tr>
      <w:tr>
        <w:tc>
          <w:tcPr/>
          <w:p>
            <w:pPr>
              <w:pStyle w:val="Compact"/>
            </w:pPr>
            <w:r>
              <w:t xml:space="preserve">Pump price, Manila RON 91</w:t>
            </w:r>
          </w:p>
        </w:tc>
        <w:tc>
          <w:tcPr/>
          <w:p>
            <w:pPr>
              <w:pStyle w:val="Compact"/>
            </w:pPr>
            <w:r>
              <w:t xml:space="preserve">World Bank Global Fuel Prices Database</w:t>
            </w:r>
            <w:r>
              <w:t xml:space="preserve"> </w:t>
            </w:r>
            <w:r>
              <w:t xml:space="preserve">(</w:t>
            </w:r>
            <w:hyperlink w:anchor="ref-worldbank_gfpd_2025">
              <w:r>
                <w:rPr>
                  <w:rStyle w:val="Hyperlink"/>
                </w:rPr>
                <w:t xml:space="preserve">World Bank 2025</w:t>
              </w:r>
            </w:hyperlink>
            <w:r>
              <w:t xml:space="preserve">)</w:t>
            </w:r>
          </w:p>
        </w:tc>
        <w:tc>
          <w:tcPr/>
          <w:p>
            <w:pPr>
              <w:pStyle w:val="Compact"/>
            </w:pPr>
            <w:r>
              <w:t xml:space="preserve">Jan 2017–Mar 2025</w:t>
            </w:r>
          </w:p>
        </w:tc>
        <w:tc>
          <w:tcPr/>
          <w:p>
            <w:pPr>
              <w:pStyle w:val="Compact"/>
            </w:pPr>
            <w:r>
              <w:t xml:space="preserve">Validation, robustness</w:t>
            </w:r>
          </w:p>
        </w:tc>
      </w:tr>
      <w:tr>
        <w:tc>
          <w:tcPr/>
          <w:p>
            <w:pPr>
              <w:pStyle w:val="Compact"/>
            </w:pPr>
            <w:r>
              <w:t xml:space="preserve">Dubai and Brent crude prices</w:t>
            </w:r>
          </w:p>
        </w:tc>
        <w:tc>
          <w:tcPr/>
          <w:p>
            <w:pPr>
              <w:pStyle w:val="Compact"/>
            </w:pPr>
            <w:r>
              <w:t xml:space="preserve">World Bank Pink Sheet</w:t>
            </w:r>
            <w:r>
              <w:t xml:space="preserve"> </w:t>
            </w:r>
            <w:r>
              <w:t xml:space="preserve">(</w:t>
            </w:r>
            <w:hyperlink w:anchor="ref-worldbank_cmo_2026">
              <w:r>
                <w:rPr>
                  <w:rStyle w:val="Hyperlink"/>
                </w:rPr>
                <w:t xml:space="preserve">World Bank 2026</w:t>
              </w:r>
            </w:hyperlink>
            <w:r>
              <w:t xml:space="preserve">)</w:t>
            </w:r>
          </w:p>
        </w:tc>
        <w:tc>
          <w:tcPr/>
          <w:p>
            <w:pPr>
              <w:pStyle w:val="Compact"/>
            </w:pPr>
            <w:r>
              <w:t xml:space="preserve">Monthly, to Sep 2026</w:t>
            </w:r>
          </w:p>
        </w:tc>
        <w:tc>
          <w:tcPr/>
          <w:p>
            <w:pPr>
              <w:pStyle w:val="Compact"/>
            </w:pPr>
            <w:r>
              <w:t xml:space="preserve">Robustness</w:t>
            </w:r>
          </w:p>
        </w:tc>
      </w:tr>
      <w:tr>
        <w:tc>
          <w:tcPr/>
          <w:p>
            <w:pPr>
              <w:pStyle w:val="Compact"/>
            </w:pPr>
            <w:r>
              <w:t xml:space="preserve">Peso–dollar rate; policy rate</w:t>
            </w:r>
          </w:p>
        </w:tc>
        <w:tc>
          <w:tcPr/>
          <w:p>
            <w:pPr>
              <w:pStyle w:val="Compact"/>
            </w:pPr>
            <w:r>
              <w:t xml:space="preserve">BSP; BIS policy rate database</w:t>
            </w:r>
          </w:p>
        </w:tc>
        <w:tc>
          <w:tcPr/>
          <w:p>
            <w:pPr>
              <w:pStyle w:val="Compact"/>
            </w:pPr>
            <w:r>
              <w:t xml:space="preserve">Monthly</w:t>
            </w:r>
          </w:p>
        </w:tc>
        <w:tc>
          <w:tcPr/>
          <w:p>
            <w:pPr>
              <w:pStyle w:val="Compact"/>
            </w:pPr>
            <w:r>
              <w:t xml:space="preserve">Controls</w:t>
            </w:r>
          </w:p>
        </w:tc>
      </w:tr>
      <w:tr>
        <w:tc>
          <w:tcPr/>
          <w:p>
            <w:pPr>
              <w:pStyle w:val="Compact"/>
            </w:pPr>
            <w:r>
              <w:t xml:space="preserve">FAO Food Price Index</w:t>
            </w:r>
          </w:p>
        </w:tc>
        <w:tc>
          <w:tcPr/>
          <w:p>
            <w:pPr>
              <w:pStyle w:val="Compact"/>
            </w:pPr>
            <w:r>
              <w:t xml:space="preserve">FAO</w:t>
            </w:r>
          </w:p>
        </w:tc>
        <w:tc>
          <w:tcPr/>
          <w:p>
            <w:pPr>
              <w:pStyle w:val="Compact"/>
            </w:pPr>
            <w:r>
              <w:t xml:space="preserve">Monthly</w:t>
            </w:r>
          </w:p>
        </w:tc>
        <w:tc>
          <w:tcPr/>
          <w:p>
            <w:pPr>
              <w:pStyle w:val="Compact"/>
            </w:pPr>
            <w:r>
              <w:t xml:space="preserve">Control</w:t>
            </w:r>
          </w:p>
        </w:tc>
      </w:tr>
      <w:tr>
        <w:tc>
          <w:tcPr/>
          <w:p>
            <w:pPr>
              <w:pStyle w:val="Compact"/>
            </w:pPr>
            <w:r>
              <w:t xml:space="preserve">CPI weights, both baskets</w:t>
            </w:r>
          </w:p>
        </w:tc>
        <w:tc>
          <w:tcPr/>
          <w:p>
            <w:pPr>
              <w:pStyle w:val="Compact"/>
            </w:pPr>
            <w:r>
              <w:t xml:space="preserve">PSA, 2018 basket</w:t>
            </w:r>
          </w:p>
        </w:tc>
        <w:tc>
          <w:tcPr/>
          <w:p>
            <w:pPr>
              <w:pStyle w:val="Compact"/>
            </w:pPr>
            <w:r>
              <w:t xml:space="preserve">National and regional</w:t>
            </w:r>
          </w:p>
        </w:tc>
        <w:tc>
          <w:tcPr/>
          <w:p>
            <w:pPr>
              <w:pStyle w:val="Compact"/>
            </w:pPr>
            <w:r>
              <w:t xml:space="preserve">Decompositions, region groups</w:t>
            </w:r>
          </w:p>
        </w:tc>
      </w:tr>
      <w:tr>
        <w:tc>
          <w:tcPr/>
          <w:p>
            <w:pPr>
              <w:pStyle w:val="Compact"/>
            </w:pPr>
            <w:r>
              <w:t xml:space="preserve">Poverty incidence and thresholds</w:t>
            </w:r>
          </w:p>
        </w:tc>
        <w:tc>
          <w:tcPr/>
          <w:p>
            <w:pPr>
              <w:pStyle w:val="Compact"/>
            </w:pPr>
            <w:r>
              <w:t xml:space="preserve">PSA official poverty statistics</w:t>
            </w:r>
          </w:p>
        </w:tc>
        <w:tc>
          <w:tcPr/>
          <w:p>
            <w:pPr>
              <w:pStyle w:val="Compact"/>
            </w:pPr>
            <w:r>
              <w:t xml:space="preserve">2018, 2021, 2023</w:t>
            </w:r>
          </w:p>
        </w:tc>
        <w:tc>
          <w:tcPr/>
          <w:p>
            <w:pPr>
              <w:pStyle w:val="Compact"/>
            </w:pPr>
            <w:r>
              <w:t xml:space="preserve">Region groups, peso costs</w:t>
            </w:r>
          </w:p>
        </w:tc>
      </w:tr>
      <w:tr>
        <w:tc>
          <w:tcPr/>
          <w:p>
            <w:pPr>
              <w:pStyle w:val="Compact"/>
            </w:pPr>
            <w:r>
              <w:t xml:space="preserve">EU harmonised CPI; EU pump prices with and without taxes</w:t>
            </w:r>
          </w:p>
        </w:tc>
        <w:tc>
          <w:tcPr/>
          <w:p>
            <w:pPr>
              <w:pStyle w:val="Compact"/>
            </w:pPr>
            <w:r>
              <w:t xml:space="preserve">Eurostat; European Commission Weekly Oil Bulletin</w:t>
            </w:r>
            <w:r>
              <w:t xml:space="preserve"> </w:t>
            </w:r>
            <w:r>
              <w:t xml:space="preserve">(</w:t>
            </w:r>
            <w:hyperlink w:anchor="ref-ec_wob_2026">
              <w:r>
                <w:rPr>
                  <w:rStyle w:val="Hyperlink"/>
                </w:rPr>
                <w:t xml:space="preserve">European Commission 2026</w:t>
              </w:r>
            </w:hyperlink>
            <w:r>
              <w:t xml:space="preserve">)</w:t>
            </w:r>
          </w:p>
        </w:tc>
        <w:tc>
          <w:tcPr/>
          <w:p>
            <w:pPr>
              <w:pStyle w:val="Compact"/>
            </w:pPr>
            <w:r>
              <w:t xml:space="preserve">2000–2019</w:t>
            </w:r>
          </w:p>
        </w:tc>
        <w:tc>
          <w:tcPr/>
          <w:p>
            <w:pPr>
              <w:pStyle w:val="Compact"/>
            </w:pPr>
            <w:r>
              <w:t xml:space="preserve">Validation</w:t>
            </w:r>
          </w:p>
        </w:tc>
      </w:tr>
    </w:tbl>
    <w:bookmarkEnd w:id="47"/>
    <w:bookmarkStart w:id="48" w:name="data-collection-procedure"/>
    <w:p>
      <w:pPr>
        <w:pStyle w:val="Heading3"/>
      </w:pPr>
      <w:r>
        <w:t xml:space="preserve">4.2.2 Data collection procedure</w:t>
      </w:r>
    </w:p>
    <w:p>
      <w:pPr>
        <w:pStyle w:val="FirstParagraph"/>
      </w:pPr>
      <w:r>
        <w:t xml:space="preserve">Data were collected by scripts rather than by hand, so that every file can be downloaded again and every step repeated. PSA tables were downloaded through the OpenSTAT API, one geography at a time, for the national and regional rows of 19 tables covering both baskets and all base years; files were saved unchanged and compressed. World Bank, BSP, BIS, FAO, Eurostat and European Commission files were downloaded from their official URLs. Each raw file is recorded in a source log with its URL, download date, base year and coverage. Facts about the 2026 policy response were collected from the text of RA 12316 and from official and news sources, each marked as verified or secondary.</w:t>
      </w:r>
    </w:p>
    <w:bookmarkEnd w:id="48"/>
    <w:bookmarkStart w:id="49" w:name="data-processing"/>
    <w:p>
      <w:pPr>
        <w:pStyle w:val="Heading3"/>
      </w:pPr>
      <w:r>
        <w:t xml:space="preserve">4.2.3 Data processing</w:t>
      </w:r>
    </w:p>
    <w:p>
      <w:pPr>
        <w:pStyle w:val="FirstParagraph"/>
      </w:pPr>
      <w:r>
        <w:t xml:space="preserve">The raw tables were reshaped into one long table (series × region × commodity × month), with region names harmonised to standard codes. Three processing decisions matter for the results.</w:t>
      </w:r>
    </w:p>
    <w:p>
      <w:pPr>
        <w:pStyle w:val="BodyText"/>
      </w:pPr>
      <w:r>
        <w:rPr>
          <w:i/>
          <w:iCs/>
        </w:rPr>
        <w:t xml:space="preserve">Base years.</w:t>
      </w:r>
      <w:r>
        <w:t xml:space="preserve"> </w:t>
      </w:r>
      <w:r>
        <w:t xml:space="preserve">All series are on PSA’s 2018 = 100 base. The bottom-30% all-items index is built by joining PSA’s own backcasts for 2000–2011 and 2012–2017 to the current series from 2018. The joins were checked: month-on-month changes in the 2018-base backcast correlate perfectly with those of the 2012-base series over 2012–2017, and the changes at the joins are consistent with the older series (the January 2018 jump reflects the TRAIN law excise increase). Dummies for the two join months are used as a robustness check.</w:t>
      </w:r>
    </w:p>
    <w:p>
      <w:pPr>
        <w:pStyle w:val="BodyText"/>
      </w:pPr>
      <w:r>
        <w:rPr>
          <w:i/>
          <w:iCs/>
        </w:rPr>
        <w:t xml:space="preserve">Geography.</w:t>
      </w:r>
      <w:r>
        <w:t xml:space="preserve"> </w:t>
      </w:r>
      <w:r>
        <w:t xml:space="preserve">The bottom-30% backcasts exist only under the old geographic code (17 regions, with Negros in Regions VI and VII). The panel therefore uses the old code. For January–August 2026, published only under the new code that separates the Negros Island Region, each region’s new-code monthly changes are chained onto its old-code level; the four regions whose boundaries changed are flagged and dropped in a robustness check.</w:t>
      </w:r>
    </w:p>
    <w:p>
      <w:pPr>
        <w:pStyle w:val="BodyText"/>
      </w:pPr>
      <w:r>
        <w:rPr>
          <w:i/>
          <w:iCs/>
        </w:rPr>
        <w:t xml:space="preserve">The fuel price shock.</w:t>
      </w:r>
      <w:r>
        <w:t xml:space="preserve"> </w:t>
      </w:r>
      <w:r>
        <w:t xml:space="preserve">The reference study’s retail price database is not public. The CPI sub-index 07.2.2 measures the retail prices of motor fuels; its monthly changes correlate at 0.87 with the World Bank’s Manila pump price over 2016–2025 and at 0.99 with PSA’s gasoline-only index.</w:t>
      </w:r>
    </w:p>
    <w:bookmarkEnd w:id="49"/>
    <w:bookmarkEnd w:id="50"/>
    <w:bookmarkStart w:id="54" w:name="methods-by-objective"/>
    <w:p>
      <w:pPr>
        <w:pStyle w:val="Heading2"/>
      </w:pPr>
      <w:r>
        <w:t xml:space="preserve">4.3 Methods by objective</w:t>
      </w:r>
    </w:p>
    <w:bookmarkStart w:id="51" w:name="X17aee22bf335df8505200699c08e8d51a830b07"/>
    <w:p>
      <w:pPr>
        <w:pStyle w:val="Heading3"/>
      </w:pPr>
      <w:r>
        <w:t xml:space="preserve">4.3.1 Objective 1: descriptive statistics and trend analysis</w:t>
      </w:r>
    </w:p>
    <w:p>
      <w:pPr>
        <w:pStyle w:val="FirstParagraph"/>
      </w:pPr>
      <w:r>
        <w:t xml:space="preserve">Monthly changes (100 × Δln) of the fuel index, both CPIs and the gap are summarised by mean, annualised mean, standard deviation, minimum and maximum, for the full period and for 2001–2012, 2013–2019, 2020–2025 and January–August 2026. Annual inflation is the average of the twelve monthly year-on-year rates.</w:t>
      </w:r>
      <w:r>
        <w:t xml:space="preserve"> </w:t>
      </w:r>
      <w:r>
        <w:rPr>
          <w:i/>
          <w:iCs/>
        </w:rPr>
        <w:t xml:space="preserve">Fuel-shock episodes</w:t>
      </w:r>
      <w:r>
        <w:t xml:space="preserve"> </w:t>
      </w:r>
      <w:r>
        <w:t xml:space="preserve">are runs of at least three consecutive months in which the fuel index was 15% or more above its level a year earlier; for each, we report the peak fuel increase and average inflation for both groups. Cross-correlations between the fuel change in month</w:t>
      </w:r>
      <w:r>
        <w:t xml:space="preserve"> </w:t>
      </w:r>
      <w:r>
        <w:rPr>
          <w:i/>
          <w:iCs/>
        </w:rPr>
        <w:t xml:space="preserve">t</w:t>
      </w:r>
      <w:r>
        <w:t xml:space="preserve"> </w:t>
      </w:r>
      <w:r>
        <w:t xml:space="preserve">and the price changes in month</w:t>
      </w:r>
      <w:r>
        <w:t xml:space="preserve"> </w:t>
      </w:r>
      <w:r>
        <w:rPr>
          <w:i/>
          <w:iCs/>
        </w:rPr>
        <w:t xml:space="preserve">t + k</w:t>
      </w:r>
      <w:r>
        <w:t xml:space="preserve">,</w:t>
      </w:r>
      <w:r>
        <w:t xml:space="preserve"> </w:t>
      </w:r>
      <w:r>
        <w:rPr>
          <w:i/>
          <w:iCs/>
        </w:rPr>
        <w:t xml:space="preserve">k</w:t>
      </w:r>
      <w:r>
        <w:t xml:space="preserve"> </w:t>
      </w:r>
      <w:r>
        <w:t xml:space="preserve">= 0, …, 12, describe the timing of co-movement. For each region we report average inflation for both groups over 2001–2025, the cumulative change in the gap, fuel price volatility, poverty and food share. Augmented Dickey–Fuller tests (constant and trend in levels, constant in differences; lag length by AIC) establish the order of integration of the series.</w:t>
      </w:r>
    </w:p>
    <w:bookmarkEnd w:id="51"/>
    <w:bookmarkStart w:id="52" w:name="Xae5ebd5f1329c62e6cab65ef817f7c815c5afbc"/>
    <w:p>
      <w:pPr>
        <w:pStyle w:val="Heading3"/>
      </w:pPr>
      <w:r>
        <w:t xml:space="preserve">4.3.2 Objective 2: estimation of pass-through and distributional effects</w:t>
      </w:r>
    </w:p>
    <w:p>
      <w:pPr>
        <w:pStyle w:val="FirstParagraph"/>
      </w:pPr>
      <w:r>
        <w:t xml:space="preserve">The local projection model of Chapter 3 is estimated with</w:t>
      </w:r>
      <w:r>
        <w:t xml:space="preserve"> </w:t>
      </w:r>
      <w:r>
        <w:rPr>
          <w:i/>
          <w:iCs/>
        </w:rPr>
        <w:t xml:space="preserve">p</w:t>
      </w:r>
      <w:r>
        <w:t xml:space="preserve"> </w:t>
      </w:r>
      <w:r>
        <w:t xml:space="preserve">= 12 lags, horizons</w:t>
      </w:r>
      <w:r>
        <w:t xml:space="preserve"> </w:t>
      </w:r>
      <w:r>
        <w:rPr>
          <w:i/>
          <w:iCs/>
        </w:rPr>
        <w:t xml:space="preserve">h</w:t>
      </w:r>
      <w:r>
        <w:t xml:space="preserve"> </w:t>
      </w:r>
      <w:r>
        <w:t xml:space="preserve">= 0, …, 12 and shock dates from January 2001 to August 2026:</w:t>
      </w:r>
    </w:p>
    <w:p>
      <w:pPr>
        <w:pStyle w:val="Compact"/>
        <w:numPr>
          <w:ilvl w:val="0"/>
          <w:numId w:val="1006"/>
        </w:numPr>
      </w:pPr>
      <w:r>
        <w:rPr>
          <w:b/>
          <w:bCs/>
        </w:rPr>
        <w:t xml:space="preserve">RQ1:</w:t>
      </w:r>
      <w:r>
        <w:t xml:space="preserve"> </w:t>
      </w:r>
      <w:r>
        <w:t xml:space="preserve">national, outcome Δln CPI all income and Δln CPI bottom 30%; Newey–West errors.</w:t>
      </w:r>
    </w:p>
    <w:p>
      <w:pPr>
        <w:pStyle w:val="Compact"/>
        <w:numPr>
          <w:ilvl w:val="0"/>
          <w:numId w:val="1006"/>
        </w:numPr>
      </w:pPr>
      <w:r>
        <w:rPr>
          <w:b/>
          <w:bCs/>
        </w:rPr>
        <w:t xml:space="preserve">RQ2:</w:t>
      </w:r>
      <w:r>
        <w:t xml:space="preserve"> </w:t>
      </w:r>
      <w:r>
        <w:t xml:space="preserve">national, outcome ΔD = Δln(CPI all/CPI b30). A positive cumulative response supports H2a (progressive), a negative one H2b (regressive). The pre-specified judgement is based on the cumulative response at six and twelve months.</w:t>
      </w:r>
    </w:p>
    <w:p>
      <w:pPr>
        <w:pStyle w:val="Compact"/>
        <w:numPr>
          <w:ilvl w:val="0"/>
          <w:numId w:val="1006"/>
        </w:numPr>
      </w:pPr>
      <w:r>
        <w:rPr>
          <w:b/>
          <w:bCs/>
        </w:rPr>
        <w:t xml:space="preserve">RQ3:</w:t>
      </w:r>
      <w:r>
        <w:t xml:space="preserve"> </w:t>
      </w:r>
      <w:r>
        <w:t xml:space="preserve">national, outcome each of the 13 COICOP divisions of the all-income CPI; and, from 2013, the matching bottom-30% divisions. A decomposition multiplies each division’s cumulative response by the difference in its weight between the two baskets, which shows what the gap would be if both groups faced the same price change within each division.</w:t>
      </w:r>
    </w:p>
    <w:p>
      <w:pPr>
        <w:pStyle w:val="Compact"/>
        <w:numPr>
          <w:ilvl w:val="0"/>
          <w:numId w:val="1006"/>
        </w:numPr>
      </w:pPr>
      <w:r>
        <w:rPr>
          <w:b/>
          <w:bCs/>
        </w:rPr>
        <w:t xml:space="preserve">RQ4:</w:t>
      </w:r>
      <w:r>
        <w:t xml:space="preserve"> </w:t>
      </w:r>
      <w:r>
        <w:t xml:space="preserve">regional panel of ΔD on each region’s own fuel index, with region fixed effects and Driscoll–Kraay errors; then, one at a time, the interaction with dummies for high poverty (2018 poverty incidence above the median of the 17 regions), high food share (food share of the regional basket above the median), Mindanao (IX, X, XI, XII, XIII and BARMM) and island regions (MIMAROPA, VI, VII and VIII).</w:t>
      </w:r>
    </w:p>
    <w:p>
      <w:pPr>
        <w:pStyle w:val="Compact"/>
        <w:numPr>
          <w:ilvl w:val="0"/>
          <w:numId w:val="1006"/>
        </w:numPr>
      </w:pPr>
      <w:r>
        <w:rPr>
          <w:b/>
          <w:bCs/>
        </w:rPr>
        <w:t xml:space="preserve">Robustness:</w:t>
      </w:r>
      <w:r>
        <w:t xml:space="preserve"> </w:t>
      </w:r>
      <w:r>
        <w:t xml:space="preserve">crude oil (Dubai, in pesos) as the shock; controls for the exchange rate, policy rate and world food prices; 6 and 18 lags; excluding 2020; shock dates only to December 2025; dummies for the base-change months; asymmetry between increases and decreases; the reference study’s window (to June 2019); the gasoline index and the World Bank pump price as shocks; and, in the panel, leaving out one region at a time, dropping the re-mapped 2026 observations and using the national instead of the regional fuel index. Supplementary analyses split the sample at 2012/2013 and exclude 2008.</w:t>
      </w:r>
    </w:p>
    <w:bookmarkEnd w:id="52"/>
    <w:bookmarkStart w:id="53" w:name="objective-3-policy-implications"/>
    <w:p>
      <w:pPr>
        <w:pStyle w:val="Heading3"/>
      </w:pPr>
      <w:r>
        <w:t xml:space="preserve">4.3.3 Objective 3: policy implications</w:t>
      </w:r>
    </w:p>
    <w:p>
      <w:pPr>
        <w:pStyle w:val="Compact"/>
        <w:numPr>
          <w:ilvl w:val="0"/>
          <w:numId w:val="1007"/>
        </w:numPr>
      </w:pPr>
      <w:r>
        <w:rPr>
          <w:b/>
          <w:bCs/>
        </w:rPr>
        <w:t xml:space="preserve">Out-of-sample test of the 2026 shock.</w:t>
      </w:r>
      <w:r>
        <w:t xml:space="preserve"> </w:t>
      </w:r>
      <w:r>
        <w:t xml:space="preserve">The cumulative responses are re-estimated on data ending in December 2025 and applied to the observed 2026 fuel path: the fuel-driven change in the price level between December 2025 and month</w:t>
      </w:r>
      <w:r>
        <w:t xml:space="preserve"> </w:t>
      </w:r>
      <w:r>
        <w:rPr>
          <w:i/>
          <w:iCs/>
        </w:rPr>
        <w:t xml:space="preserve">m</w:t>
      </w:r>
      <w:r>
        <w:t xml:space="preserve"> </w:t>
      </w:r>
      <w:r>
        <w:t xml:space="preserve">is Σ</w:t>
      </w:r>
      <w:r>
        <w:rPr>
          <w:vertAlign w:val="subscript"/>
        </w:rPr>
        <w:t xml:space="preserve">s</w:t>
      </w:r>
      <w:r>
        <w:t xml:space="preserve"> </w:t>
      </w:r>
      <w:r>
        <w:t xml:space="preserve">β</w:t>
      </w:r>
      <w:r>
        <w:rPr>
          <w:vertAlign w:val="superscript"/>
        </w:rPr>
        <w:t xml:space="preserve">cum</w:t>
      </w:r>
      <w:r>
        <w:rPr>
          <w:vertAlign w:val="subscript"/>
        </w:rPr>
        <w:t xml:space="preserve">m−s</w:t>
      </w:r>
      <w:r>
        <w:t xml:space="preserve"> </w:t>
      </w:r>
      <w:r>
        <w:t xml:space="preserve">Δln F</w:t>
      </w:r>
      <w:r>
        <w:rPr>
          <w:vertAlign w:val="subscript"/>
        </w:rPr>
        <w:t xml:space="preserve">s</w:t>
      </w:r>
      <w:r>
        <w:t xml:space="preserve">, summed over the 2026 months up to</w:t>
      </w:r>
      <w:r>
        <w:t xml:space="preserve"> </w:t>
      </w:r>
      <w:r>
        <w:rPr>
          <w:i/>
          <w:iCs/>
        </w:rPr>
        <w:t xml:space="preserve">m</w:t>
      </w:r>
      <w:r>
        <w:t xml:space="preserve">. This is compared with the actual change.</w:t>
      </w:r>
    </w:p>
    <w:p>
      <w:pPr>
        <w:pStyle w:val="Compact"/>
        <w:numPr>
          <w:ilvl w:val="0"/>
          <w:numId w:val="1007"/>
        </w:numPr>
      </w:pPr>
      <w:r>
        <w:rPr>
          <w:b/>
          <w:bCs/>
        </w:rPr>
        <w:t xml:space="preserve">Regional burden and peso cost.</w:t>
      </w:r>
      <w:r>
        <w:t xml:space="preserve"> </w:t>
      </w:r>
      <w:r>
        <w:t xml:space="preserve">The pooled regional responses are applied to each region’s fuel path. The fuel-driven rise in the bottom-30% CPI is converted to pesos for a family of five living at the official poverty line (the 2023 regional per-capita poverty threshold × 5 / 12, carried to December 2025 with the regional bottom-30% CPI).</w:t>
      </w:r>
    </w:p>
    <w:p>
      <w:pPr>
        <w:pStyle w:val="Compact"/>
        <w:numPr>
          <w:ilvl w:val="0"/>
          <w:numId w:val="1007"/>
        </w:numPr>
      </w:pPr>
      <w:r>
        <w:rPr>
          <w:b/>
          <w:bCs/>
        </w:rPr>
        <w:t xml:space="preserve">Mechanism.</w:t>
      </w:r>
      <w:r>
        <w:t xml:space="preserve"> </w:t>
      </w:r>
      <w:r>
        <w:t xml:space="preserve">National responses (2013–2026) of the bottom-30% and all-income sub-indices for electricity, gas and other fuels, LPG, kerosene, solid fuels, passenger transport services and cereals, with their weights in each basket.</w:t>
      </w:r>
    </w:p>
    <w:p>
      <w:pPr>
        <w:pStyle w:val="Compact"/>
        <w:numPr>
          <w:ilvl w:val="0"/>
          <w:numId w:val="1007"/>
        </w:numPr>
      </w:pPr>
      <w:r>
        <w:rPr>
          <w:b/>
          <w:bCs/>
        </w:rPr>
        <w:t xml:space="preserve">Decomposition of the 2026 gap.</w:t>
      </w:r>
      <w:r>
        <w:t xml:space="preserve"> </w:t>
      </w:r>
      <w:r>
        <w:t xml:space="preserve">The actual December 2025–August 2026 change in each index is split into item contributions using the fixed 2018 weights (descriptive, no model).</w:t>
      </w:r>
    </w:p>
    <w:p>
      <w:pPr>
        <w:pStyle w:val="Compact"/>
        <w:numPr>
          <w:ilvl w:val="0"/>
          <w:numId w:val="1007"/>
        </w:numPr>
      </w:pPr>
      <w:r>
        <w:rPr>
          <w:b/>
          <w:bCs/>
        </w:rPr>
        <w:t xml:space="preserve">Assessment of instruments.</w:t>
      </w:r>
      <w:r>
        <w:t xml:space="preserve"> </w:t>
      </w:r>
      <w:r>
        <w:t xml:space="preserve">The results are used to assess the targeting of the 2026 policy instruments.</w:t>
      </w:r>
    </w:p>
    <w:bookmarkEnd w:id="53"/>
    <w:bookmarkEnd w:id="54"/>
    <w:bookmarkStart w:id="55" w:name="validation"/>
    <w:p>
      <w:pPr>
        <w:pStyle w:val="Heading2"/>
      </w:pPr>
      <w:r>
        <w:t xml:space="preserve">4.4 Validation</w:t>
      </w:r>
    </w:p>
    <w:p>
      <w:pPr>
        <w:pStyle w:val="FirstParagraph"/>
      </w:pPr>
      <w:r>
        <w:rPr>
          <w:i/>
          <w:iCs/>
        </w:rPr>
        <w:t xml:space="preserve">Simulation.</w:t>
      </w:r>
      <w:r>
        <w:t xml:space="preserve"> </w:t>
      </w:r>
      <w:r>
        <w:t xml:space="preserve">Panels and time series are generated from y</w:t>
      </w:r>
      <w:r>
        <w:rPr>
          <w:vertAlign w:val="subscript"/>
        </w:rPr>
        <w:t xml:space="preserve">t</w:t>
      </w:r>
      <w:r>
        <w:t xml:space="preserve"> </w:t>
      </w:r>
      <w:r>
        <w:t xml:space="preserve">= 0.4 y</w:t>
      </w:r>
      <w:r>
        <w:rPr>
          <w:vertAlign w:val="subscript"/>
        </w:rPr>
        <w:t xml:space="preserve">t−1</w:t>
      </w:r>
      <w:r>
        <w:t xml:space="preserve"> </w:t>
      </w:r>
      <w:r>
        <w:t xml:space="preserve">+ 0.04 x</w:t>
      </w:r>
      <w:r>
        <w:rPr>
          <w:vertAlign w:val="subscript"/>
        </w:rPr>
        <w:t xml:space="preserve">t</w:t>
      </w:r>
      <w:r>
        <w:t xml:space="preserve"> </w:t>
      </w:r>
      <w:r>
        <w:t xml:space="preserve">+ 0.02 x</w:t>
      </w:r>
      <w:r>
        <w:rPr>
          <w:vertAlign w:val="subscript"/>
        </w:rPr>
        <w:t xml:space="preserve">t−1</w:t>
      </w:r>
      <w:r>
        <w:t xml:space="preserve"> </w:t>
      </w:r>
      <w:r>
        <w:t xml:space="preserve">+ 0.01 x</w:t>
      </w:r>
      <w:r>
        <w:rPr>
          <w:vertAlign w:val="subscript"/>
        </w:rPr>
        <w:t xml:space="preserve">t−2</w:t>
      </w:r>
      <w:r>
        <w:t xml:space="preserve"> </w:t>
      </w:r>
      <w:r>
        <w:t xml:space="preserve">+ e</w:t>
      </w:r>
      <w:r>
        <w:rPr>
          <w:vertAlign w:val="subscript"/>
        </w:rPr>
        <w:t xml:space="preserve">t</w:t>
      </w:r>
      <w:r>
        <w:t xml:space="preserve">, whose impulse response is known. The estimator recovers it within 0.006 at every horizon with Newey–West, clustered and Driscoll–Kraay errors, recovers the cumulative response, and detects a known group difference.</w:t>
      </w:r>
    </w:p>
    <w:p>
      <w:pPr>
        <w:pStyle w:val="BodyText"/>
      </w:pPr>
      <w:r>
        <w:rPr>
          <w:i/>
          <w:iCs/>
        </w:rPr>
        <w:t xml:space="preserve">Replication gate.</w:t>
      </w:r>
      <w:r>
        <w:t xml:space="preserve"> </w:t>
      </w:r>
      <w:r>
        <w:t xml:space="preserve">Before any Philippine estimate, the estimator had to reproduce three results of</w:t>
      </w:r>
      <w:r>
        <w:t xml:space="preserve"> </w:t>
      </w:r>
      <w:r>
        <w:t xml:space="preserve">Kpodar and Liu (</w:t>
      </w:r>
      <w:hyperlink w:anchor="ref-kpodar_liu_2022">
        <w:r>
          <w:rPr>
            <w:rStyle w:val="Hyperlink"/>
          </w:rPr>
          <w:t xml:space="preserve">2022</w:t>
        </w:r>
      </w:hyperlink>
      <w:r>
        <w:t xml:space="preserve">)</w:t>
      </w:r>
      <w:r>
        <w:t xml:space="preserve"> </w:t>
      </w:r>
      <w:r>
        <w:t xml:space="preserve">on EU data (harmonised CPIs and Weekly Oil Bulletin pump prices, 2005–June 2019), under criteria written in advance: an impact response to after-tax gasoline prices between 0.035 and 0.075 (reference 0.055), near zero from the second month; a larger response to after-tax than to before-tax prices and to crude oil; and the advanced-economy shape with the EU fuels index.</w:t>
      </w:r>
    </w:p>
    <w:bookmarkEnd w:id="55"/>
    <w:bookmarkStart w:id="56" w:name="software-and-reproducibility"/>
    <w:p>
      <w:pPr>
        <w:pStyle w:val="Heading2"/>
      </w:pPr>
      <w:r>
        <w:t xml:space="preserve">4.5 Software and reproducibility</w:t>
      </w:r>
    </w:p>
    <w:p>
      <w:pPr>
        <w:pStyle w:val="FirstParagraph"/>
      </w:pPr>
      <w:r>
        <w:t xml:space="preserve">The analysis is written in Python 3.11 with</w:t>
      </w:r>
      <w:r>
        <w:t xml:space="preserve"> </w:t>
      </w:r>
      <w:r>
        <w:rPr>
          <w:i/>
          <w:iCs/>
        </w:rPr>
        <w:t xml:space="preserve">pandas</w:t>
      </w:r>
      <w:r>
        <w:t xml:space="preserve">,</w:t>
      </w:r>
      <w:r>
        <w:t xml:space="preserve"> </w:t>
      </w:r>
      <w:r>
        <w:rPr>
          <w:i/>
          <w:iCs/>
        </w:rPr>
        <w:t xml:space="preserve">statsmodels</w:t>
      </w:r>
      <w:r>
        <w:t xml:space="preserve">,</w:t>
      </w:r>
      <w:r>
        <w:t xml:space="preserve"> </w:t>
      </w:r>
      <w:r>
        <w:rPr>
          <w:i/>
          <w:iCs/>
        </w:rPr>
        <w:t xml:space="preserve">linearmodels</w:t>
      </w:r>
      <w:r>
        <w:t xml:space="preserve">,</w:t>
      </w:r>
      <w:r>
        <w:t xml:space="preserve"> </w:t>
      </w:r>
      <w:r>
        <w:rPr>
          <w:i/>
          <w:iCs/>
        </w:rPr>
        <w:t xml:space="preserve">matplotlib</w:t>
      </w:r>
      <w:r>
        <w:t xml:space="preserve"> </w:t>
      </w:r>
      <w:r>
        <w:t xml:space="preserve">and</w:t>
      </w:r>
      <w:r>
        <w:t xml:space="preserve"> </w:t>
      </w:r>
      <w:r>
        <w:rPr>
          <w:i/>
          <w:iCs/>
        </w:rPr>
        <w:t xml:space="preserve">pandoc</w:t>
      </w:r>
      <w:r>
        <w:t xml:space="preserve">. Every number in this paper is inserted by script from the output tables, and the command</w:t>
      </w:r>
      <w:r>
        <w:t xml:space="preserve"> </w:t>
      </w:r>
      <w:r>
        <w:rPr>
          <w:rStyle w:val="VerbatimChar"/>
        </w:rPr>
        <w:t xml:space="preserve">./run_all.sh</w:t>
      </w:r>
      <w:r>
        <w:t xml:space="preserve"> </w:t>
      </w:r>
      <w:r>
        <w:t xml:space="preserve">regenerates the data, estimates, figures and this document from the raw files.</w:t>
      </w:r>
    </w:p>
    <w:bookmarkEnd w:id="56"/>
    <w:bookmarkStart w:id="57" w:name="ethical-considerations"/>
    <w:p>
      <w:pPr>
        <w:pStyle w:val="Heading2"/>
      </w:pPr>
      <w:r>
        <w:t xml:space="preserve">4.6 Ethical considerations</w:t>
      </w:r>
    </w:p>
    <w:p>
      <w:pPr>
        <w:pStyle w:val="FirstParagraph"/>
      </w:pPr>
      <w:r>
        <w:t xml:space="preserve">The study uses published aggregate statistics; no individual or household data were collected.</w:t>
      </w:r>
    </w:p>
    <w:bookmarkEnd w:id="57"/>
    <w:bookmarkEnd w:id="58"/>
    <w:bookmarkStart w:id="106" w:name="chapter-5.-results-and-discussion"/>
    <w:p>
      <w:pPr>
        <w:pStyle w:val="Heading1"/>
      </w:pPr>
      <w:r>
        <w:t xml:space="preserve">Chapter 5. Results and Discussion</w:t>
      </w:r>
    </w:p>
    <w:bookmarkStart w:id="71" w:name="X8cdd37dbaed98c4aa8b28c068e1a2b5bec7d811"/>
    <w:p>
      <w:pPr>
        <w:pStyle w:val="Heading2"/>
      </w:pPr>
      <w:r>
        <w:t xml:space="preserve">5.1 Objective 1: descriptive statistics and trend analysis</w:t>
      </w:r>
    </w:p>
    <w:bookmarkStart w:id="59" w:name="summary-statistics"/>
    <w:p>
      <w:pPr>
        <w:pStyle w:val="Heading3"/>
      </w:pPr>
      <w:r>
        <w:t xml:space="preserve">5.1.1 Summary statistics</w:t>
      </w:r>
    </w:p>
    <w:p>
      <w:pPr>
        <w:pStyle w:val="FirstParagraph"/>
      </w:pPr>
      <w:r>
        <w:t xml:space="preserve">Table 2 summarises the monthly changes. Over January 2001–August 2026, all-income prices rose at an annualised average of 3.77% and bottom-30% prices at 4.33%; the gap therefore fell by 0.56 log points a year on average. Bottom-30% inflation is also more volatile (standard deviation 0.565 against 0.386 pp a month). The fuel index is far more volatile still (standard deviation 4.367 pp, with monthly changes between −18.10% and +31.79%).</w:t>
      </w:r>
    </w:p>
    <w:p>
      <w:pPr>
        <w:pStyle w:val="BodyText"/>
      </w:pPr>
      <w:r>
        <w:t xml:space="preserve">The difference between the groups was largest in 2001–2012 (annualised 4.22% against 5.07%), narrowed in 2013–2019 (2.68% against 2.86%) and 2020–2025 (3.75% against 4.06%), and widened again in 2026 (7.21% against 8.97% annualised over January–August).</w:t>
      </w:r>
    </w:p>
    <w:p>
      <w:pPr>
        <w:pStyle w:val="BodyText"/>
      </w:pPr>
      <w:r>
        <w:rPr>
          <w:b/>
          <w:bCs/>
        </w:rPr>
        <w:t xml:space="preserve">Table 2. Summary statistics of monthly changes (100 × Δln), national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Period</w:t>
            </w:r>
          </w:p>
        </w:tc>
        <w:tc>
          <w:tcPr/>
          <w:p>
            <w:pPr>
              <w:pStyle w:val="Compact"/>
            </w:pPr>
            <w:r>
              <w:t xml:space="preserve">Variable</w:t>
            </w:r>
          </w:p>
        </w:tc>
        <w:tc>
          <w:tcPr/>
          <w:p>
            <w:pPr>
              <w:pStyle w:val="Compact"/>
            </w:pPr>
            <w:r>
              <w:t xml:space="preserve">N</w:t>
            </w:r>
          </w:p>
        </w:tc>
        <w:tc>
          <w:tcPr/>
          <w:p>
            <w:pPr>
              <w:pStyle w:val="Compact"/>
            </w:pPr>
            <w:r>
              <w:t xml:space="preserve">Mean (monthly, pp)</w:t>
            </w:r>
          </w:p>
        </w:tc>
        <w:tc>
          <w:tcPr/>
          <w:p>
            <w:pPr>
              <w:pStyle w:val="Compact"/>
            </w:pPr>
            <w:r>
              <w:t xml:space="preserve">Annualised 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2001–2026 (full)</w:t>
            </w:r>
          </w:p>
        </w:tc>
        <w:tc>
          <w:tcPr/>
          <w:p>
            <w:pPr>
              <w:pStyle w:val="Compact"/>
            </w:pPr>
            <w:r>
              <w:t xml:space="preserve">Fuel index (07.2.2)</w:t>
            </w:r>
          </w:p>
        </w:tc>
        <w:tc>
          <w:tcPr/>
          <w:p>
            <w:pPr>
              <w:pStyle w:val="Compact"/>
            </w:pPr>
            <w:r>
              <w:t xml:space="preserve">308</w:t>
            </w:r>
          </w:p>
        </w:tc>
        <w:tc>
          <w:tcPr/>
          <w:p>
            <w:pPr>
              <w:pStyle w:val="Compact"/>
            </w:pPr>
            <w:r>
              <w:t xml:space="preserve">0.449</w:t>
            </w:r>
          </w:p>
        </w:tc>
        <w:tc>
          <w:tcPr/>
          <w:p>
            <w:pPr>
              <w:pStyle w:val="Compact"/>
            </w:pPr>
            <w:r>
              <w:t xml:space="preserve">5.39</w:t>
            </w:r>
          </w:p>
        </w:tc>
        <w:tc>
          <w:tcPr/>
          <w:p>
            <w:pPr>
              <w:pStyle w:val="Compact"/>
            </w:pPr>
            <w:r>
              <w:t xml:space="preserve">4.367</w:t>
            </w:r>
          </w:p>
        </w:tc>
        <w:tc>
          <w:tcPr/>
          <w:p>
            <w:pPr>
              <w:pStyle w:val="Compact"/>
            </w:pPr>
            <w:r>
              <w:t xml:space="preserve">−18.10</w:t>
            </w:r>
          </w:p>
        </w:tc>
        <w:tc>
          <w:tcPr/>
          <w:p>
            <w:pPr>
              <w:pStyle w:val="Compact"/>
            </w:pPr>
            <w:r>
              <w:t xml:space="preserve">31.79</w:t>
            </w:r>
          </w:p>
        </w:tc>
      </w:tr>
      <w:tr>
        <w:tc>
          <w:tcPr/>
          <w:p>
            <w:pPr>
              <w:pStyle w:val="Compact"/>
            </w:pPr>
            <w:r>
              <w:t xml:space="preserve">2001–2026 (full)</w:t>
            </w:r>
          </w:p>
        </w:tc>
        <w:tc>
          <w:tcPr/>
          <w:p>
            <w:pPr>
              <w:pStyle w:val="Compact"/>
            </w:pPr>
            <w:r>
              <w:t xml:space="preserve">CPI, all income</w:t>
            </w:r>
          </w:p>
        </w:tc>
        <w:tc>
          <w:tcPr/>
          <w:p>
            <w:pPr>
              <w:pStyle w:val="Compact"/>
            </w:pPr>
            <w:r>
              <w:t xml:space="preserve">308</w:t>
            </w:r>
          </w:p>
        </w:tc>
        <w:tc>
          <w:tcPr/>
          <w:p>
            <w:pPr>
              <w:pStyle w:val="Compact"/>
            </w:pPr>
            <w:r>
              <w:t xml:space="preserve">0.314</w:t>
            </w:r>
          </w:p>
        </w:tc>
        <w:tc>
          <w:tcPr/>
          <w:p>
            <w:pPr>
              <w:pStyle w:val="Compact"/>
            </w:pPr>
            <w:r>
              <w:t xml:space="preserve">3.77</w:t>
            </w:r>
          </w:p>
        </w:tc>
        <w:tc>
          <w:tcPr/>
          <w:p>
            <w:pPr>
              <w:pStyle w:val="Compact"/>
            </w:pPr>
            <w:r>
              <w:t xml:space="preserve">0.386</w:t>
            </w:r>
          </w:p>
        </w:tc>
        <w:tc>
          <w:tcPr/>
          <w:p>
            <w:pPr>
              <w:pStyle w:val="Compact"/>
            </w:pPr>
            <w:r>
              <w:t xml:space="preserve">−0.59</w:t>
            </w:r>
          </w:p>
        </w:tc>
        <w:tc>
          <w:tcPr/>
          <w:p>
            <w:pPr>
              <w:pStyle w:val="Compact"/>
            </w:pPr>
            <w:r>
              <w:t xml:space="preserve">2.60</w:t>
            </w:r>
          </w:p>
        </w:tc>
      </w:tr>
      <w:tr>
        <w:tc>
          <w:tcPr/>
          <w:p>
            <w:pPr>
              <w:pStyle w:val="Compact"/>
            </w:pPr>
            <w:r>
              <w:t xml:space="preserve">2001–2026 (full)</w:t>
            </w:r>
          </w:p>
        </w:tc>
        <w:tc>
          <w:tcPr/>
          <w:p>
            <w:pPr>
              <w:pStyle w:val="Compact"/>
            </w:pPr>
            <w:r>
              <w:t xml:space="preserve">CPI, bottom 30%</w:t>
            </w:r>
          </w:p>
        </w:tc>
        <w:tc>
          <w:tcPr/>
          <w:p>
            <w:pPr>
              <w:pStyle w:val="Compact"/>
            </w:pPr>
            <w:r>
              <w:t xml:space="preserve">308</w:t>
            </w:r>
          </w:p>
        </w:tc>
        <w:tc>
          <w:tcPr/>
          <w:p>
            <w:pPr>
              <w:pStyle w:val="Compact"/>
            </w:pPr>
            <w:r>
              <w:t xml:space="preserve">0.361</w:t>
            </w:r>
          </w:p>
        </w:tc>
        <w:tc>
          <w:tcPr/>
          <w:p>
            <w:pPr>
              <w:pStyle w:val="Compact"/>
            </w:pPr>
            <w:r>
              <w:t xml:space="preserve">4.33</w:t>
            </w:r>
          </w:p>
        </w:tc>
        <w:tc>
          <w:tcPr/>
          <w:p>
            <w:pPr>
              <w:pStyle w:val="Compact"/>
            </w:pPr>
            <w:r>
              <w:t xml:space="preserve">0.565</w:t>
            </w:r>
          </w:p>
        </w:tc>
        <w:tc>
          <w:tcPr/>
          <w:p>
            <w:pPr>
              <w:pStyle w:val="Compact"/>
            </w:pPr>
            <w:r>
              <w:t xml:space="preserve">−0.88</w:t>
            </w:r>
          </w:p>
        </w:tc>
        <w:tc>
          <w:tcPr/>
          <w:p>
            <w:pPr>
              <w:pStyle w:val="Compact"/>
            </w:pPr>
            <w:r>
              <w:t xml:space="preserve">3.89</w:t>
            </w:r>
          </w:p>
        </w:tc>
      </w:tr>
      <w:tr>
        <w:tc>
          <w:tcPr/>
          <w:p>
            <w:pPr>
              <w:pStyle w:val="Compact"/>
            </w:pPr>
            <w:r>
              <w:t xml:space="preserve">2001–2026 (full)</w:t>
            </w:r>
          </w:p>
        </w:tc>
        <w:tc>
          <w:tcPr/>
          <w:p>
            <w:pPr>
              <w:pStyle w:val="Compact"/>
            </w:pPr>
            <w:r>
              <w:t xml:space="preserve">Gap: ln(CPI all/CPI b30)</w:t>
            </w:r>
          </w:p>
        </w:tc>
        <w:tc>
          <w:tcPr/>
          <w:p>
            <w:pPr>
              <w:pStyle w:val="Compact"/>
            </w:pPr>
            <w:r>
              <w:t xml:space="preserve">308</w:t>
            </w:r>
          </w:p>
        </w:tc>
        <w:tc>
          <w:tcPr/>
          <w:p>
            <w:pPr>
              <w:pStyle w:val="Compact"/>
            </w:pPr>
            <w:r>
              <w:t xml:space="preserve">−0.047</w:t>
            </w:r>
          </w:p>
        </w:tc>
        <w:tc>
          <w:tcPr/>
          <w:p>
            <w:pPr>
              <w:pStyle w:val="Compact"/>
            </w:pPr>
            <w:r>
              <w:t xml:space="preserve">−0.56</w:t>
            </w:r>
          </w:p>
        </w:tc>
        <w:tc>
          <w:tcPr/>
          <w:p>
            <w:pPr>
              <w:pStyle w:val="Compact"/>
            </w:pPr>
            <w:r>
              <w:t xml:space="preserve">0.303</w:t>
            </w:r>
          </w:p>
        </w:tc>
        <w:tc>
          <w:tcPr/>
          <w:p>
            <w:pPr>
              <w:pStyle w:val="Compact"/>
            </w:pPr>
            <w:r>
              <w:t xml:space="preserve">−2.27</w:t>
            </w:r>
          </w:p>
        </w:tc>
        <w:tc>
          <w:tcPr/>
          <w:p>
            <w:pPr>
              <w:pStyle w:val="Compact"/>
            </w:pPr>
            <w:r>
              <w:t xml:space="preserve">0.71</w:t>
            </w:r>
          </w:p>
        </w:tc>
      </w:tr>
      <w:tr>
        <w:tc>
          <w:tcPr/>
          <w:p>
            <w:pPr>
              <w:pStyle w:val="Compact"/>
            </w:pPr>
            <w:r>
              <w:t xml:space="preserve">2001–2012</w:t>
            </w:r>
          </w:p>
        </w:tc>
        <w:tc>
          <w:tcPr/>
          <w:p>
            <w:pPr>
              <w:pStyle w:val="Compact"/>
            </w:pPr>
            <w:r>
              <w:t xml:space="preserve">Fuel index (07.2.2)</w:t>
            </w:r>
          </w:p>
        </w:tc>
        <w:tc>
          <w:tcPr/>
          <w:p>
            <w:pPr>
              <w:pStyle w:val="Compact"/>
            </w:pPr>
            <w:r>
              <w:t xml:space="preserve">144</w:t>
            </w:r>
          </w:p>
        </w:tc>
        <w:tc>
          <w:tcPr/>
          <w:p>
            <w:pPr>
              <w:pStyle w:val="Compact"/>
            </w:pPr>
            <w:r>
              <w:t xml:space="preserve">0.604</w:t>
            </w:r>
          </w:p>
        </w:tc>
        <w:tc>
          <w:tcPr/>
          <w:p>
            <w:pPr>
              <w:pStyle w:val="Compact"/>
            </w:pPr>
            <w:r>
              <w:t xml:space="preserve">7.25</w:t>
            </w:r>
          </w:p>
        </w:tc>
        <w:tc>
          <w:tcPr/>
          <w:p>
            <w:pPr>
              <w:pStyle w:val="Compact"/>
            </w:pPr>
            <w:r>
              <w:t xml:space="preserve">2.862</w:t>
            </w:r>
          </w:p>
        </w:tc>
        <w:tc>
          <w:tcPr/>
          <w:p>
            <w:pPr>
              <w:pStyle w:val="Compact"/>
            </w:pPr>
            <w:r>
              <w:t xml:space="preserve">−12.49</w:t>
            </w:r>
          </w:p>
        </w:tc>
        <w:tc>
          <w:tcPr/>
          <w:p>
            <w:pPr>
              <w:pStyle w:val="Compact"/>
            </w:pPr>
            <w:r>
              <w:t xml:space="preserve">8.66</w:t>
            </w:r>
          </w:p>
        </w:tc>
      </w:tr>
      <w:tr>
        <w:tc>
          <w:tcPr/>
          <w:p>
            <w:pPr>
              <w:pStyle w:val="Compact"/>
            </w:pPr>
            <w:r>
              <w:t xml:space="preserve">2001–2012</w:t>
            </w:r>
          </w:p>
        </w:tc>
        <w:tc>
          <w:tcPr/>
          <w:p>
            <w:pPr>
              <w:pStyle w:val="Compact"/>
            </w:pPr>
            <w:r>
              <w:t xml:space="preserve">CPI, all income</w:t>
            </w:r>
          </w:p>
        </w:tc>
        <w:tc>
          <w:tcPr/>
          <w:p>
            <w:pPr>
              <w:pStyle w:val="Compact"/>
            </w:pPr>
            <w:r>
              <w:t xml:space="preserve">144</w:t>
            </w:r>
          </w:p>
        </w:tc>
        <w:tc>
          <w:tcPr/>
          <w:p>
            <w:pPr>
              <w:pStyle w:val="Compact"/>
            </w:pPr>
            <w:r>
              <w:t xml:space="preserve">0.352</w:t>
            </w:r>
          </w:p>
        </w:tc>
        <w:tc>
          <w:tcPr/>
          <w:p>
            <w:pPr>
              <w:pStyle w:val="Compact"/>
            </w:pPr>
            <w:r>
              <w:t xml:space="preserve">4.22</w:t>
            </w:r>
          </w:p>
        </w:tc>
        <w:tc>
          <w:tcPr/>
          <w:p>
            <w:pPr>
              <w:pStyle w:val="Compact"/>
            </w:pPr>
            <w:r>
              <w:t xml:space="preserve">0.350</w:t>
            </w:r>
          </w:p>
        </w:tc>
        <w:tc>
          <w:tcPr/>
          <w:p>
            <w:pPr>
              <w:pStyle w:val="Compact"/>
            </w:pPr>
            <w:r>
              <w:t xml:space="preserve">−0.44</w:t>
            </w:r>
          </w:p>
        </w:tc>
        <w:tc>
          <w:tcPr/>
          <w:p>
            <w:pPr>
              <w:pStyle w:val="Compact"/>
            </w:pPr>
            <w:r>
              <w:t xml:space="preserve">1.61</w:t>
            </w:r>
          </w:p>
        </w:tc>
      </w:tr>
      <w:tr>
        <w:tc>
          <w:tcPr/>
          <w:p>
            <w:pPr>
              <w:pStyle w:val="Compact"/>
            </w:pPr>
            <w:r>
              <w:t xml:space="preserve">2001–2012</w:t>
            </w:r>
          </w:p>
        </w:tc>
        <w:tc>
          <w:tcPr/>
          <w:p>
            <w:pPr>
              <w:pStyle w:val="Compact"/>
            </w:pPr>
            <w:r>
              <w:t xml:space="preserve">CPI, bottom 30%</w:t>
            </w:r>
          </w:p>
        </w:tc>
        <w:tc>
          <w:tcPr/>
          <w:p>
            <w:pPr>
              <w:pStyle w:val="Compact"/>
            </w:pPr>
            <w:r>
              <w:t xml:space="preserve">144</w:t>
            </w:r>
          </w:p>
        </w:tc>
        <w:tc>
          <w:tcPr/>
          <w:p>
            <w:pPr>
              <w:pStyle w:val="Compact"/>
            </w:pPr>
            <w:r>
              <w:t xml:space="preserve">0.422</w:t>
            </w:r>
          </w:p>
        </w:tc>
        <w:tc>
          <w:tcPr/>
          <w:p>
            <w:pPr>
              <w:pStyle w:val="Compact"/>
            </w:pPr>
            <w:r>
              <w:t xml:space="preserve">5.07</w:t>
            </w:r>
          </w:p>
        </w:tc>
        <w:tc>
          <w:tcPr/>
          <w:p>
            <w:pPr>
              <w:pStyle w:val="Compact"/>
            </w:pPr>
            <w:r>
              <w:t xml:space="preserve">0.617</w:t>
            </w:r>
          </w:p>
        </w:tc>
        <w:tc>
          <w:tcPr/>
          <w:p>
            <w:pPr>
              <w:pStyle w:val="Compact"/>
            </w:pPr>
            <w:r>
              <w:t xml:space="preserve">−0.88</w:t>
            </w:r>
          </w:p>
        </w:tc>
        <w:tc>
          <w:tcPr/>
          <w:p>
            <w:pPr>
              <w:pStyle w:val="Compact"/>
            </w:pPr>
            <w:r>
              <w:t xml:space="preserve">3.89</w:t>
            </w:r>
          </w:p>
        </w:tc>
      </w:tr>
      <w:tr>
        <w:tc>
          <w:tcPr/>
          <w:p>
            <w:pPr>
              <w:pStyle w:val="Compact"/>
            </w:pPr>
            <w:r>
              <w:t xml:space="preserve">2001–2012</w:t>
            </w:r>
          </w:p>
        </w:tc>
        <w:tc>
          <w:tcPr/>
          <w:p>
            <w:pPr>
              <w:pStyle w:val="Compact"/>
            </w:pPr>
            <w:r>
              <w:t xml:space="preserve">Gap: ln(CPI all/CPI b30)</w:t>
            </w:r>
          </w:p>
        </w:tc>
        <w:tc>
          <w:tcPr/>
          <w:p>
            <w:pPr>
              <w:pStyle w:val="Compact"/>
            </w:pPr>
            <w:r>
              <w:t xml:space="preserve">144</w:t>
            </w:r>
          </w:p>
        </w:tc>
        <w:tc>
          <w:tcPr/>
          <w:p>
            <w:pPr>
              <w:pStyle w:val="Compact"/>
            </w:pPr>
            <w:r>
              <w:t xml:space="preserve">−0.071</w:t>
            </w:r>
          </w:p>
        </w:tc>
        <w:tc>
          <w:tcPr/>
          <w:p>
            <w:pPr>
              <w:pStyle w:val="Compact"/>
            </w:pPr>
            <w:r>
              <w:t xml:space="preserve">−0.85</w:t>
            </w:r>
          </w:p>
        </w:tc>
        <w:tc>
          <w:tcPr/>
          <w:p>
            <w:pPr>
              <w:pStyle w:val="Compact"/>
            </w:pPr>
            <w:r>
              <w:t xml:space="preserve">0.379</w:t>
            </w:r>
          </w:p>
        </w:tc>
        <w:tc>
          <w:tcPr/>
          <w:p>
            <w:pPr>
              <w:pStyle w:val="Compact"/>
            </w:pPr>
            <w:r>
              <w:t xml:space="preserve">−2.27</w:t>
            </w:r>
          </w:p>
        </w:tc>
        <w:tc>
          <w:tcPr/>
          <w:p>
            <w:pPr>
              <w:pStyle w:val="Compact"/>
            </w:pPr>
            <w:r>
              <w:t xml:space="preserve">0.71</w:t>
            </w:r>
          </w:p>
        </w:tc>
      </w:tr>
      <w:tr>
        <w:tc>
          <w:tcPr/>
          <w:p>
            <w:pPr>
              <w:pStyle w:val="Compact"/>
            </w:pPr>
            <w:r>
              <w:t xml:space="preserve">2013–2019</w:t>
            </w:r>
          </w:p>
        </w:tc>
        <w:tc>
          <w:tcPr/>
          <w:p>
            <w:pPr>
              <w:pStyle w:val="Compact"/>
            </w:pPr>
            <w:r>
              <w:t xml:space="preserve">Fuel index (07.2.2)</w:t>
            </w:r>
          </w:p>
        </w:tc>
        <w:tc>
          <w:tcPr/>
          <w:p>
            <w:pPr>
              <w:pStyle w:val="Compact"/>
            </w:pPr>
            <w:r>
              <w:t xml:space="preserve">84</w:t>
            </w:r>
          </w:p>
        </w:tc>
        <w:tc>
          <w:tcPr/>
          <w:p>
            <w:pPr>
              <w:pStyle w:val="Compact"/>
            </w:pPr>
            <w:r>
              <w:t xml:space="preserve">−0.028</w:t>
            </w:r>
          </w:p>
        </w:tc>
        <w:tc>
          <w:tcPr/>
          <w:p>
            <w:pPr>
              <w:pStyle w:val="Compact"/>
            </w:pPr>
            <w:r>
              <w:t xml:space="preserve">−0.34</w:t>
            </w:r>
          </w:p>
        </w:tc>
        <w:tc>
          <w:tcPr/>
          <w:p>
            <w:pPr>
              <w:pStyle w:val="Compact"/>
            </w:pPr>
            <w:r>
              <w:t xml:space="preserve">3.716</w:t>
            </w:r>
          </w:p>
        </w:tc>
        <w:tc>
          <w:tcPr/>
          <w:p>
            <w:pPr>
              <w:pStyle w:val="Compact"/>
            </w:pPr>
            <w:r>
              <w:t xml:space="preserve">−12.59</w:t>
            </w:r>
          </w:p>
        </w:tc>
        <w:tc>
          <w:tcPr/>
          <w:p>
            <w:pPr>
              <w:pStyle w:val="Compact"/>
            </w:pPr>
            <w:r>
              <w:t xml:space="preserve">6.48</w:t>
            </w:r>
          </w:p>
        </w:tc>
      </w:tr>
      <w:tr>
        <w:tc>
          <w:tcPr/>
          <w:p>
            <w:pPr>
              <w:pStyle w:val="Compact"/>
            </w:pPr>
            <w:r>
              <w:t xml:space="preserve">2013–2019</w:t>
            </w:r>
          </w:p>
        </w:tc>
        <w:tc>
          <w:tcPr/>
          <w:p>
            <w:pPr>
              <w:pStyle w:val="Compact"/>
            </w:pPr>
            <w:r>
              <w:t xml:space="preserve">CPI, all income</w:t>
            </w:r>
          </w:p>
        </w:tc>
        <w:tc>
          <w:tcPr/>
          <w:p>
            <w:pPr>
              <w:pStyle w:val="Compact"/>
            </w:pPr>
            <w:r>
              <w:t xml:space="preserve">84</w:t>
            </w:r>
          </w:p>
        </w:tc>
        <w:tc>
          <w:tcPr/>
          <w:p>
            <w:pPr>
              <w:pStyle w:val="Compact"/>
            </w:pPr>
            <w:r>
              <w:t xml:space="preserve">0.224</w:t>
            </w:r>
          </w:p>
        </w:tc>
        <w:tc>
          <w:tcPr/>
          <w:p>
            <w:pPr>
              <w:pStyle w:val="Compact"/>
            </w:pPr>
            <w:r>
              <w:t xml:space="preserve">2.68</w:t>
            </w:r>
          </w:p>
        </w:tc>
        <w:tc>
          <w:tcPr/>
          <w:p>
            <w:pPr>
              <w:pStyle w:val="Compact"/>
            </w:pPr>
            <w:r>
              <w:t xml:space="preserve">0.279</w:t>
            </w:r>
          </w:p>
        </w:tc>
        <w:tc>
          <w:tcPr/>
          <w:p>
            <w:pPr>
              <w:pStyle w:val="Compact"/>
            </w:pPr>
            <w:r>
              <w:t xml:space="preserve">−0.59</w:t>
            </w:r>
          </w:p>
        </w:tc>
        <w:tc>
          <w:tcPr/>
          <w:p>
            <w:pPr>
              <w:pStyle w:val="Compact"/>
            </w:pPr>
            <w:r>
              <w:t xml:space="preserve">0.98</w:t>
            </w:r>
          </w:p>
        </w:tc>
      </w:tr>
      <w:tr>
        <w:tc>
          <w:tcPr/>
          <w:p>
            <w:pPr>
              <w:pStyle w:val="Compact"/>
            </w:pPr>
            <w:r>
              <w:t xml:space="preserve">2013–2019</w:t>
            </w:r>
          </w:p>
        </w:tc>
        <w:tc>
          <w:tcPr/>
          <w:p>
            <w:pPr>
              <w:pStyle w:val="Compact"/>
            </w:pPr>
            <w:r>
              <w:t xml:space="preserve">CPI, bottom 30%</w:t>
            </w:r>
          </w:p>
        </w:tc>
        <w:tc>
          <w:tcPr/>
          <w:p>
            <w:pPr>
              <w:pStyle w:val="Compact"/>
            </w:pPr>
            <w:r>
              <w:t xml:space="preserve">84</w:t>
            </w:r>
          </w:p>
        </w:tc>
        <w:tc>
          <w:tcPr/>
          <w:p>
            <w:pPr>
              <w:pStyle w:val="Compact"/>
            </w:pPr>
            <w:r>
              <w:t xml:space="preserve">0.238</w:t>
            </w:r>
          </w:p>
        </w:tc>
        <w:tc>
          <w:tcPr/>
          <w:p>
            <w:pPr>
              <w:pStyle w:val="Compact"/>
            </w:pPr>
            <w:r>
              <w:t xml:space="preserve">2.86</w:t>
            </w:r>
          </w:p>
        </w:tc>
        <w:tc>
          <w:tcPr/>
          <w:p>
            <w:pPr>
              <w:pStyle w:val="Compact"/>
            </w:pPr>
            <w:r>
              <w:t xml:space="preserve">0.354</w:t>
            </w:r>
          </w:p>
        </w:tc>
        <w:tc>
          <w:tcPr/>
          <w:p>
            <w:pPr>
              <w:pStyle w:val="Compact"/>
            </w:pPr>
            <w:r>
              <w:t xml:space="preserve">−0.78</w:t>
            </w:r>
          </w:p>
        </w:tc>
        <w:tc>
          <w:tcPr/>
          <w:p>
            <w:pPr>
              <w:pStyle w:val="Compact"/>
            </w:pPr>
            <w:r>
              <w:t xml:space="preserve">1.57</w:t>
            </w:r>
          </w:p>
        </w:tc>
      </w:tr>
      <w:tr>
        <w:tc>
          <w:tcPr/>
          <w:p>
            <w:pPr>
              <w:pStyle w:val="Compact"/>
            </w:pPr>
            <w:r>
              <w:t xml:space="preserve">2013–2019</w:t>
            </w:r>
          </w:p>
        </w:tc>
        <w:tc>
          <w:tcPr/>
          <w:p>
            <w:pPr>
              <w:pStyle w:val="Compact"/>
            </w:pPr>
            <w:r>
              <w:t xml:space="preserve">Gap: ln(CPI all/CPI b30)</w:t>
            </w:r>
          </w:p>
        </w:tc>
        <w:tc>
          <w:tcPr/>
          <w:p>
            <w:pPr>
              <w:pStyle w:val="Compact"/>
            </w:pPr>
            <w:r>
              <w:t xml:space="preserve">84</w:t>
            </w:r>
          </w:p>
        </w:tc>
        <w:tc>
          <w:tcPr/>
          <w:p>
            <w:pPr>
              <w:pStyle w:val="Compact"/>
            </w:pPr>
            <w:r>
              <w:t xml:space="preserve">−0.015</w:t>
            </w:r>
          </w:p>
        </w:tc>
        <w:tc>
          <w:tcPr/>
          <w:p>
            <w:pPr>
              <w:pStyle w:val="Compact"/>
            </w:pPr>
            <w:r>
              <w:t xml:space="preserve">−0.18</w:t>
            </w:r>
          </w:p>
        </w:tc>
        <w:tc>
          <w:tcPr/>
          <w:p>
            <w:pPr>
              <w:pStyle w:val="Compact"/>
            </w:pPr>
            <w:r>
              <w:t xml:space="preserve">0.171</w:t>
            </w:r>
          </w:p>
        </w:tc>
        <w:tc>
          <w:tcPr/>
          <w:p>
            <w:pPr>
              <w:pStyle w:val="Compact"/>
            </w:pPr>
            <w:r>
              <w:t xml:space="preserve">−0.58</w:t>
            </w:r>
          </w:p>
        </w:tc>
        <w:tc>
          <w:tcPr/>
          <w:p>
            <w:pPr>
              <w:pStyle w:val="Compact"/>
            </w:pPr>
            <w:r>
              <w:t xml:space="preserve">0.30</w:t>
            </w:r>
          </w:p>
        </w:tc>
      </w:tr>
      <w:tr>
        <w:tc>
          <w:tcPr/>
          <w:p>
            <w:pPr>
              <w:pStyle w:val="Compact"/>
            </w:pPr>
            <w:r>
              <w:t xml:space="preserve">2020–2025</w:t>
            </w:r>
          </w:p>
        </w:tc>
        <w:tc>
          <w:tcPr/>
          <w:p>
            <w:pPr>
              <w:pStyle w:val="Compact"/>
            </w:pPr>
            <w:r>
              <w:t xml:space="preserve">Fuel index (07.2.2)</w:t>
            </w:r>
          </w:p>
        </w:tc>
        <w:tc>
          <w:tcPr/>
          <w:p>
            <w:pPr>
              <w:pStyle w:val="Compact"/>
            </w:pPr>
            <w:r>
              <w:t xml:space="preserve">72</w:t>
            </w:r>
          </w:p>
        </w:tc>
        <w:tc>
          <w:tcPr/>
          <w:p>
            <w:pPr>
              <w:pStyle w:val="Compact"/>
            </w:pPr>
            <w:r>
              <w:t xml:space="preserve">0.293</w:t>
            </w:r>
          </w:p>
        </w:tc>
        <w:tc>
          <w:tcPr/>
          <w:p>
            <w:pPr>
              <w:pStyle w:val="Compact"/>
            </w:pPr>
            <w:r>
              <w:t xml:space="preserve">3.52</w:t>
            </w:r>
          </w:p>
        </w:tc>
        <w:tc>
          <w:tcPr/>
          <w:p>
            <w:pPr>
              <w:pStyle w:val="Compact"/>
            </w:pPr>
            <w:r>
              <w:t xml:space="preserve">4.699</w:t>
            </w:r>
          </w:p>
        </w:tc>
        <w:tc>
          <w:tcPr/>
          <w:p>
            <w:pPr>
              <w:pStyle w:val="Compact"/>
            </w:pPr>
            <w:r>
              <w:t xml:space="preserve">−18.10</w:t>
            </w:r>
          </w:p>
        </w:tc>
        <w:tc>
          <w:tcPr/>
          <w:p>
            <w:pPr>
              <w:pStyle w:val="Compact"/>
            </w:pPr>
            <w:r>
              <w:t xml:space="preserve">12.00</w:t>
            </w:r>
          </w:p>
        </w:tc>
      </w:tr>
      <w:tr>
        <w:tc>
          <w:tcPr/>
          <w:p>
            <w:pPr>
              <w:pStyle w:val="Compact"/>
            </w:pPr>
            <w:r>
              <w:t xml:space="preserve">2020–2025</w:t>
            </w:r>
          </w:p>
        </w:tc>
        <w:tc>
          <w:tcPr/>
          <w:p>
            <w:pPr>
              <w:pStyle w:val="Compact"/>
            </w:pPr>
            <w:r>
              <w:t xml:space="preserve">CPI, all income</w:t>
            </w:r>
          </w:p>
        </w:tc>
        <w:tc>
          <w:tcPr/>
          <w:p>
            <w:pPr>
              <w:pStyle w:val="Compact"/>
            </w:pPr>
            <w:r>
              <w:t xml:space="preserve">72</w:t>
            </w:r>
          </w:p>
        </w:tc>
        <w:tc>
          <w:tcPr/>
          <w:p>
            <w:pPr>
              <w:pStyle w:val="Compact"/>
            </w:pPr>
            <w:r>
              <w:t xml:space="preserve">0.313</w:t>
            </w:r>
          </w:p>
        </w:tc>
        <w:tc>
          <w:tcPr/>
          <w:p>
            <w:pPr>
              <w:pStyle w:val="Compact"/>
            </w:pPr>
            <w:r>
              <w:t xml:space="preserve">3.75</w:t>
            </w:r>
          </w:p>
        </w:tc>
        <w:tc>
          <w:tcPr/>
          <w:p>
            <w:pPr>
              <w:pStyle w:val="Compact"/>
            </w:pPr>
            <w:r>
              <w:t xml:space="preserve">0.432</w:t>
            </w:r>
          </w:p>
        </w:tc>
        <w:tc>
          <w:tcPr/>
          <w:p>
            <w:pPr>
              <w:pStyle w:val="Compact"/>
            </w:pPr>
            <w:r>
              <w:t xml:space="preserve">−0.39</w:t>
            </w:r>
          </w:p>
        </w:tc>
        <w:tc>
          <w:tcPr/>
          <w:p>
            <w:pPr>
              <w:pStyle w:val="Compact"/>
            </w:pPr>
            <w:r>
              <w:t xml:space="preserve">1.66</w:t>
            </w:r>
          </w:p>
        </w:tc>
      </w:tr>
      <w:tr>
        <w:tc>
          <w:tcPr/>
          <w:p>
            <w:pPr>
              <w:pStyle w:val="Compact"/>
            </w:pPr>
            <w:r>
              <w:t xml:space="preserve">2020–2025</w:t>
            </w:r>
          </w:p>
        </w:tc>
        <w:tc>
          <w:tcPr/>
          <w:p>
            <w:pPr>
              <w:pStyle w:val="Compact"/>
            </w:pPr>
            <w:r>
              <w:t xml:space="preserve">CPI, bottom 30%</w:t>
            </w:r>
          </w:p>
        </w:tc>
        <w:tc>
          <w:tcPr/>
          <w:p>
            <w:pPr>
              <w:pStyle w:val="Compact"/>
            </w:pPr>
            <w:r>
              <w:t xml:space="preserve">72</w:t>
            </w:r>
          </w:p>
        </w:tc>
        <w:tc>
          <w:tcPr/>
          <w:p>
            <w:pPr>
              <w:pStyle w:val="Compact"/>
            </w:pPr>
            <w:r>
              <w:t xml:space="preserve">0.338</w:t>
            </w:r>
          </w:p>
        </w:tc>
        <w:tc>
          <w:tcPr/>
          <w:p>
            <w:pPr>
              <w:pStyle w:val="Compact"/>
            </w:pPr>
            <w:r>
              <w:t xml:space="preserve">4.06</w:t>
            </w:r>
          </w:p>
        </w:tc>
        <w:tc>
          <w:tcPr/>
          <w:p>
            <w:pPr>
              <w:pStyle w:val="Compact"/>
            </w:pPr>
            <w:r>
              <w:t xml:space="preserve">0.546</w:t>
            </w:r>
          </w:p>
        </w:tc>
        <w:tc>
          <w:tcPr/>
          <w:p>
            <w:pPr>
              <w:pStyle w:val="Compact"/>
            </w:pPr>
            <w:r>
              <w:t xml:space="preserve">−0.85</w:t>
            </w:r>
          </w:p>
        </w:tc>
        <w:tc>
          <w:tcPr/>
          <w:p>
            <w:pPr>
              <w:pStyle w:val="Compact"/>
            </w:pPr>
            <w:r>
              <w:t xml:space="preserve">1.97</w:t>
            </w:r>
          </w:p>
        </w:tc>
      </w:tr>
      <w:tr>
        <w:tc>
          <w:tcPr/>
          <w:p>
            <w:pPr>
              <w:pStyle w:val="Compact"/>
            </w:pPr>
            <w:r>
              <w:t xml:space="preserve">2020–2025</w:t>
            </w:r>
          </w:p>
        </w:tc>
        <w:tc>
          <w:tcPr/>
          <w:p>
            <w:pPr>
              <w:pStyle w:val="Compact"/>
            </w:pPr>
            <w:r>
              <w:t xml:space="preserve">Gap: ln(CPI all/CPI b30)</w:t>
            </w:r>
          </w:p>
        </w:tc>
        <w:tc>
          <w:tcPr/>
          <w:p>
            <w:pPr>
              <w:pStyle w:val="Compact"/>
            </w:pPr>
            <w:r>
              <w:t xml:space="preserve">72</w:t>
            </w:r>
          </w:p>
        </w:tc>
        <w:tc>
          <w:tcPr/>
          <w:p>
            <w:pPr>
              <w:pStyle w:val="Compact"/>
            </w:pPr>
            <w:r>
              <w:t xml:space="preserve">−0.026</w:t>
            </w:r>
          </w:p>
        </w:tc>
        <w:tc>
          <w:tcPr/>
          <w:p>
            <w:pPr>
              <w:pStyle w:val="Compact"/>
            </w:pPr>
            <w:r>
              <w:t xml:space="preserve">−0.31</w:t>
            </w:r>
          </w:p>
        </w:tc>
        <w:tc>
          <w:tcPr/>
          <w:p>
            <w:pPr>
              <w:pStyle w:val="Compact"/>
            </w:pPr>
            <w:r>
              <w:t xml:space="preserve">0.245</w:t>
            </w:r>
          </w:p>
        </w:tc>
        <w:tc>
          <w:tcPr/>
          <w:p>
            <w:pPr>
              <w:pStyle w:val="Compact"/>
            </w:pPr>
            <w:r>
              <w:t xml:space="preserve">−0.76</w:t>
            </w:r>
          </w:p>
        </w:tc>
        <w:tc>
          <w:tcPr/>
          <w:p>
            <w:pPr>
              <w:pStyle w:val="Compact"/>
            </w:pPr>
            <w:r>
              <w:t xml:space="preserve">0.55</w:t>
            </w:r>
          </w:p>
        </w:tc>
      </w:tr>
      <w:tr>
        <w:tc>
          <w:tcPr/>
          <w:p>
            <w:pPr>
              <w:pStyle w:val="Compact"/>
            </w:pPr>
            <w:r>
              <w:t xml:space="preserve">2026 (Jan–Aug)</w:t>
            </w:r>
          </w:p>
        </w:tc>
        <w:tc>
          <w:tcPr/>
          <w:p>
            <w:pPr>
              <w:pStyle w:val="Compact"/>
            </w:pPr>
            <w:r>
              <w:t xml:space="preserve">Fuel index (07.2.2)</w:t>
            </w:r>
          </w:p>
        </w:tc>
        <w:tc>
          <w:tcPr/>
          <w:p>
            <w:pPr>
              <w:pStyle w:val="Compact"/>
            </w:pPr>
            <w:r>
              <w:t xml:space="preserve">8</w:t>
            </w:r>
          </w:p>
        </w:tc>
        <w:tc>
          <w:tcPr/>
          <w:p>
            <w:pPr>
              <w:pStyle w:val="Compact"/>
            </w:pPr>
            <w:r>
              <w:t xml:space="preserve">4.062</w:t>
            </w:r>
          </w:p>
        </w:tc>
        <w:tc>
          <w:tcPr/>
          <w:p>
            <w:pPr>
              <w:pStyle w:val="Compact"/>
            </w:pPr>
            <w:r>
              <w:t xml:space="preserve">48.75</w:t>
            </w:r>
          </w:p>
        </w:tc>
        <w:tc>
          <w:tcPr/>
          <w:p>
            <w:pPr>
              <w:pStyle w:val="Compact"/>
            </w:pPr>
            <w:r>
              <w:t xml:space="preserve">16.215</w:t>
            </w:r>
          </w:p>
        </w:tc>
        <w:tc>
          <w:tcPr/>
          <w:p>
            <w:pPr>
              <w:pStyle w:val="Compact"/>
            </w:pPr>
            <w:r>
              <w:t xml:space="preserve">−17.71</w:t>
            </w:r>
          </w:p>
        </w:tc>
        <w:tc>
          <w:tcPr/>
          <w:p>
            <w:pPr>
              <w:pStyle w:val="Compact"/>
            </w:pPr>
            <w:r>
              <w:t xml:space="preserve">31.79</w:t>
            </w:r>
          </w:p>
        </w:tc>
      </w:tr>
      <w:tr>
        <w:tc>
          <w:tcPr/>
          <w:p>
            <w:pPr>
              <w:pStyle w:val="Compact"/>
            </w:pPr>
            <w:r>
              <w:t xml:space="preserve">2026 (Jan–Aug)</w:t>
            </w:r>
          </w:p>
        </w:tc>
        <w:tc>
          <w:tcPr/>
          <w:p>
            <w:pPr>
              <w:pStyle w:val="Compact"/>
            </w:pPr>
            <w:r>
              <w:t xml:space="preserve">CPI, all income</w:t>
            </w:r>
          </w:p>
        </w:tc>
        <w:tc>
          <w:tcPr/>
          <w:p>
            <w:pPr>
              <w:pStyle w:val="Compact"/>
            </w:pPr>
            <w:r>
              <w:t xml:space="preserve">8</w:t>
            </w:r>
          </w:p>
        </w:tc>
        <w:tc>
          <w:tcPr/>
          <w:p>
            <w:pPr>
              <w:pStyle w:val="Compact"/>
            </w:pPr>
            <w:r>
              <w:t xml:space="preserve">0.601</w:t>
            </w:r>
          </w:p>
        </w:tc>
        <w:tc>
          <w:tcPr/>
          <w:p>
            <w:pPr>
              <w:pStyle w:val="Compact"/>
            </w:pPr>
            <w:r>
              <w:t xml:space="preserve">7.21</w:t>
            </w:r>
          </w:p>
        </w:tc>
        <w:tc>
          <w:tcPr/>
          <w:p>
            <w:pPr>
              <w:pStyle w:val="Compact"/>
            </w:pPr>
            <w:r>
              <w:t xml:space="preserve">0.999</w:t>
            </w:r>
          </w:p>
        </w:tc>
        <w:tc>
          <w:tcPr/>
          <w:p>
            <w:pPr>
              <w:pStyle w:val="Compact"/>
            </w:pPr>
            <w:r>
              <w:t xml:space="preserve">−0.51</w:t>
            </w:r>
          </w:p>
        </w:tc>
        <w:tc>
          <w:tcPr/>
          <w:p>
            <w:pPr>
              <w:pStyle w:val="Compact"/>
            </w:pPr>
            <w:r>
              <w:t xml:space="preserve">2.60</w:t>
            </w:r>
          </w:p>
        </w:tc>
      </w:tr>
      <w:tr>
        <w:tc>
          <w:tcPr/>
          <w:p>
            <w:pPr>
              <w:pStyle w:val="Compact"/>
            </w:pPr>
            <w:r>
              <w:t xml:space="preserve">2026 (Jan–Aug)</w:t>
            </w:r>
          </w:p>
        </w:tc>
        <w:tc>
          <w:tcPr/>
          <w:p>
            <w:pPr>
              <w:pStyle w:val="Compact"/>
            </w:pPr>
            <w:r>
              <w:t xml:space="preserve">CPI, bottom 30%</w:t>
            </w:r>
          </w:p>
        </w:tc>
        <w:tc>
          <w:tcPr/>
          <w:p>
            <w:pPr>
              <w:pStyle w:val="Compact"/>
            </w:pPr>
            <w:r>
              <w:t xml:space="preserve">8</w:t>
            </w:r>
          </w:p>
        </w:tc>
        <w:tc>
          <w:tcPr/>
          <w:p>
            <w:pPr>
              <w:pStyle w:val="Compact"/>
            </w:pPr>
            <w:r>
              <w:t xml:space="preserve">0.748</w:t>
            </w:r>
          </w:p>
        </w:tc>
        <w:tc>
          <w:tcPr/>
          <w:p>
            <w:pPr>
              <w:pStyle w:val="Compact"/>
            </w:pPr>
            <w:r>
              <w:t xml:space="preserve">8.97</w:t>
            </w:r>
          </w:p>
        </w:tc>
        <w:tc>
          <w:tcPr/>
          <w:p>
            <w:pPr>
              <w:pStyle w:val="Compact"/>
            </w:pPr>
            <w:r>
              <w:t xml:space="preserve">1.129</w:t>
            </w:r>
          </w:p>
        </w:tc>
        <w:tc>
          <w:tcPr/>
          <w:p>
            <w:pPr>
              <w:pStyle w:val="Compact"/>
            </w:pPr>
            <w:r>
              <w:t xml:space="preserve">−0.43</w:t>
            </w:r>
          </w:p>
        </w:tc>
        <w:tc>
          <w:tcPr/>
          <w:p>
            <w:pPr>
              <w:pStyle w:val="Compact"/>
            </w:pPr>
            <w:r>
              <w:t xml:space="preserve">3.13</w:t>
            </w:r>
          </w:p>
        </w:tc>
      </w:tr>
      <w:tr>
        <w:tc>
          <w:tcPr/>
          <w:p>
            <w:pPr>
              <w:pStyle w:val="Compact"/>
            </w:pPr>
            <w:r>
              <w:t xml:space="preserve">2026 (Jan–Aug)</w:t>
            </w:r>
          </w:p>
        </w:tc>
        <w:tc>
          <w:tcPr/>
          <w:p>
            <w:pPr>
              <w:pStyle w:val="Compact"/>
            </w:pPr>
            <w:r>
              <w:t xml:space="preserve">Gap: ln(CPI all/CPI b30)</w:t>
            </w:r>
          </w:p>
        </w:tc>
        <w:tc>
          <w:tcPr/>
          <w:p>
            <w:pPr>
              <w:pStyle w:val="Compact"/>
            </w:pPr>
            <w:r>
              <w:t xml:space="preserve">8</w:t>
            </w:r>
          </w:p>
        </w:tc>
        <w:tc>
          <w:tcPr/>
          <w:p>
            <w:pPr>
              <w:pStyle w:val="Compact"/>
            </w:pPr>
            <w:r>
              <w:t xml:space="preserve">−0.147</w:t>
            </w:r>
          </w:p>
        </w:tc>
        <w:tc>
          <w:tcPr/>
          <w:p>
            <w:pPr>
              <w:pStyle w:val="Compact"/>
            </w:pPr>
            <w:r>
              <w:t xml:space="preserve">−1.76</w:t>
            </w:r>
          </w:p>
        </w:tc>
        <w:tc>
          <w:tcPr/>
          <w:p>
            <w:pPr>
              <w:pStyle w:val="Compact"/>
            </w:pPr>
            <w:r>
              <w:t xml:space="preserve">0.300</w:t>
            </w:r>
          </w:p>
        </w:tc>
        <w:tc>
          <w:tcPr/>
          <w:p>
            <w:pPr>
              <w:pStyle w:val="Compact"/>
            </w:pPr>
            <w:r>
              <w:t xml:space="preserve">−0.53</w:t>
            </w:r>
          </w:p>
        </w:tc>
        <w:tc>
          <w:tcPr/>
          <w:p>
            <w:pPr>
              <w:pStyle w:val="Compact"/>
            </w:pPr>
            <w:r>
              <w:t xml:space="preserve">0.23</w:t>
            </w:r>
          </w:p>
        </w:tc>
      </w:tr>
    </w:tbl>
    <w:bookmarkEnd w:id="59"/>
    <w:bookmarkStart w:id="63" w:name="trends-in-inflation-and-fuel-prices"/>
    <w:p>
      <w:pPr>
        <w:pStyle w:val="Heading3"/>
      </w:pPr>
      <w:r>
        <w:t xml:space="preserve">5.1.2 Trends in inflation and fuel prices</w:t>
      </w:r>
    </w:p>
    <w:p>
      <w:pPr>
        <w:pStyle w:val="FirstParagraph"/>
      </w:pPr>
      <w:r>
        <w:t xml:space="preserve">Figure 2 and Table 3 show the annual pattern. Bottom-30% inflation exceeded all-income inflation in 18 of the 25 years from 2001 to 2025. The largest gap was in 2008, when the oil price spike coincided with the global rice crisis: bottom-30% inflation averaged 13.9% against 8.2% (5.7 pp). The gap was reversed in some years with falling food prices, most recently 2025 (−1.4 pp), when cereal prices fell by 10–15% year on year in both baskets (PSA CPI 01.1.1).</w:t>
      </w:r>
    </w:p>
    <w:p>
      <w:pPr>
        <w:pStyle w:val="CaptionedFigure"/>
      </w:pPr>
      <w:r>
        <w:drawing>
          <wp:inline>
            <wp:extent cx="5646420" cy="5079101"/>
            <wp:effectExtent b="0" l="0" r="0" t="0"/>
            <wp:docPr descr="Figure 2. Inflation of all income and bottom-30% households, the gap between them, and the retail fuel index, January 2001–August 2026 (year-on-year)." title="" id="61" name="Picture"/>
            <a:graphic>
              <a:graphicData uri="http://schemas.openxmlformats.org/drawingml/2006/picture">
                <pic:pic>
                  <pic:nvPicPr>
                    <pic:cNvPr descr="../output/figures/figd1_trends.png" id="62" name="Picture"/>
                    <pic:cNvPicPr>
                      <a:picLocks noChangeArrowheads="1" noChangeAspect="1"/>
                    </pic:cNvPicPr>
                  </pic:nvPicPr>
                  <pic:blipFill>
                    <a:blip r:embed="rId60"/>
                    <a:stretch>
                      <a:fillRect/>
                    </a:stretch>
                  </pic:blipFill>
                  <pic:spPr bwMode="auto">
                    <a:xfrm>
                      <a:off x="0" y="0"/>
                      <a:ext cx="5646420" cy="5079101"/>
                    </a:xfrm>
                    <a:prstGeom prst="rect">
                      <a:avLst/>
                    </a:prstGeom>
                    <a:noFill/>
                    <a:ln w="9525">
                      <a:noFill/>
                      <a:headEnd/>
                      <a:tailEnd/>
                    </a:ln>
                  </pic:spPr>
                </pic:pic>
              </a:graphicData>
            </a:graphic>
          </wp:inline>
        </w:drawing>
      </w:r>
    </w:p>
    <w:p>
      <w:pPr>
        <w:pStyle w:val="ImageCaption"/>
      </w:pPr>
      <w:r>
        <w:t xml:space="preserve">Figure 2. Inflation of all income and bottom-30% households, the gap between them, and the retail fuel index, January 2001–August 2026 (year-on-year).</w:t>
      </w:r>
    </w:p>
    <w:p>
      <w:pPr>
        <w:pStyle w:val="BodyText"/>
      </w:pPr>
      <w:r>
        <w:rPr>
          <w:b/>
          <w:bCs/>
        </w:rPr>
        <w:t xml:space="preserve">Table 3. Annual inflation by group and fuel price change, 2001–2026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Inflation, all income (%)</w:t>
            </w:r>
          </w:p>
        </w:tc>
        <w:tc>
          <w:tcPr/>
          <w:p>
            <w:pPr>
              <w:pStyle w:val="Compact"/>
            </w:pPr>
            <w:r>
              <w:t xml:space="preserve">Inflation, bottom 30% (%)</w:t>
            </w:r>
          </w:p>
        </w:tc>
        <w:tc>
          <w:tcPr/>
          <w:p>
            <w:pPr>
              <w:pStyle w:val="Compact"/>
            </w:pPr>
            <w:r>
              <w:t xml:space="preserve">Gap, b30 − all (pp)</w:t>
            </w:r>
          </w:p>
        </w:tc>
        <w:tc>
          <w:tcPr/>
          <w:p>
            <w:pPr>
              <w:pStyle w:val="Compact"/>
            </w:pPr>
            <w:r>
              <w:t xml:space="preserve">Fuel index (% y/y)</w:t>
            </w:r>
          </w:p>
        </w:tc>
      </w:tr>
      <w:tr>
        <w:tc>
          <w:tcPr/>
          <w:p>
            <w:pPr>
              <w:pStyle w:val="Compact"/>
            </w:pPr>
            <w:r>
              <w:t xml:space="preserve">2001</w:t>
            </w:r>
          </w:p>
        </w:tc>
        <w:tc>
          <w:tcPr/>
          <w:p>
            <w:pPr>
              <w:pStyle w:val="Compact"/>
            </w:pPr>
            <w:r>
              <w:t xml:space="preserve">5.41</w:t>
            </w:r>
          </w:p>
        </w:tc>
        <w:tc>
          <w:tcPr/>
          <w:p>
            <w:pPr>
              <w:pStyle w:val="Compact"/>
            </w:pPr>
            <w:r>
              <w:t xml:space="preserve">5.39</w:t>
            </w:r>
          </w:p>
        </w:tc>
        <w:tc>
          <w:tcPr/>
          <w:p>
            <w:pPr>
              <w:pStyle w:val="Compact"/>
            </w:pPr>
            <w:r>
              <w:t xml:space="preserve">−0.02</w:t>
            </w:r>
          </w:p>
        </w:tc>
        <w:tc>
          <w:tcPr/>
          <w:p>
            <w:pPr>
              <w:pStyle w:val="Compact"/>
            </w:pPr>
            <w:r>
              <w:t xml:space="preserve">11.8</w:t>
            </w:r>
          </w:p>
        </w:tc>
      </w:tr>
      <w:tr>
        <w:tc>
          <w:tcPr/>
          <w:p>
            <w:pPr>
              <w:pStyle w:val="Compact"/>
            </w:pPr>
            <w:r>
              <w:t xml:space="preserve">2002</w:t>
            </w:r>
          </w:p>
        </w:tc>
        <w:tc>
          <w:tcPr/>
          <w:p>
            <w:pPr>
              <w:pStyle w:val="Compact"/>
            </w:pPr>
            <w:r>
              <w:t xml:space="preserve">2.73</w:t>
            </w:r>
          </w:p>
        </w:tc>
        <w:tc>
          <w:tcPr/>
          <w:p>
            <w:pPr>
              <w:pStyle w:val="Compact"/>
            </w:pPr>
            <w:r>
              <w:t xml:space="preserve">2.98</w:t>
            </w:r>
          </w:p>
        </w:tc>
        <w:tc>
          <w:tcPr/>
          <w:p>
            <w:pPr>
              <w:pStyle w:val="Compact"/>
            </w:pPr>
            <w:r>
              <w:t xml:space="preserve">+0.25</w:t>
            </w:r>
          </w:p>
        </w:tc>
        <w:tc>
          <w:tcPr/>
          <w:p>
            <w:pPr>
              <w:pStyle w:val="Compact"/>
            </w:pPr>
            <w:r>
              <w:t xml:space="preserve">0.1</w:t>
            </w:r>
          </w:p>
        </w:tc>
      </w:tr>
      <w:tr>
        <w:tc>
          <w:tcPr/>
          <w:p>
            <w:pPr>
              <w:pStyle w:val="Compact"/>
            </w:pPr>
            <w:r>
              <w:t xml:space="preserve">2003</w:t>
            </w:r>
          </w:p>
        </w:tc>
        <w:tc>
          <w:tcPr/>
          <w:p>
            <w:pPr>
              <w:pStyle w:val="Compact"/>
            </w:pPr>
            <w:r>
              <w:t xml:space="preserve">2.25</w:t>
            </w:r>
          </w:p>
        </w:tc>
        <w:tc>
          <w:tcPr/>
          <w:p>
            <w:pPr>
              <w:pStyle w:val="Compact"/>
            </w:pPr>
            <w:r>
              <w:t xml:space="preserve">2.40</w:t>
            </w:r>
          </w:p>
        </w:tc>
        <w:tc>
          <w:tcPr/>
          <w:p>
            <w:pPr>
              <w:pStyle w:val="Compact"/>
            </w:pPr>
            <w:r>
              <w:t xml:space="preserve">+0.15</w:t>
            </w:r>
          </w:p>
        </w:tc>
        <w:tc>
          <w:tcPr/>
          <w:p>
            <w:pPr>
              <w:pStyle w:val="Compact"/>
            </w:pPr>
            <w:r>
              <w:t xml:space="preserve">10.9</w:t>
            </w:r>
          </w:p>
        </w:tc>
      </w:tr>
      <w:tr>
        <w:tc>
          <w:tcPr/>
          <w:p>
            <w:pPr>
              <w:pStyle w:val="Compact"/>
            </w:pPr>
            <w:r>
              <w:t xml:space="preserve">2004</w:t>
            </w:r>
          </w:p>
        </w:tc>
        <w:tc>
          <w:tcPr/>
          <w:p>
            <w:pPr>
              <w:pStyle w:val="Compact"/>
            </w:pPr>
            <w:r>
              <w:t xml:space="preserve">4.80</w:t>
            </w:r>
          </w:p>
        </w:tc>
        <w:tc>
          <w:tcPr/>
          <w:p>
            <w:pPr>
              <w:pStyle w:val="Compact"/>
            </w:pPr>
            <w:r>
              <w:t xml:space="preserve">5.93</w:t>
            </w:r>
          </w:p>
        </w:tc>
        <w:tc>
          <w:tcPr/>
          <w:p>
            <w:pPr>
              <w:pStyle w:val="Compact"/>
            </w:pPr>
            <w:r>
              <w:t xml:space="preserve">+1.13</w:t>
            </w:r>
          </w:p>
        </w:tc>
        <w:tc>
          <w:tcPr/>
          <w:p>
            <w:pPr>
              <w:pStyle w:val="Compact"/>
            </w:pPr>
            <w:r>
              <w:t xml:space="preserve">15.8</w:t>
            </w:r>
          </w:p>
        </w:tc>
      </w:tr>
      <w:tr>
        <w:tc>
          <w:tcPr/>
          <w:p>
            <w:pPr>
              <w:pStyle w:val="Compact"/>
            </w:pPr>
            <w:r>
              <w:t xml:space="preserve">2005</w:t>
            </w:r>
          </w:p>
        </w:tc>
        <w:tc>
          <w:tcPr/>
          <w:p>
            <w:pPr>
              <w:pStyle w:val="Compact"/>
            </w:pPr>
            <w:r>
              <w:t xml:space="preserve">6.61</w:t>
            </w:r>
          </w:p>
        </w:tc>
        <w:tc>
          <w:tcPr/>
          <w:p>
            <w:pPr>
              <w:pStyle w:val="Compact"/>
            </w:pPr>
            <w:r>
              <w:t xml:space="preserve">7.91</w:t>
            </w:r>
          </w:p>
        </w:tc>
        <w:tc>
          <w:tcPr/>
          <w:p>
            <w:pPr>
              <w:pStyle w:val="Compact"/>
            </w:pPr>
            <w:r>
              <w:t xml:space="preserve">+1.30</w:t>
            </w:r>
          </w:p>
        </w:tc>
        <w:tc>
          <w:tcPr/>
          <w:p>
            <w:pPr>
              <w:pStyle w:val="Compact"/>
            </w:pPr>
            <w:r>
              <w:t xml:space="preserve">23.4</w:t>
            </w:r>
          </w:p>
        </w:tc>
      </w:tr>
      <w:tr>
        <w:tc>
          <w:tcPr/>
          <w:p>
            <w:pPr>
              <w:pStyle w:val="Compact"/>
            </w:pPr>
            <w:r>
              <w:t xml:space="preserve">2006</w:t>
            </w:r>
          </w:p>
        </w:tc>
        <w:tc>
          <w:tcPr/>
          <w:p>
            <w:pPr>
              <w:pStyle w:val="Compact"/>
            </w:pPr>
            <w:r>
              <w:t xml:space="preserve">5.48</w:t>
            </w:r>
          </w:p>
        </w:tc>
        <w:tc>
          <w:tcPr/>
          <w:p>
            <w:pPr>
              <w:pStyle w:val="Compact"/>
            </w:pPr>
            <w:r>
              <w:t xml:space="preserve">6.62</w:t>
            </w:r>
          </w:p>
        </w:tc>
        <w:tc>
          <w:tcPr/>
          <w:p>
            <w:pPr>
              <w:pStyle w:val="Compact"/>
            </w:pPr>
            <w:r>
              <w:t xml:space="preserve">+1.14</w:t>
            </w:r>
          </w:p>
        </w:tc>
        <w:tc>
          <w:tcPr/>
          <w:p>
            <w:pPr>
              <w:pStyle w:val="Compact"/>
            </w:pPr>
            <w:r>
              <w:t xml:space="preserve">19.0</w:t>
            </w:r>
          </w:p>
        </w:tc>
      </w:tr>
      <w:tr>
        <w:tc>
          <w:tcPr/>
          <w:p>
            <w:pPr>
              <w:pStyle w:val="Compact"/>
            </w:pPr>
            <w:r>
              <w:t xml:space="preserve">2007</w:t>
            </w:r>
          </w:p>
        </w:tc>
        <w:tc>
          <w:tcPr/>
          <w:p>
            <w:pPr>
              <w:pStyle w:val="Compact"/>
            </w:pPr>
            <w:r>
              <w:t xml:space="preserve">2.94</w:t>
            </w:r>
          </w:p>
        </w:tc>
        <w:tc>
          <w:tcPr/>
          <w:p>
            <w:pPr>
              <w:pStyle w:val="Compact"/>
            </w:pPr>
            <w:r>
              <w:t xml:space="preserve">3.26</w:t>
            </w:r>
          </w:p>
        </w:tc>
        <w:tc>
          <w:tcPr/>
          <w:p>
            <w:pPr>
              <w:pStyle w:val="Compact"/>
            </w:pPr>
            <w:r>
              <w:t xml:space="preserve">+0.32</w:t>
            </w:r>
          </w:p>
        </w:tc>
        <w:tc>
          <w:tcPr/>
          <w:p>
            <w:pPr>
              <w:pStyle w:val="Compact"/>
            </w:pPr>
            <w:r>
              <w:t xml:space="preserve">1.4</w:t>
            </w:r>
          </w:p>
        </w:tc>
      </w:tr>
      <w:tr>
        <w:tc>
          <w:tcPr/>
          <w:p>
            <w:pPr>
              <w:pStyle w:val="Compact"/>
            </w:pPr>
            <w:r>
              <w:t xml:space="preserve">2008</w:t>
            </w:r>
          </w:p>
        </w:tc>
        <w:tc>
          <w:tcPr/>
          <w:p>
            <w:pPr>
              <w:pStyle w:val="Compact"/>
            </w:pPr>
            <w:r>
              <w:t xml:space="preserve">8.17</w:t>
            </w:r>
          </w:p>
        </w:tc>
        <w:tc>
          <w:tcPr/>
          <w:p>
            <w:pPr>
              <w:pStyle w:val="Compact"/>
            </w:pPr>
            <w:r>
              <w:t xml:space="preserve">13.91</w:t>
            </w:r>
          </w:p>
        </w:tc>
        <w:tc>
          <w:tcPr/>
          <w:p>
            <w:pPr>
              <w:pStyle w:val="Compact"/>
            </w:pPr>
            <w:r>
              <w:t xml:space="preserve">+5.74</w:t>
            </w:r>
          </w:p>
        </w:tc>
        <w:tc>
          <w:tcPr/>
          <w:p>
            <w:pPr>
              <w:pStyle w:val="Compact"/>
            </w:pPr>
            <w:r>
              <w:t xml:space="preserve">20.9</w:t>
            </w:r>
          </w:p>
        </w:tc>
      </w:tr>
      <w:tr>
        <w:tc>
          <w:tcPr/>
          <w:p>
            <w:pPr>
              <w:pStyle w:val="Compact"/>
            </w:pPr>
            <w:r>
              <w:t xml:space="preserve">2009</w:t>
            </w:r>
          </w:p>
        </w:tc>
        <w:tc>
          <w:tcPr/>
          <w:p>
            <w:pPr>
              <w:pStyle w:val="Compact"/>
            </w:pPr>
            <w:r>
              <w:t xml:space="preserve">4.26</w:t>
            </w:r>
          </w:p>
        </w:tc>
        <w:tc>
          <w:tcPr/>
          <w:p>
            <w:pPr>
              <w:pStyle w:val="Compact"/>
            </w:pPr>
            <w:r>
              <w:t xml:space="preserve">5.38</w:t>
            </w:r>
          </w:p>
        </w:tc>
        <w:tc>
          <w:tcPr/>
          <w:p>
            <w:pPr>
              <w:pStyle w:val="Compact"/>
            </w:pPr>
            <w:r>
              <w:t xml:space="preserve">+1.12</w:t>
            </w:r>
          </w:p>
        </w:tc>
        <w:tc>
          <w:tcPr/>
          <w:p>
            <w:pPr>
              <w:pStyle w:val="Compact"/>
            </w:pPr>
            <w:r>
              <w:t xml:space="preserve">−15.9</w:t>
            </w:r>
          </w:p>
        </w:tc>
      </w:tr>
      <w:tr>
        <w:tc>
          <w:tcPr/>
          <w:p>
            <w:pPr>
              <w:pStyle w:val="Compact"/>
            </w:pPr>
            <w:r>
              <w:t xml:space="preserve">2010</w:t>
            </w:r>
          </w:p>
        </w:tc>
        <w:tc>
          <w:tcPr/>
          <w:p>
            <w:pPr>
              <w:pStyle w:val="Compact"/>
            </w:pPr>
            <w:r>
              <w:t xml:space="preserve">3.79</w:t>
            </w:r>
          </w:p>
        </w:tc>
        <w:tc>
          <w:tcPr/>
          <w:p>
            <w:pPr>
              <w:pStyle w:val="Compact"/>
            </w:pPr>
            <w:r>
              <w:t xml:space="preserve">3.61</w:t>
            </w:r>
          </w:p>
        </w:tc>
        <w:tc>
          <w:tcPr/>
          <w:p>
            <w:pPr>
              <w:pStyle w:val="Compact"/>
            </w:pPr>
            <w:r>
              <w:t xml:space="preserve">−0.17</w:t>
            </w:r>
          </w:p>
        </w:tc>
        <w:tc>
          <w:tcPr/>
          <w:p>
            <w:pPr>
              <w:pStyle w:val="Compact"/>
            </w:pPr>
            <w:r>
              <w:t xml:space="preserve">12.9</w:t>
            </w:r>
          </w:p>
        </w:tc>
      </w:tr>
      <w:tr>
        <w:tc>
          <w:tcPr/>
          <w:p>
            <w:pPr>
              <w:pStyle w:val="Compact"/>
            </w:pPr>
            <w:r>
              <w:t xml:space="preserve">2011</w:t>
            </w:r>
          </w:p>
        </w:tc>
        <w:tc>
          <w:tcPr/>
          <w:p>
            <w:pPr>
              <w:pStyle w:val="Compact"/>
            </w:pPr>
            <w:r>
              <w:t xml:space="preserve">4.72</w:t>
            </w:r>
          </w:p>
        </w:tc>
        <w:tc>
          <w:tcPr/>
          <w:p>
            <w:pPr>
              <w:pStyle w:val="Compact"/>
            </w:pPr>
            <w:r>
              <w:t xml:space="preserve">5.13</w:t>
            </w:r>
          </w:p>
        </w:tc>
        <w:tc>
          <w:tcPr/>
          <w:p>
            <w:pPr>
              <w:pStyle w:val="Compact"/>
            </w:pPr>
            <w:r>
              <w:t xml:space="preserve">+0.41</w:t>
            </w:r>
          </w:p>
        </w:tc>
        <w:tc>
          <w:tcPr/>
          <w:p>
            <w:pPr>
              <w:pStyle w:val="Compact"/>
            </w:pPr>
            <w:r>
              <w:t xml:space="preserve">11.9</w:t>
            </w:r>
          </w:p>
        </w:tc>
      </w:tr>
      <w:tr>
        <w:tc>
          <w:tcPr/>
          <w:p>
            <w:pPr>
              <w:pStyle w:val="Compact"/>
            </w:pPr>
            <w:r>
              <w:t xml:space="preserve">2012</w:t>
            </w:r>
          </w:p>
        </w:tc>
        <w:tc>
          <w:tcPr/>
          <w:p>
            <w:pPr>
              <w:pStyle w:val="Compact"/>
            </w:pPr>
            <w:r>
              <w:t xml:space="preserve">3.17</w:t>
            </w:r>
          </w:p>
        </w:tc>
        <w:tc>
          <w:tcPr/>
          <w:p>
            <w:pPr>
              <w:pStyle w:val="Compact"/>
            </w:pPr>
            <w:r>
              <w:t xml:space="preserve">2.82</w:t>
            </w:r>
          </w:p>
        </w:tc>
        <w:tc>
          <w:tcPr/>
          <w:p>
            <w:pPr>
              <w:pStyle w:val="Compact"/>
            </w:pPr>
            <w:r>
              <w:t xml:space="preserve">−0.36</w:t>
            </w:r>
          </w:p>
        </w:tc>
        <w:tc>
          <w:tcPr/>
          <w:p>
            <w:pPr>
              <w:pStyle w:val="Compact"/>
            </w:pPr>
            <w:r>
              <w:t xml:space="preserve">2.1</w:t>
            </w:r>
          </w:p>
        </w:tc>
      </w:tr>
      <w:tr>
        <w:tc>
          <w:tcPr/>
          <w:p>
            <w:pPr>
              <w:pStyle w:val="Compact"/>
            </w:pPr>
            <w:r>
              <w:t xml:space="preserve">2013</w:t>
            </w:r>
          </w:p>
        </w:tc>
        <w:tc>
          <w:tcPr/>
          <w:p>
            <w:pPr>
              <w:pStyle w:val="Compact"/>
            </w:pPr>
            <w:r>
              <w:t xml:space="preserve">2.58</w:t>
            </w:r>
          </w:p>
        </w:tc>
        <w:tc>
          <w:tcPr/>
          <w:p>
            <w:pPr>
              <w:pStyle w:val="Compact"/>
            </w:pPr>
            <w:r>
              <w:t xml:space="preserve">3.05</w:t>
            </w:r>
          </w:p>
        </w:tc>
        <w:tc>
          <w:tcPr/>
          <w:p>
            <w:pPr>
              <w:pStyle w:val="Compact"/>
            </w:pPr>
            <w:r>
              <w:t xml:space="preserve">+0.46</w:t>
            </w:r>
          </w:p>
        </w:tc>
        <w:tc>
          <w:tcPr/>
          <w:p>
            <w:pPr>
              <w:pStyle w:val="Compact"/>
            </w:pPr>
            <w:r>
              <w:t xml:space="preserve">−1.4</w:t>
            </w:r>
          </w:p>
        </w:tc>
      </w:tr>
      <w:tr>
        <w:tc>
          <w:tcPr/>
          <w:p>
            <w:pPr>
              <w:pStyle w:val="Compact"/>
            </w:pPr>
            <w:r>
              <w:t xml:space="preserve">2014</w:t>
            </w:r>
          </w:p>
        </w:tc>
        <w:tc>
          <w:tcPr/>
          <w:p>
            <w:pPr>
              <w:pStyle w:val="Compact"/>
            </w:pPr>
            <w:r>
              <w:t xml:space="preserve">3.60</w:t>
            </w:r>
          </w:p>
        </w:tc>
        <w:tc>
          <w:tcPr/>
          <w:p>
            <w:pPr>
              <w:pStyle w:val="Compact"/>
            </w:pPr>
            <w:r>
              <w:t xml:space="preserve">4.68</w:t>
            </w:r>
          </w:p>
        </w:tc>
        <w:tc>
          <w:tcPr/>
          <w:p>
            <w:pPr>
              <w:pStyle w:val="Compact"/>
            </w:pPr>
            <w:r>
              <w:t xml:space="preserve">+1.08</w:t>
            </w:r>
          </w:p>
        </w:tc>
        <w:tc>
          <w:tcPr/>
          <w:p>
            <w:pPr>
              <w:pStyle w:val="Compact"/>
            </w:pPr>
            <w:r>
              <w:t xml:space="preserve">−0.4</w:t>
            </w:r>
          </w:p>
        </w:tc>
      </w:tr>
      <w:tr>
        <w:tc>
          <w:tcPr/>
          <w:p>
            <w:pPr>
              <w:pStyle w:val="Compact"/>
            </w:pPr>
            <w:r>
              <w:t xml:space="preserve">2015</w:t>
            </w:r>
          </w:p>
        </w:tc>
        <w:tc>
          <w:tcPr/>
          <w:p>
            <w:pPr>
              <w:pStyle w:val="Compact"/>
            </w:pPr>
            <w:r>
              <w:t xml:space="preserve">0.68</w:t>
            </w:r>
          </w:p>
        </w:tc>
        <w:tc>
          <w:tcPr/>
          <w:p>
            <w:pPr>
              <w:pStyle w:val="Compact"/>
            </w:pPr>
            <w:r>
              <w:t xml:space="preserve">1.32</w:t>
            </w:r>
          </w:p>
        </w:tc>
        <w:tc>
          <w:tcPr/>
          <w:p>
            <w:pPr>
              <w:pStyle w:val="Compact"/>
            </w:pPr>
            <w:r>
              <w:t xml:space="preserve">+0.64</w:t>
            </w:r>
          </w:p>
        </w:tc>
        <w:tc>
          <w:tcPr/>
          <w:p>
            <w:pPr>
              <w:pStyle w:val="Compact"/>
            </w:pPr>
            <w:r>
              <w:t xml:space="preserve">−24.3</w:t>
            </w:r>
          </w:p>
        </w:tc>
      </w:tr>
      <w:tr>
        <w:tc>
          <w:tcPr/>
          <w:p>
            <w:pPr>
              <w:pStyle w:val="Compact"/>
            </w:pPr>
            <w:r>
              <w:t xml:space="preserve">2016</w:t>
            </w:r>
          </w:p>
        </w:tc>
        <w:tc>
          <w:tcPr/>
          <w:p>
            <w:pPr>
              <w:pStyle w:val="Compact"/>
            </w:pPr>
            <w:r>
              <w:t xml:space="preserve">1.25</w:t>
            </w:r>
          </w:p>
        </w:tc>
        <w:tc>
          <w:tcPr/>
          <w:p>
            <w:pPr>
              <w:pStyle w:val="Compact"/>
            </w:pPr>
            <w:r>
              <w:t xml:space="preserve">1.11</w:t>
            </w:r>
          </w:p>
        </w:tc>
        <w:tc>
          <w:tcPr/>
          <w:p>
            <w:pPr>
              <w:pStyle w:val="Compact"/>
            </w:pPr>
            <w:r>
              <w:t xml:space="preserve">−0.14</w:t>
            </w:r>
          </w:p>
        </w:tc>
        <w:tc>
          <w:tcPr/>
          <w:p>
            <w:pPr>
              <w:pStyle w:val="Compact"/>
            </w:pPr>
            <w:r>
              <w:t xml:space="preserve">−7.3</w:t>
            </w:r>
          </w:p>
        </w:tc>
      </w:tr>
      <w:tr>
        <w:tc>
          <w:tcPr/>
          <w:p>
            <w:pPr>
              <w:pStyle w:val="Compact"/>
            </w:pPr>
            <w:r>
              <w:t xml:space="preserve">2017</w:t>
            </w:r>
          </w:p>
        </w:tc>
        <w:tc>
          <w:tcPr/>
          <w:p>
            <w:pPr>
              <w:pStyle w:val="Compact"/>
            </w:pPr>
            <w:r>
              <w:t xml:space="preserve">2.85</w:t>
            </w:r>
          </w:p>
        </w:tc>
        <w:tc>
          <w:tcPr/>
          <w:p>
            <w:pPr>
              <w:pStyle w:val="Compact"/>
            </w:pPr>
            <w:r>
              <w:t xml:space="preserve">2.30</w:t>
            </w:r>
          </w:p>
        </w:tc>
        <w:tc>
          <w:tcPr/>
          <w:p>
            <w:pPr>
              <w:pStyle w:val="Compact"/>
            </w:pPr>
            <w:r>
              <w:t xml:space="preserve">−0.55</w:t>
            </w:r>
          </w:p>
        </w:tc>
        <w:tc>
          <w:tcPr/>
          <w:p>
            <w:pPr>
              <w:pStyle w:val="Compact"/>
            </w:pPr>
            <w:r>
              <w:t xml:space="preserve">14.0</w:t>
            </w:r>
          </w:p>
        </w:tc>
      </w:tr>
      <w:tr>
        <w:tc>
          <w:tcPr/>
          <w:p>
            <w:pPr>
              <w:pStyle w:val="Compact"/>
            </w:pPr>
            <w:r>
              <w:t xml:space="preserve">2018</w:t>
            </w:r>
          </w:p>
        </w:tc>
        <w:tc>
          <w:tcPr/>
          <w:p>
            <w:pPr>
              <w:pStyle w:val="Compact"/>
            </w:pPr>
            <w:r>
              <w:t xml:space="preserve">5.23</w:t>
            </w:r>
          </w:p>
        </w:tc>
        <w:tc>
          <w:tcPr/>
          <w:p>
            <w:pPr>
              <w:pStyle w:val="Compact"/>
            </w:pPr>
            <w:r>
              <w:t xml:space="preserve">5.99</w:t>
            </w:r>
          </w:p>
        </w:tc>
        <w:tc>
          <w:tcPr/>
          <w:p>
            <w:pPr>
              <w:pStyle w:val="Compact"/>
            </w:pPr>
            <w:r>
              <w:t xml:space="preserve">+0.76</w:t>
            </w:r>
          </w:p>
        </w:tc>
        <w:tc>
          <w:tcPr/>
          <w:p>
            <w:pPr>
              <w:pStyle w:val="Compact"/>
            </w:pPr>
            <w:r>
              <w:t xml:space="preserve">23.2</w:t>
            </w:r>
          </w:p>
        </w:tc>
      </w:tr>
      <w:tr>
        <w:tc>
          <w:tcPr/>
          <w:p>
            <w:pPr>
              <w:pStyle w:val="Compact"/>
            </w:pPr>
            <w:r>
              <w:t xml:space="preserve">2019</w:t>
            </w:r>
          </w:p>
        </w:tc>
        <w:tc>
          <w:tcPr/>
          <w:p>
            <w:pPr>
              <w:pStyle w:val="Compact"/>
            </w:pPr>
            <w:r>
              <w:t xml:space="preserve">2.41</w:t>
            </w:r>
          </w:p>
        </w:tc>
        <w:tc>
          <w:tcPr/>
          <w:p>
            <w:pPr>
              <w:pStyle w:val="Compact"/>
            </w:pPr>
            <w:r>
              <w:t xml:space="preserve">1.91</w:t>
            </w:r>
          </w:p>
        </w:tc>
        <w:tc>
          <w:tcPr/>
          <w:p>
            <w:pPr>
              <w:pStyle w:val="Compact"/>
            </w:pPr>
            <w:r>
              <w:t xml:space="preserve">−0.50</w:t>
            </w:r>
          </w:p>
        </w:tc>
        <w:tc>
          <w:tcPr/>
          <w:p>
            <w:pPr>
              <w:pStyle w:val="Compact"/>
            </w:pPr>
            <w:r>
              <w:t xml:space="preserve">−1.0</w:t>
            </w:r>
          </w:p>
        </w:tc>
      </w:tr>
      <w:tr>
        <w:tc>
          <w:tcPr/>
          <w:p>
            <w:pPr>
              <w:pStyle w:val="Compact"/>
            </w:pPr>
            <w:r>
              <w:t xml:space="preserve">2020</w:t>
            </w:r>
          </w:p>
        </w:tc>
        <w:tc>
          <w:tcPr/>
          <w:p>
            <w:pPr>
              <w:pStyle w:val="Compact"/>
            </w:pPr>
            <w:r>
              <w:t xml:space="preserve">2.39</w:t>
            </w:r>
          </w:p>
        </w:tc>
        <w:tc>
          <w:tcPr/>
          <w:p>
            <w:pPr>
              <w:pStyle w:val="Compact"/>
            </w:pPr>
            <w:r>
              <w:t xml:space="preserve">2.59</w:t>
            </w:r>
          </w:p>
        </w:tc>
        <w:tc>
          <w:tcPr/>
          <w:p>
            <w:pPr>
              <w:pStyle w:val="Compact"/>
            </w:pPr>
            <w:r>
              <w:t xml:space="preserve">+0.20</w:t>
            </w:r>
          </w:p>
        </w:tc>
        <w:tc>
          <w:tcPr/>
          <w:p>
            <w:pPr>
              <w:pStyle w:val="Compact"/>
            </w:pPr>
            <w:r>
              <w:t xml:space="preserve">−11.2</w:t>
            </w:r>
          </w:p>
        </w:tc>
      </w:tr>
      <w:tr>
        <w:tc>
          <w:tcPr/>
          <w:p>
            <w:pPr>
              <w:pStyle w:val="Compact"/>
            </w:pPr>
            <w:r>
              <w:t xml:space="preserve">2021</w:t>
            </w:r>
          </w:p>
        </w:tc>
        <w:tc>
          <w:tcPr/>
          <w:p>
            <w:pPr>
              <w:pStyle w:val="Compact"/>
            </w:pPr>
            <w:r>
              <w:t xml:space="preserve">3.93</w:t>
            </w:r>
          </w:p>
        </w:tc>
        <w:tc>
          <w:tcPr/>
          <w:p>
            <w:pPr>
              <w:pStyle w:val="Compact"/>
            </w:pPr>
            <w:r>
              <w:t xml:space="preserve">4.22</w:t>
            </w:r>
          </w:p>
        </w:tc>
        <w:tc>
          <w:tcPr/>
          <w:p>
            <w:pPr>
              <w:pStyle w:val="Compact"/>
            </w:pPr>
            <w:r>
              <w:t xml:space="preserve">+0.29</w:t>
            </w:r>
          </w:p>
        </w:tc>
        <w:tc>
          <w:tcPr/>
          <w:p>
            <w:pPr>
              <w:pStyle w:val="Compact"/>
            </w:pPr>
            <w:r>
              <w:t xml:space="preserve">20.8</w:t>
            </w:r>
          </w:p>
        </w:tc>
      </w:tr>
      <w:tr>
        <w:tc>
          <w:tcPr/>
          <w:p>
            <w:pPr>
              <w:pStyle w:val="Compact"/>
            </w:pPr>
            <w:r>
              <w:t xml:space="preserve">2022</w:t>
            </w:r>
          </w:p>
        </w:tc>
        <w:tc>
          <w:tcPr/>
          <w:p>
            <w:pPr>
              <w:pStyle w:val="Compact"/>
            </w:pPr>
            <w:r>
              <w:t xml:space="preserve">5.81</w:t>
            </w:r>
          </w:p>
        </w:tc>
        <w:tc>
          <w:tcPr/>
          <w:p>
            <w:pPr>
              <w:pStyle w:val="Compact"/>
            </w:pPr>
            <w:r>
              <w:t xml:space="preserve">6.56</w:t>
            </w:r>
          </w:p>
        </w:tc>
        <w:tc>
          <w:tcPr/>
          <w:p>
            <w:pPr>
              <w:pStyle w:val="Compact"/>
            </w:pPr>
            <w:r>
              <w:t xml:space="preserve">+0.75</w:t>
            </w:r>
          </w:p>
        </w:tc>
        <w:tc>
          <w:tcPr/>
          <w:p>
            <w:pPr>
              <w:pStyle w:val="Compact"/>
            </w:pPr>
            <w:r>
              <w:t xml:space="preserve">39.7</w:t>
            </w:r>
          </w:p>
        </w:tc>
      </w:tr>
      <w:tr>
        <w:tc>
          <w:tcPr/>
          <w:p>
            <w:pPr>
              <w:pStyle w:val="Compact"/>
            </w:pPr>
            <w:r>
              <w:t xml:space="preserve">2023</w:t>
            </w:r>
          </w:p>
        </w:tc>
        <w:tc>
          <w:tcPr/>
          <w:p>
            <w:pPr>
              <w:pStyle w:val="Compact"/>
            </w:pPr>
            <w:r>
              <w:t xml:space="preserve">6.01</w:t>
            </w:r>
          </w:p>
        </w:tc>
        <w:tc>
          <w:tcPr/>
          <w:p>
            <w:pPr>
              <w:pStyle w:val="Compact"/>
            </w:pPr>
            <w:r>
              <w:t xml:space="preserve">6.77</w:t>
            </w:r>
          </w:p>
        </w:tc>
        <w:tc>
          <w:tcPr/>
          <w:p>
            <w:pPr>
              <w:pStyle w:val="Compact"/>
            </w:pPr>
            <w:r>
              <w:t xml:space="preserve">+0.76</w:t>
            </w:r>
          </w:p>
        </w:tc>
        <w:tc>
          <w:tcPr/>
          <w:p>
            <w:pPr>
              <w:pStyle w:val="Compact"/>
            </w:pPr>
            <w:r>
              <w:t xml:space="preserve">−9.1</w:t>
            </w:r>
          </w:p>
        </w:tc>
      </w:tr>
      <w:tr>
        <w:tc>
          <w:tcPr/>
          <w:p>
            <w:pPr>
              <w:pStyle w:val="Compact"/>
            </w:pPr>
            <w:r>
              <w:t xml:space="preserve">2024</w:t>
            </w:r>
          </w:p>
        </w:tc>
        <w:tc>
          <w:tcPr/>
          <w:p>
            <w:pPr>
              <w:pStyle w:val="Compact"/>
            </w:pPr>
            <w:r>
              <w:t xml:space="preserve">3.22</w:t>
            </w:r>
          </w:p>
        </w:tc>
        <w:tc>
          <w:tcPr/>
          <w:p>
            <w:pPr>
              <w:pStyle w:val="Compact"/>
            </w:pPr>
            <w:r>
              <w:t xml:space="preserve">4.18</w:t>
            </w:r>
          </w:p>
        </w:tc>
        <w:tc>
          <w:tcPr/>
          <w:p>
            <w:pPr>
              <w:pStyle w:val="Compact"/>
            </w:pPr>
            <w:r>
              <w:t xml:space="preserve">+0.97</w:t>
            </w:r>
          </w:p>
        </w:tc>
        <w:tc>
          <w:tcPr/>
          <w:p>
            <w:pPr>
              <w:pStyle w:val="Compact"/>
            </w:pPr>
            <w:r>
              <w:t xml:space="preserve">−3.0</w:t>
            </w:r>
          </w:p>
        </w:tc>
      </w:tr>
      <w:tr>
        <w:tc>
          <w:tcPr/>
          <w:p>
            <w:pPr>
              <w:pStyle w:val="Compact"/>
            </w:pPr>
            <w:r>
              <w:t xml:space="preserve">2025</w:t>
            </w:r>
          </w:p>
        </w:tc>
        <w:tc>
          <w:tcPr/>
          <w:p>
            <w:pPr>
              <w:pStyle w:val="Compact"/>
            </w:pPr>
            <w:r>
              <w:t xml:space="preserve">1.66</w:t>
            </w:r>
          </w:p>
        </w:tc>
        <w:tc>
          <w:tcPr/>
          <w:p>
            <w:pPr>
              <w:pStyle w:val="Compact"/>
            </w:pPr>
            <w:r>
              <w:t xml:space="preserve">0.29</w:t>
            </w:r>
          </w:p>
        </w:tc>
        <w:tc>
          <w:tcPr/>
          <w:p>
            <w:pPr>
              <w:pStyle w:val="Compact"/>
            </w:pPr>
            <w:r>
              <w:t xml:space="preserve">−1.37</w:t>
            </w:r>
          </w:p>
        </w:tc>
        <w:tc>
          <w:tcPr/>
          <w:p>
            <w:pPr>
              <w:pStyle w:val="Compact"/>
            </w:pPr>
            <w:r>
              <w:t xml:space="preserve">−4.3</w:t>
            </w:r>
          </w:p>
        </w:tc>
      </w:tr>
      <w:tr>
        <w:tc>
          <w:tcPr/>
          <w:p>
            <w:pPr>
              <w:pStyle w:val="Compact"/>
            </w:pPr>
            <w:r>
              <w:t xml:space="preserve">2026*</w:t>
            </w:r>
          </w:p>
        </w:tc>
        <w:tc>
          <w:tcPr/>
          <w:p>
            <w:pPr>
              <w:pStyle w:val="Compact"/>
            </w:pPr>
            <w:r>
              <w:t xml:space="preserve">5.16</w:t>
            </w:r>
          </w:p>
        </w:tc>
        <w:tc>
          <w:tcPr/>
          <w:p>
            <w:pPr>
              <w:pStyle w:val="Compact"/>
            </w:pPr>
            <w:r>
              <w:t xml:space="preserve">6.20</w:t>
            </w:r>
          </w:p>
        </w:tc>
        <w:tc>
          <w:tcPr/>
          <w:p>
            <w:pPr>
              <w:pStyle w:val="Compact"/>
            </w:pPr>
            <w:r>
              <w:t xml:space="preserve">+1.04</w:t>
            </w:r>
          </w:p>
        </w:tc>
        <w:tc>
          <w:tcPr/>
          <w:p>
            <w:pPr>
              <w:pStyle w:val="Compact"/>
            </w:pPr>
            <w:r>
              <w:t xml:space="preserve">33.8</w:t>
            </w:r>
          </w:p>
        </w:tc>
      </w:tr>
    </w:tbl>
    <w:p>
      <w:pPr>
        <w:pStyle w:val="BodyText"/>
      </w:pPr>
      <w:r>
        <w:rPr>
          <w:i/>
          <w:iCs/>
        </w:rPr>
        <w:t xml:space="preserve">Notes:</w:t>
      </w:r>
      <w:r>
        <w:t xml:space="preserve"> </w:t>
      </w:r>
      <w:r>
        <w:t xml:space="preserve">Average of monthly year-on-year rates. *2026: January–August.</w:t>
      </w:r>
    </w:p>
    <w:bookmarkEnd w:id="63"/>
    <w:bookmarkStart w:id="64" w:name="fuel-shock-episodes"/>
    <w:p>
      <w:pPr>
        <w:pStyle w:val="Heading3"/>
      </w:pPr>
      <w:r>
        <w:t xml:space="preserve">5.1.3 Fuel-shock episodes</w:t>
      </w:r>
    </w:p>
    <w:p>
      <w:pPr>
        <w:pStyle w:val="FirstParagraph"/>
      </w:pPr>
      <w:r>
        <w:t xml:space="preserve">Table 4 lists the 9 episodes in which the fuel index stayed at least 15% above its level a year earlier for three months or more. In 6 of them the poor’s inflation exceeded the average. The gap was largest in 2008 and second largest in 2026; the long 2021–2022 episode, with the largest fuel increase before 2026, produced a modest gap.</w:t>
      </w:r>
    </w:p>
    <w:p>
      <w:pPr>
        <w:pStyle w:val="BodyText"/>
      </w:pPr>
      <w:r>
        <w:rPr>
          <w:b/>
          <w:bCs/>
        </w:rPr>
        <w:t xml:space="preserve">Table 4. Fuel-shock episodes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Episode</w:t>
            </w:r>
          </w:p>
        </w:tc>
        <w:tc>
          <w:tcPr/>
          <w:p>
            <w:pPr>
              <w:pStyle w:val="Compact"/>
            </w:pPr>
            <w:r>
              <w:t xml:space="preserve">Months</w:t>
            </w:r>
          </w:p>
        </w:tc>
        <w:tc>
          <w:tcPr/>
          <w:p>
            <w:pPr>
              <w:pStyle w:val="Compact"/>
            </w:pPr>
            <w:r>
              <w:t xml:space="preserve">Peak fuel rise (% y/y)</w:t>
            </w:r>
          </w:p>
        </w:tc>
        <w:tc>
          <w:tcPr/>
          <w:p>
            <w:pPr>
              <w:pStyle w:val="Compact"/>
            </w:pPr>
            <w:r>
              <w:t xml:space="preserve">Inflation, all (%)</w:t>
            </w:r>
          </w:p>
        </w:tc>
        <w:tc>
          <w:tcPr/>
          <w:p>
            <w:pPr>
              <w:pStyle w:val="Compact"/>
            </w:pPr>
            <w:r>
              <w:t xml:space="preserve">Inflation, b30 (%)</w:t>
            </w:r>
          </w:p>
        </w:tc>
        <w:tc>
          <w:tcPr/>
          <w:p>
            <w:pPr>
              <w:pStyle w:val="Compact"/>
            </w:pPr>
            <w:r>
              <w:t xml:space="preserve">Gap, b30 − all (pp)</w:t>
            </w:r>
          </w:p>
        </w:tc>
      </w:tr>
      <w:tr>
        <w:tc>
          <w:tcPr/>
          <w:p>
            <w:pPr>
              <w:pStyle w:val="Compact"/>
            </w:pPr>
            <w:r>
              <w:t xml:space="preserve">2001-01 to 2001-03</w:t>
            </w:r>
          </w:p>
        </w:tc>
        <w:tc>
          <w:tcPr/>
          <w:p>
            <w:pPr>
              <w:pStyle w:val="Compact"/>
            </w:pPr>
            <w:r>
              <w:t xml:space="preserve">3</w:t>
            </w:r>
          </w:p>
        </w:tc>
        <w:tc>
          <w:tcPr/>
          <w:p>
            <w:pPr>
              <w:pStyle w:val="Compact"/>
            </w:pPr>
            <w:r>
              <w:t xml:space="preserve">22.8</w:t>
            </w:r>
          </w:p>
        </w:tc>
        <w:tc>
          <w:tcPr/>
          <w:p>
            <w:pPr>
              <w:pStyle w:val="Compact"/>
            </w:pPr>
            <w:r>
              <w:t xml:space="preserve">5.83</w:t>
            </w:r>
          </w:p>
        </w:tc>
        <w:tc>
          <w:tcPr/>
          <w:p>
            <w:pPr>
              <w:pStyle w:val="Compact"/>
            </w:pPr>
            <w:r>
              <w:t xml:space="preserve">5.90</w:t>
            </w:r>
          </w:p>
        </w:tc>
        <w:tc>
          <w:tcPr/>
          <w:p>
            <w:pPr>
              <w:pStyle w:val="Compact"/>
            </w:pPr>
            <w:r>
              <w:t xml:space="preserve">+0.07</w:t>
            </w:r>
          </w:p>
        </w:tc>
      </w:tr>
      <w:tr>
        <w:tc>
          <w:tcPr/>
          <w:p>
            <w:pPr>
              <w:pStyle w:val="Compact"/>
            </w:pPr>
            <w:r>
              <w:t xml:space="preserve">2004-06 to 2006-09</w:t>
            </w:r>
          </w:p>
        </w:tc>
        <w:tc>
          <w:tcPr/>
          <w:p>
            <w:pPr>
              <w:pStyle w:val="Compact"/>
            </w:pPr>
            <w:r>
              <w:t xml:space="preserve">28</w:t>
            </w:r>
          </w:p>
        </w:tc>
        <w:tc>
          <w:tcPr/>
          <w:p>
            <w:pPr>
              <w:pStyle w:val="Compact"/>
            </w:pPr>
            <w:r>
              <w:t xml:space="preserve">28.3</w:t>
            </w:r>
          </w:p>
        </w:tc>
        <w:tc>
          <w:tcPr/>
          <w:p>
            <w:pPr>
              <w:pStyle w:val="Compact"/>
            </w:pPr>
            <w:r>
              <w:t xml:space="preserve">6.21</w:t>
            </w:r>
          </w:p>
        </w:tc>
        <w:tc>
          <w:tcPr/>
          <w:p>
            <w:pPr>
              <w:pStyle w:val="Compact"/>
            </w:pPr>
            <w:r>
              <w:t xml:space="preserve">7.53</w:t>
            </w:r>
          </w:p>
        </w:tc>
        <w:tc>
          <w:tcPr/>
          <w:p>
            <w:pPr>
              <w:pStyle w:val="Compact"/>
            </w:pPr>
            <w:r>
              <w:t xml:space="preserve">+1.32</w:t>
            </w:r>
          </w:p>
        </w:tc>
      </w:tr>
      <w:tr>
        <w:tc>
          <w:tcPr/>
          <w:p>
            <w:pPr>
              <w:pStyle w:val="Compact"/>
            </w:pPr>
            <w:r>
              <w:t xml:space="preserve">2008-02 to 2008-10</w:t>
            </w:r>
          </w:p>
        </w:tc>
        <w:tc>
          <w:tcPr/>
          <w:p>
            <w:pPr>
              <w:pStyle w:val="Compact"/>
            </w:pPr>
            <w:r>
              <w:t xml:space="preserve">9</w:t>
            </w:r>
          </w:p>
        </w:tc>
        <w:tc>
          <w:tcPr/>
          <w:p>
            <w:pPr>
              <w:pStyle w:val="Compact"/>
            </w:pPr>
            <w:r>
              <w:t xml:space="preserve">40.3</w:t>
            </w:r>
          </w:p>
        </w:tc>
        <w:tc>
          <w:tcPr/>
          <w:p>
            <w:pPr>
              <w:pStyle w:val="Compact"/>
            </w:pPr>
            <w:r>
              <w:t xml:space="preserve">8.50</w:t>
            </w:r>
          </w:p>
        </w:tc>
        <w:tc>
          <w:tcPr/>
          <w:p>
            <w:pPr>
              <w:pStyle w:val="Compact"/>
            </w:pPr>
            <w:r>
              <w:t xml:space="preserve">14.68</w:t>
            </w:r>
          </w:p>
        </w:tc>
        <w:tc>
          <w:tcPr/>
          <w:p>
            <w:pPr>
              <w:pStyle w:val="Compact"/>
            </w:pPr>
            <w:r>
              <w:t xml:space="preserve">+6.17</w:t>
            </w:r>
          </w:p>
        </w:tc>
      </w:tr>
      <w:tr>
        <w:tc>
          <w:tcPr/>
          <w:p>
            <w:pPr>
              <w:pStyle w:val="Compact"/>
            </w:pPr>
            <w:r>
              <w:t xml:space="preserve">2010-01 to 2010-05</w:t>
            </w:r>
          </w:p>
        </w:tc>
        <w:tc>
          <w:tcPr/>
          <w:p>
            <w:pPr>
              <w:pStyle w:val="Compact"/>
            </w:pPr>
            <w:r>
              <w:t xml:space="preserve">5</w:t>
            </w:r>
          </w:p>
        </w:tc>
        <w:tc>
          <w:tcPr/>
          <w:p>
            <w:pPr>
              <w:pStyle w:val="Compact"/>
            </w:pPr>
            <w:r>
              <w:t xml:space="preserve">23.5</w:t>
            </w:r>
          </w:p>
        </w:tc>
        <w:tc>
          <w:tcPr/>
          <w:p>
            <w:pPr>
              <w:pStyle w:val="Compact"/>
            </w:pPr>
            <w:r>
              <w:t xml:space="preserve">3.92</w:t>
            </w:r>
          </w:p>
        </w:tc>
        <w:tc>
          <w:tcPr/>
          <w:p>
            <w:pPr>
              <w:pStyle w:val="Compact"/>
            </w:pPr>
            <w:r>
              <w:t xml:space="preserve">3.88</w:t>
            </w:r>
          </w:p>
        </w:tc>
        <w:tc>
          <w:tcPr/>
          <w:p>
            <w:pPr>
              <w:pStyle w:val="Compact"/>
            </w:pPr>
            <w:r>
              <w:t xml:space="preserve">−0.04</w:t>
            </w:r>
          </w:p>
        </w:tc>
      </w:tr>
      <w:tr>
        <w:tc>
          <w:tcPr/>
          <w:p>
            <w:pPr>
              <w:pStyle w:val="Compact"/>
            </w:pPr>
            <w:r>
              <w:t xml:space="preserve">2017-01 to 2017-03</w:t>
            </w:r>
          </w:p>
        </w:tc>
        <w:tc>
          <w:tcPr/>
          <w:p>
            <w:pPr>
              <w:pStyle w:val="Compact"/>
            </w:pPr>
            <w:r>
              <w:t xml:space="preserve">3</w:t>
            </w:r>
          </w:p>
        </w:tc>
        <w:tc>
          <w:tcPr/>
          <w:p>
            <w:pPr>
              <w:pStyle w:val="Compact"/>
            </w:pPr>
            <w:r>
              <w:t xml:space="preserve">24.6</w:t>
            </w:r>
          </w:p>
        </w:tc>
        <w:tc>
          <w:tcPr/>
          <w:p>
            <w:pPr>
              <w:pStyle w:val="Compact"/>
            </w:pPr>
            <w:r>
              <w:t xml:space="preserve">2.88</w:t>
            </w:r>
          </w:p>
        </w:tc>
        <w:tc>
          <w:tcPr/>
          <w:p>
            <w:pPr>
              <w:pStyle w:val="Compact"/>
            </w:pPr>
            <w:r>
              <w:t xml:space="preserve">2.12</w:t>
            </w:r>
          </w:p>
        </w:tc>
        <w:tc>
          <w:tcPr/>
          <w:p>
            <w:pPr>
              <w:pStyle w:val="Compact"/>
            </w:pPr>
            <w:r>
              <w:t xml:space="preserve">−0.76</w:t>
            </w:r>
          </w:p>
        </w:tc>
      </w:tr>
      <w:tr>
        <w:tc>
          <w:tcPr/>
          <w:p>
            <w:pPr>
              <w:pStyle w:val="Compact"/>
            </w:pPr>
            <w:r>
              <w:t xml:space="preserve">2017-09 to 2017-11</w:t>
            </w:r>
          </w:p>
        </w:tc>
        <w:tc>
          <w:tcPr/>
          <w:p>
            <w:pPr>
              <w:pStyle w:val="Compact"/>
            </w:pPr>
            <w:r>
              <w:t xml:space="preserve">3</w:t>
            </w:r>
          </w:p>
        </w:tc>
        <w:tc>
          <w:tcPr/>
          <w:p>
            <w:pPr>
              <w:pStyle w:val="Compact"/>
            </w:pPr>
            <w:r>
              <w:t xml:space="preserve">15.9</w:t>
            </w:r>
          </w:p>
        </w:tc>
        <w:tc>
          <w:tcPr/>
          <w:p>
            <w:pPr>
              <w:pStyle w:val="Compact"/>
            </w:pPr>
            <w:r>
              <w:t xml:space="preserve">3.06</w:t>
            </w:r>
          </w:p>
        </w:tc>
        <w:tc>
          <w:tcPr/>
          <w:p>
            <w:pPr>
              <w:pStyle w:val="Compact"/>
            </w:pPr>
            <w:r>
              <w:t xml:space="preserve">2.61</w:t>
            </w:r>
          </w:p>
        </w:tc>
        <w:tc>
          <w:tcPr/>
          <w:p>
            <w:pPr>
              <w:pStyle w:val="Compact"/>
            </w:pPr>
            <w:r>
              <w:t xml:space="preserve">−0.44</w:t>
            </w:r>
          </w:p>
        </w:tc>
      </w:tr>
      <w:tr>
        <w:tc>
          <w:tcPr/>
          <w:p>
            <w:pPr>
              <w:pStyle w:val="Compact"/>
            </w:pPr>
            <w:r>
              <w:t xml:space="preserve">2018-02 to 2018-11</w:t>
            </w:r>
          </w:p>
        </w:tc>
        <w:tc>
          <w:tcPr/>
          <w:p>
            <w:pPr>
              <w:pStyle w:val="Compact"/>
            </w:pPr>
            <w:r>
              <w:t xml:space="preserve">10</w:t>
            </w:r>
          </w:p>
        </w:tc>
        <w:tc>
          <w:tcPr/>
          <w:p>
            <w:pPr>
              <w:pStyle w:val="Compact"/>
            </w:pPr>
            <w:r>
              <w:t xml:space="preserve">33.5</w:t>
            </w:r>
          </w:p>
        </w:tc>
        <w:tc>
          <w:tcPr/>
          <w:p>
            <w:pPr>
              <w:pStyle w:val="Compact"/>
            </w:pPr>
            <w:r>
              <w:t xml:space="preserve">5.42</w:t>
            </w:r>
          </w:p>
        </w:tc>
        <w:tc>
          <w:tcPr/>
          <w:p>
            <w:pPr>
              <w:pStyle w:val="Compact"/>
            </w:pPr>
            <w:r>
              <w:t xml:space="preserve">6.22</w:t>
            </w:r>
          </w:p>
        </w:tc>
        <w:tc>
          <w:tcPr/>
          <w:p>
            <w:pPr>
              <w:pStyle w:val="Compact"/>
            </w:pPr>
            <w:r>
              <w:t xml:space="preserve">+0.81</w:t>
            </w:r>
          </w:p>
        </w:tc>
      </w:tr>
      <w:tr>
        <w:tc>
          <w:tcPr/>
          <w:p>
            <w:pPr>
              <w:pStyle w:val="Compact"/>
            </w:pPr>
            <w:r>
              <w:t xml:space="preserve">2021-04 to 2022-12</w:t>
            </w:r>
          </w:p>
        </w:tc>
        <w:tc>
          <w:tcPr/>
          <w:p>
            <w:pPr>
              <w:pStyle w:val="Compact"/>
            </w:pPr>
            <w:r>
              <w:t xml:space="preserve">21</w:t>
            </w:r>
          </w:p>
        </w:tc>
        <w:tc>
          <w:tcPr/>
          <w:p>
            <w:pPr>
              <w:pStyle w:val="Compact"/>
            </w:pPr>
            <w:r>
              <w:t xml:space="preserve">62.7</w:t>
            </w:r>
          </w:p>
        </w:tc>
        <w:tc>
          <w:tcPr/>
          <w:p>
            <w:pPr>
              <w:pStyle w:val="Compact"/>
            </w:pPr>
            <w:r>
              <w:t xml:space="preserve">4.99</w:t>
            </w:r>
          </w:p>
        </w:tc>
        <w:tc>
          <w:tcPr/>
          <w:p>
            <w:pPr>
              <w:pStyle w:val="Compact"/>
            </w:pPr>
            <w:r>
              <w:t xml:space="preserve">5.52</w:t>
            </w:r>
          </w:p>
        </w:tc>
        <w:tc>
          <w:tcPr/>
          <w:p>
            <w:pPr>
              <w:pStyle w:val="Compact"/>
            </w:pPr>
            <w:r>
              <w:t xml:space="preserve">+0.53</w:t>
            </w:r>
          </w:p>
        </w:tc>
      </w:tr>
      <w:tr>
        <w:tc>
          <w:tcPr/>
          <w:p>
            <w:pPr>
              <w:pStyle w:val="Compact"/>
            </w:pPr>
            <w:r>
              <w:t xml:space="preserve">2026-03 to 2026-08</w:t>
            </w:r>
          </w:p>
        </w:tc>
        <w:tc>
          <w:tcPr/>
          <w:p>
            <w:pPr>
              <w:pStyle w:val="Compact"/>
            </w:pPr>
            <w:r>
              <w:t xml:space="preserve">6</w:t>
            </w:r>
          </w:p>
        </w:tc>
        <w:tc>
          <w:tcPr/>
          <w:p>
            <w:pPr>
              <w:pStyle w:val="Compact"/>
            </w:pPr>
            <w:r>
              <w:t xml:space="preserve">76.3</w:t>
            </w:r>
          </w:p>
        </w:tc>
        <w:tc>
          <w:tcPr/>
          <w:p>
            <w:pPr>
              <w:pStyle w:val="Compact"/>
            </w:pPr>
            <w:r>
              <w:t xml:space="preserve">6.14</w:t>
            </w:r>
          </w:p>
        </w:tc>
        <w:tc>
          <w:tcPr/>
          <w:p>
            <w:pPr>
              <w:pStyle w:val="Compact"/>
            </w:pPr>
            <w:r>
              <w:t xml:space="preserve">7.58</w:t>
            </w:r>
          </w:p>
        </w:tc>
        <w:tc>
          <w:tcPr/>
          <w:p>
            <w:pPr>
              <w:pStyle w:val="Compact"/>
            </w:pPr>
            <w:r>
              <w:t xml:space="preserve">+1.44</w:t>
            </w:r>
          </w:p>
        </w:tc>
      </w:tr>
    </w:tbl>
    <w:bookmarkEnd w:id="64"/>
    <w:bookmarkStart w:id="65" w:name="timing-of-co-movement"/>
    <w:p>
      <w:pPr>
        <w:pStyle w:val="Heading3"/>
      </w:pPr>
      <w:r>
        <w:t xml:space="preserve">5.1.4 Timing of co-movement</w:t>
      </w:r>
    </w:p>
    <w:p>
      <w:pPr>
        <w:pStyle w:val="FirstParagraph"/>
      </w:pPr>
      <w:r>
        <w:t xml:space="preserve">Table 5 shows the correlations between this month’s fuel price change and price changes in the same and following months. The correlation with all-income inflation is 0.54 in the same month and 0.30 a month later, then falls to around zero before rising again to 0.17 after six months — a first sign of fast direct effects and slower indirect effects. The correlation with the gap is negative in the same month (−0.11) and at most lags in the first year: fuel price increases tend to be followed by faster price increases for the poor. These correlations do not control for other influences; Objective 2 does.</w:t>
      </w:r>
    </w:p>
    <w:p>
      <w:pPr>
        <w:pStyle w:val="BodyText"/>
      </w:pPr>
      <w:r>
        <w:rPr>
          <w:b/>
          <w:bCs/>
        </w:rPr>
        <w:t xml:space="preserve">Table 5. Cross-correlations of the fuel price change with later price changes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Lag k (months)</w:t>
            </w:r>
          </w:p>
        </w:tc>
        <w:tc>
          <w:tcPr/>
          <w:p>
            <w:pPr>
              <w:pStyle w:val="Compact"/>
            </w:pPr>
            <w:r>
              <w:t xml:space="preserve">Corr(Δfuel_t, Δln CPI all_t+k)</w:t>
            </w:r>
          </w:p>
        </w:tc>
        <w:tc>
          <w:tcPr/>
          <w:p>
            <w:pPr>
              <w:pStyle w:val="Compact"/>
            </w:pPr>
            <w:r>
              <w:t xml:space="preserve">Corr(Δfuel_t, Δln CPI b30_t+k)</w:t>
            </w:r>
          </w:p>
        </w:tc>
        <w:tc>
          <w:tcPr/>
          <w:p>
            <w:pPr>
              <w:pStyle w:val="Compact"/>
            </w:pPr>
            <w:r>
              <w:t xml:space="preserve">Corr(Δfuel_t, ΔGap_t+k)</w:t>
            </w:r>
          </w:p>
        </w:tc>
      </w:tr>
      <w:tr>
        <w:tc>
          <w:tcPr/>
          <w:p>
            <w:pPr>
              <w:pStyle w:val="Compact"/>
            </w:pPr>
            <w:r>
              <w:t xml:space="preserve">0</w:t>
            </w:r>
          </w:p>
        </w:tc>
        <w:tc>
          <w:tcPr/>
          <w:p>
            <w:pPr>
              <w:pStyle w:val="Compact"/>
            </w:pPr>
            <w:r>
              <w:t xml:space="preserve">0.536</w:t>
            </w:r>
          </w:p>
        </w:tc>
        <w:tc>
          <w:tcPr/>
          <w:p>
            <w:pPr>
              <w:pStyle w:val="Compact"/>
            </w:pPr>
            <w:r>
              <w:t xml:space="preserve">0.428</w:t>
            </w:r>
          </w:p>
        </w:tc>
        <w:tc>
          <w:tcPr/>
          <w:p>
            <w:pPr>
              <w:pStyle w:val="Compact"/>
            </w:pPr>
            <w:r>
              <w:t xml:space="preserve">−0.114</w:t>
            </w:r>
          </w:p>
        </w:tc>
      </w:tr>
      <w:tr>
        <w:tc>
          <w:tcPr/>
          <w:p>
            <w:pPr>
              <w:pStyle w:val="Compact"/>
            </w:pPr>
            <w:r>
              <w:t xml:space="preserve">1</w:t>
            </w:r>
          </w:p>
        </w:tc>
        <w:tc>
          <w:tcPr/>
          <w:p>
            <w:pPr>
              <w:pStyle w:val="Compact"/>
            </w:pPr>
            <w:r>
              <w:t xml:space="preserve">0.295</w:t>
            </w:r>
          </w:p>
        </w:tc>
        <w:tc>
          <w:tcPr/>
          <w:p>
            <w:pPr>
              <w:pStyle w:val="Compact"/>
            </w:pPr>
            <w:r>
              <w:t xml:space="preserve">0.271</w:t>
            </w:r>
          </w:p>
        </w:tc>
        <w:tc>
          <w:tcPr/>
          <w:p>
            <w:pPr>
              <w:pStyle w:val="Compact"/>
            </w:pPr>
            <w:r>
              <w:t xml:space="preserve">−0.129</w:t>
            </w:r>
          </w:p>
        </w:tc>
      </w:tr>
      <w:tr>
        <w:tc>
          <w:tcPr/>
          <w:p>
            <w:pPr>
              <w:pStyle w:val="Compact"/>
            </w:pPr>
            <w:r>
              <w:t xml:space="preserve">2</w:t>
            </w:r>
          </w:p>
        </w:tc>
        <w:tc>
          <w:tcPr/>
          <w:p>
            <w:pPr>
              <w:pStyle w:val="Compact"/>
            </w:pPr>
            <w:r>
              <w:t xml:space="preserve">−0.028</w:t>
            </w:r>
          </w:p>
        </w:tc>
        <w:tc>
          <w:tcPr/>
          <w:p>
            <w:pPr>
              <w:pStyle w:val="Compact"/>
            </w:pPr>
            <w:r>
              <w:t xml:space="preserve">0.012</w:t>
            </w:r>
          </w:p>
        </w:tc>
        <w:tc>
          <w:tcPr/>
          <w:p>
            <w:pPr>
              <w:pStyle w:val="Compact"/>
            </w:pPr>
            <w:r>
              <w:t xml:space="preserve">−0.057</w:t>
            </w:r>
          </w:p>
        </w:tc>
      </w:tr>
      <w:tr>
        <w:tc>
          <w:tcPr/>
          <w:p>
            <w:pPr>
              <w:pStyle w:val="Compact"/>
            </w:pPr>
            <w:r>
              <w:t xml:space="preserve">3</w:t>
            </w:r>
          </w:p>
        </w:tc>
        <w:tc>
          <w:tcPr/>
          <w:p>
            <w:pPr>
              <w:pStyle w:val="Compact"/>
            </w:pPr>
            <w:r>
              <w:t xml:space="preserve">−0.058</w:t>
            </w:r>
          </w:p>
        </w:tc>
        <w:tc>
          <w:tcPr/>
          <w:p>
            <w:pPr>
              <w:pStyle w:val="Compact"/>
            </w:pPr>
            <w:r>
              <w:t xml:space="preserve">−0.023</w:t>
            </w:r>
          </w:p>
        </w:tc>
        <w:tc>
          <w:tcPr/>
          <w:p>
            <w:pPr>
              <w:pStyle w:val="Compact"/>
            </w:pPr>
            <w:r>
              <w:t xml:space="preserve">−0.030</w:t>
            </w:r>
          </w:p>
        </w:tc>
      </w:tr>
      <w:tr>
        <w:tc>
          <w:tcPr/>
          <w:p>
            <w:pPr>
              <w:pStyle w:val="Compact"/>
            </w:pPr>
            <w:r>
              <w:t xml:space="preserve">4</w:t>
            </w:r>
          </w:p>
        </w:tc>
        <w:tc>
          <w:tcPr/>
          <w:p>
            <w:pPr>
              <w:pStyle w:val="Compact"/>
            </w:pPr>
            <w:r>
              <w:t xml:space="preserve">0.060</w:t>
            </w:r>
          </w:p>
        </w:tc>
        <w:tc>
          <w:tcPr/>
          <w:p>
            <w:pPr>
              <w:pStyle w:val="Compact"/>
            </w:pPr>
            <w:r>
              <w:t xml:space="preserve">0.036</w:t>
            </w:r>
          </w:p>
        </w:tc>
        <w:tc>
          <w:tcPr/>
          <w:p>
            <w:pPr>
              <w:pStyle w:val="Compact"/>
            </w:pPr>
            <w:r>
              <w:t xml:space="preserve">0.010</w:t>
            </w:r>
          </w:p>
        </w:tc>
      </w:tr>
      <w:tr>
        <w:tc>
          <w:tcPr/>
          <w:p>
            <w:pPr>
              <w:pStyle w:val="Compact"/>
            </w:pPr>
            <w:r>
              <w:t xml:space="preserve">5</w:t>
            </w:r>
          </w:p>
        </w:tc>
        <w:tc>
          <w:tcPr/>
          <w:p>
            <w:pPr>
              <w:pStyle w:val="Compact"/>
            </w:pPr>
            <w:r>
              <w:t xml:space="preserve">0.168</w:t>
            </w:r>
          </w:p>
        </w:tc>
        <w:tc>
          <w:tcPr/>
          <w:p>
            <w:pPr>
              <w:pStyle w:val="Compact"/>
            </w:pPr>
            <w:r>
              <w:t xml:space="preserve">0.092</w:t>
            </w:r>
          </w:p>
        </w:tc>
        <w:tc>
          <w:tcPr/>
          <w:p>
            <w:pPr>
              <w:pStyle w:val="Compact"/>
            </w:pPr>
            <w:r>
              <w:t xml:space="preserve">0.042</w:t>
            </w:r>
          </w:p>
        </w:tc>
      </w:tr>
      <w:tr>
        <w:tc>
          <w:tcPr/>
          <w:p>
            <w:pPr>
              <w:pStyle w:val="Compact"/>
            </w:pPr>
            <w:r>
              <w:t xml:space="preserve">6</w:t>
            </w:r>
          </w:p>
        </w:tc>
        <w:tc>
          <w:tcPr/>
          <w:p>
            <w:pPr>
              <w:pStyle w:val="Compact"/>
            </w:pPr>
            <w:r>
              <w:t xml:space="preserve">0.166</w:t>
            </w:r>
          </w:p>
        </w:tc>
        <w:tc>
          <w:tcPr/>
          <w:p>
            <w:pPr>
              <w:pStyle w:val="Compact"/>
            </w:pPr>
            <w:r>
              <w:t xml:space="preserve">0.139</w:t>
            </w:r>
          </w:p>
        </w:tc>
        <w:tc>
          <w:tcPr/>
          <w:p>
            <w:pPr>
              <w:pStyle w:val="Compact"/>
            </w:pPr>
            <w:r>
              <w:t xml:space="preserve">−0.048</w:t>
            </w:r>
          </w:p>
        </w:tc>
      </w:tr>
      <w:tr>
        <w:tc>
          <w:tcPr/>
          <w:p>
            <w:pPr>
              <w:pStyle w:val="Compact"/>
            </w:pPr>
            <w:r>
              <w:t xml:space="preserve">7</w:t>
            </w:r>
          </w:p>
        </w:tc>
        <w:tc>
          <w:tcPr/>
          <w:p>
            <w:pPr>
              <w:pStyle w:val="Compact"/>
            </w:pPr>
            <w:r>
              <w:t xml:space="preserve">0.128</w:t>
            </w:r>
          </w:p>
        </w:tc>
        <w:tc>
          <w:tcPr/>
          <w:p>
            <w:pPr>
              <w:pStyle w:val="Compact"/>
            </w:pPr>
            <w:r>
              <w:t xml:space="preserve">0.127</w:t>
            </w:r>
          </w:p>
        </w:tc>
        <w:tc>
          <w:tcPr/>
          <w:p>
            <w:pPr>
              <w:pStyle w:val="Compact"/>
            </w:pPr>
            <w:r>
              <w:t xml:space="preserve">−0.075</w:t>
            </w:r>
          </w:p>
        </w:tc>
      </w:tr>
      <w:tr>
        <w:tc>
          <w:tcPr/>
          <w:p>
            <w:pPr>
              <w:pStyle w:val="Compact"/>
            </w:pPr>
            <w:r>
              <w:t xml:space="preserve">8</w:t>
            </w:r>
          </w:p>
        </w:tc>
        <w:tc>
          <w:tcPr/>
          <w:p>
            <w:pPr>
              <w:pStyle w:val="Compact"/>
            </w:pPr>
            <w:r>
              <w:t xml:space="preserve">0.069</w:t>
            </w:r>
          </w:p>
        </w:tc>
        <w:tc>
          <w:tcPr/>
          <w:p>
            <w:pPr>
              <w:pStyle w:val="Compact"/>
            </w:pPr>
            <w:r>
              <w:t xml:space="preserve">0.093</w:t>
            </w:r>
          </w:p>
        </w:tc>
        <w:tc>
          <w:tcPr/>
          <w:p>
            <w:pPr>
              <w:pStyle w:val="Compact"/>
            </w:pPr>
            <w:r>
              <w:t xml:space="preserve">−0.085</w:t>
            </w:r>
          </w:p>
        </w:tc>
      </w:tr>
      <w:tr>
        <w:tc>
          <w:tcPr/>
          <w:p>
            <w:pPr>
              <w:pStyle w:val="Compact"/>
            </w:pPr>
            <w:r>
              <w:t xml:space="preserve">9</w:t>
            </w:r>
          </w:p>
        </w:tc>
        <w:tc>
          <w:tcPr/>
          <w:p>
            <w:pPr>
              <w:pStyle w:val="Compact"/>
            </w:pPr>
            <w:r>
              <w:t xml:space="preserve">0.024</w:t>
            </w:r>
          </w:p>
        </w:tc>
        <w:tc>
          <w:tcPr/>
          <w:p>
            <w:pPr>
              <w:pStyle w:val="Compact"/>
            </w:pPr>
            <w:r>
              <w:t xml:space="preserve">0.026</w:t>
            </w:r>
          </w:p>
        </w:tc>
        <w:tc>
          <w:tcPr/>
          <w:p>
            <w:pPr>
              <w:pStyle w:val="Compact"/>
            </w:pPr>
            <w:r>
              <w:t xml:space="preserve">−0.019</w:t>
            </w:r>
          </w:p>
        </w:tc>
      </w:tr>
      <w:tr>
        <w:tc>
          <w:tcPr/>
          <w:p>
            <w:pPr>
              <w:pStyle w:val="Compact"/>
            </w:pPr>
            <w:r>
              <w:t xml:space="preserve">10</w:t>
            </w:r>
          </w:p>
        </w:tc>
        <w:tc>
          <w:tcPr/>
          <w:p>
            <w:pPr>
              <w:pStyle w:val="Compact"/>
            </w:pPr>
            <w:r>
              <w:t xml:space="preserve">0.061</w:t>
            </w:r>
          </w:p>
        </w:tc>
        <w:tc>
          <w:tcPr/>
          <w:p>
            <w:pPr>
              <w:pStyle w:val="Compact"/>
            </w:pPr>
            <w:r>
              <w:t xml:space="preserve">0.066</w:t>
            </w:r>
          </w:p>
        </w:tc>
        <w:tc>
          <w:tcPr/>
          <w:p>
            <w:pPr>
              <w:pStyle w:val="Compact"/>
            </w:pPr>
            <w:r>
              <w:t xml:space="preserve">−0.046</w:t>
            </w:r>
          </w:p>
        </w:tc>
      </w:tr>
      <w:tr>
        <w:tc>
          <w:tcPr/>
          <w:p>
            <w:pPr>
              <w:pStyle w:val="Compact"/>
            </w:pPr>
            <w:r>
              <w:t xml:space="preserve">11</w:t>
            </w:r>
          </w:p>
        </w:tc>
        <w:tc>
          <w:tcPr/>
          <w:p>
            <w:pPr>
              <w:pStyle w:val="Compact"/>
            </w:pPr>
            <w:r>
              <w:t xml:space="preserve">0.015</w:t>
            </w:r>
          </w:p>
        </w:tc>
        <w:tc>
          <w:tcPr/>
          <w:p>
            <w:pPr>
              <w:pStyle w:val="Compact"/>
            </w:pPr>
            <w:r>
              <w:t xml:space="preserve">0.009</w:t>
            </w:r>
          </w:p>
        </w:tc>
        <w:tc>
          <w:tcPr/>
          <w:p>
            <w:pPr>
              <w:pStyle w:val="Compact"/>
            </w:pPr>
            <w:r>
              <w:t xml:space="preserve">0.002</w:t>
            </w:r>
          </w:p>
        </w:tc>
      </w:tr>
      <w:tr>
        <w:tc>
          <w:tcPr/>
          <w:p>
            <w:pPr>
              <w:pStyle w:val="Compact"/>
            </w:pPr>
            <w:r>
              <w:t xml:space="preserve">12</w:t>
            </w:r>
          </w:p>
        </w:tc>
        <w:tc>
          <w:tcPr/>
          <w:p>
            <w:pPr>
              <w:pStyle w:val="Compact"/>
            </w:pPr>
            <w:r>
              <w:t xml:space="preserve">−0.016</w:t>
            </w:r>
          </w:p>
        </w:tc>
        <w:tc>
          <w:tcPr/>
          <w:p>
            <w:pPr>
              <w:pStyle w:val="Compact"/>
            </w:pPr>
            <w:r>
              <w:t xml:space="preserve">−0.025</w:t>
            </w:r>
          </w:p>
        </w:tc>
        <w:tc>
          <w:tcPr/>
          <w:p>
            <w:pPr>
              <w:pStyle w:val="Compact"/>
            </w:pPr>
            <w:r>
              <w:t xml:space="preserve">0.026</w:t>
            </w:r>
          </w:p>
        </w:tc>
      </w:tr>
    </w:tbl>
    <w:bookmarkEnd w:id="65"/>
    <w:bookmarkStart w:id="69" w:name="regional-patterns"/>
    <w:p>
      <w:pPr>
        <w:pStyle w:val="Heading3"/>
      </w:pPr>
      <w:r>
        <w:t xml:space="preserve">5.1.5 Regional patterns</w:t>
      </w:r>
    </w:p>
    <w:p>
      <w:pPr>
        <w:pStyle w:val="FirstParagraph"/>
      </w:pPr>
      <w:r>
        <w:t xml:space="preserve">Table 6 and Figure 3 compare the regions. In every region, bottom-30% prices rose more than all-income prices over 2001–2025; the cumulative gap ranges from −4.2 log points in MIMAROPA to −16.0 in VII Central Visayas (−13.3 nationally). The gap is, perhaps surprisingly,</w:t>
      </w:r>
      <w:r>
        <w:t xml:space="preserve"> </w:t>
      </w:r>
      <w:r>
        <w:rPr>
          <w:i/>
          <w:iCs/>
        </w:rPr>
        <w:t xml:space="preserve">smaller</w:t>
      </w:r>
      <w:r>
        <w:t xml:space="preserve"> </w:t>
      </w:r>
      <w:r>
        <w:t xml:space="preserve">in poorer and more food-dependent regions (the correlation of the cumulative gap with poverty incidence is 0.20, and with the food share 0.31). The likely reason is composition: where most households are poor, the all-income basket is itself close to the poor’s basket, so the two indices move together. This pattern is important for interpreting the regional estimates in Section 5.2.4. In August 2026, bottom-30% inflation ranged widely across regions, and was highest in Mindanao and the Visayas.</w:t>
      </w:r>
    </w:p>
    <w:p>
      <w:pPr>
        <w:pStyle w:val="CaptionedFigure"/>
      </w:pPr>
      <w:r>
        <w:drawing>
          <wp:inline>
            <wp:extent cx="5646420" cy="3470520"/>
            <wp:effectExtent b="0" l="0" r="0" t="0"/>
            <wp:docPr descr="Figure 3. Average inflation by group, 2001–2025, and cumulative change in the gap, by region." title="" id="67" name="Picture"/>
            <a:graphic>
              <a:graphicData uri="http://schemas.openxmlformats.org/drawingml/2006/picture">
                <pic:pic>
                  <pic:nvPicPr>
                    <pic:cNvPr descr="../output/figures/figd2_regional.png" id="68" name="Picture"/>
                    <pic:cNvPicPr>
                      <a:picLocks noChangeArrowheads="1" noChangeAspect="1"/>
                    </pic:cNvPicPr>
                  </pic:nvPicPr>
                  <pic:blipFill>
                    <a:blip r:embed="rId66"/>
                    <a:stretch>
                      <a:fillRect/>
                    </a:stretch>
                  </pic:blipFill>
                  <pic:spPr bwMode="auto">
                    <a:xfrm>
                      <a:off x="0" y="0"/>
                      <a:ext cx="5646420" cy="3470520"/>
                    </a:xfrm>
                    <a:prstGeom prst="rect">
                      <a:avLst/>
                    </a:prstGeom>
                    <a:noFill/>
                    <a:ln w="9525">
                      <a:noFill/>
                      <a:headEnd/>
                      <a:tailEnd/>
                    </a:ln>
                  </pic:spPr>
                </pic:pic>
              </a:graphicData>
            </a:graphic>
          </wp:inline>
        </w:drawing>
      </w:r>
    </w:p>
    <w:p>
      <w:pPr>
        <w:pStyle w:val="ImageCaption"/>
      </w:pPr>
      <w:r>
        <w:t xml:space="preserve">Figure 3. Average inflation by group, 2001–2025, and cumulative change in the gap, by region.</w:t>
      </w:r>
    </w:p>
    <w:p>
      <w:pPr>
        <w:pStyle w:val="BodyText"/>
      </w:pPr>
      <w:r>
        <w:rPr>
          <w:b/>
          <w:bCs/>
        </w:rPr>
        <w:t xml:space="preserve">Table 6. Regional summary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Food share 2018 (%)</w:t>
            </w:r>
          </w:p>
        </w:tc>
        <w:tc>
          <w:tcPr/>
          <w:p>
            <w:pPr>
              <w:pStyle w:val="Compact"/>
            </w:pPr>
            <w:r>
              <w:t xml:space="preserve">Inflation all, 2001–2025 (%)</w:t>
            </w:r>
          </w:p>
        </w:tc>
        <w:tc>
          <w:tcPr/>
          <w:p>
            <w:pPr>
              <w:pStyle w:val="Compact"/>
            </w:pPr>
            <w:r>
              <w:t xml:space="preserve">Inflation b30, 2001–2025 (%)</w:t>
            </w:r>
          </w:p>
        </w:tc>
        <w:tc>
          <w:tcPr/>
          <w:p>
            <w:pPr>
              <w:pStyle w:val="Compact"/>
            </w:pPr>
            <w:r>
              <w:t xml:space="preserve">Cumulative gap 2001–2025 (×100)</w:t>
            </w:r>
          </w:p>
        </w:tc>
        <w:tc>
          <w:tcPr/>
          <w:p>
            <w:pPr>
              <w:pStyle w:val="Compact"/>
            </w:pPr>
            <w:r>
              <w:t xml:space="preserve">Fuel volatility (SD, pp/month)</w:t>
            </w:r>
          </w:p>
        </w:tc>
        <w:tc>
          <w:tcPr/>
          <w:p>
            <w:pPr>
              <w:pStyle w:val="Compact"/>
            </w:pPr>
            <w:r>
              <w:t xml:space="preserve">Inflation b30, Aug 2026 (% y/y)</w:t>
            </w:r>
          </w:p>
        </w:tc>
      </w:tr>
      <w:tr>
        <w:tc>
          <w:tcPr/>
          <w:p>
            <w:pPr>
              <w:pStyle w:val="Compact"/>
            </w:pPr>
            <w:r>
              <w:t xml:space="preserve">National Capital Region</w:t>
            </w:r>
          </w:p>
        </w:tc>
        <w:tc>
          <w:tcPr/>
          <w:p>
            <w:pPr>
              <w:pStyle w:val="Compact"/>
            </w:pPr>
            <w:r>
              <w:t xml:space="preserve">2.2</w:t>
            </w:r>
          </w:p>
        </w:tc>
        <w:tc>
          <w:tcPr/>
          <w:p>
            <w:pPr>
              <w:pStyle w:val="Compact"/>
            </w:pPr>
            <w:r>
              <w:t xml:space="preserve">29.5</w:t>
            </w:r>
          </w:p>
        </w:tc>
        <w:tc>
          <w:tcPr/>
          <w:p>
            <w:pPr>
              <w:pStyle w:val="Compact"/>
            </w:pPr>
            <w:r>
              <w:t xml:space="preserve">3.57</w:t>
            </w:r>
          </w:p>
        </w:tc>
        <w:tc>
          <w:tcPr/>
          <w:p>
            <w:pPr>
              <w:pStyle w:val="Compact"/>
            </w:pPr>
            <w:r>
              <w:t xml:space="preserve">4.15</w:t>
            </w:r>
          </w:p>
        </w:tc>
        <w:tc>
          <w:tcPr/>
          <w:p>
            <w:pPr>
              <w:pStyle w:val="Compact"/>
            </w:pPr>
            <w:r>
              <w:t xml:space="preserve">−12.3</w:t>
            </w:r>
          </w:p>
        </w:tc>
        <w:tc>
          <w:tcPr/>
          <w:p>
            <w:pPr>
              <w:pStyle w:val="Compact"/>
            </w:pPr>
            <w:r>
              <w:t xml:space="preserve">4.96</w:t>
            </w:r>
          </w:p>
        </w:tc>
        <w:tc>
          <w:tcPr/>
          <w:p>
            <w:pPr>
              <w:pStyle w:val="Compact"/>
            </w:pPr>
            <w:r>
              <w:t xml:space="preserve">4.3</w:t>
            </w:r>
          </w:p>
        </w:tc>
      </w:tr>
      <w:tr>
        <w:tc>
          <w:tcPr/>
          <w:p>
            <w:pPr>
              <w:pStyle w:val="Compact"/>
            </w:pPr>
            <w:r>
              <w:t xml:space="preserve">Cordillera (CAR)</w:t>
            </w:r>
          </w:p>
        </w:tc>
        <w:tc>
          <w:tcPr/>
          <w:p>
            <w:pPr>
              <w:pStyle w:val="Compact"/>
            </w:pPr>
            <w:r>
              <w:t xml:space="preserve">12.0</w:t>
            </w:r>
          </w:p>
        </w:tc>
        <w:tc>
          <w:tcPr/>
          <w:p>
            <w:pPr>
              <w:pStyle w:val="Compact"/>
            </w:pPr>
            <w:r>
              <w:t xml:space="preserve">35.8</w:t>
            </w:r>
          </w:p>
        </w:tc>
        <w:tc>
          <w:tcPr/>
          <w:p>
            <w:pPr>
              <w:pStyle w:val="Compact"/>
            </w:pPr>
            <w:r>
              <w:t xml:space="preserve">3.72</w:t>
            </w:r>
          </w:p>
        </w:tc>
        <w:tc>
          <w:tcPr/>
          <w:p>
            <w:pPr>
              <w:pStyle w:val="Compact"/>
            </w:pPr>
            <w:r>
              <w:t xml:space="preserve">4.08</w:t>
            </w:r>
          </w:p>
        </w:tc>
        <w:tc>
          <w:tcPr/>
          <w:p>
            <w:pPr>
              <w:pStyle w:val="Compact"/>
            </w:pPr>
            <w:r>
              <w:t xml:space="preserve">−6.9</w:t>
            </w:r>
          </w:p>
        </w:tc>
        <w:tc>
          <w:tcPr/>
          <w:p>
            <w:pPr>
              <w:pStyle w:val="Compact"/>
            </w:pPr>
            <w:r>
              <w:t xml:space="preserve">4.41</w:t>
            </w:r>
          </w:p>
        </w:tc>
        <w:tc>
          <w:tcPr/>
          <w:p>
            <w:pPr>
              <w:pStyle w:val="Compact"/>
            </w:pPr>
            <w:r>
              <w:t xml:space="preserve">8.3</w:t>
            </w:r>
          </w:p>
        </w:tc>
      </w:tr>
      <w:tr>
        <w:tc>
          <w:tcPr/>
          <w:p>
            <w:pPr>
              <w:pStyle w:val="Compact"/>
            </w:pPr>
            <w:r>
              <w:t xml:space="preserve">I Ilocos</w:t>
            </w:r>
          </w:p>
        </w:tc>
        <w:tc>
          <w:tcPr/>
          <w:p>
            <w:pPr>
              <w:pStyle w:val="Compact"/>
            </w:pPr>
            <w:r>
              <w:t xml:space="preserve">9.9</w:t>
            </w:r>
          </w:p>
        </w:tc>
        <w:tc>
          <w:tcPr/>
          <w:p>
            <w:pPr>
              <w:pStyle w:val="Compact"/>
            </w:pPr>
            <w:r>
              <w:t xml:space="preserve">38.4</w:t>
            </w:r>
          </w:p>
        </w:tc>
        <w:tc>
          <w:tcPr/>
          <w:p>
            <w:pPr>
              <w:pStyle w:val="Compact"/>
            </w:pPr>
            <w:r>
              <w:t xml:space="preserve">3.62</w:t>
            </w:r>
          </w:p>
        </w:tc>
        <w:tc>
          <w:tcPr/>
          <w:p>
            <w:pPr>
              <w:pStyle w:val="Compact"/>
            </w:pPr>
            <w:r>
              <w:t xml:space="preserve">4.13</w:t>
            </w:r>
          </w:p>
        </w:tc>
        <w:tc>
          <w:tcPr/>
          <w:p>
            <w:pPr>
              <w:pStyle w:val="Compact"/>
            </w:pPr>
            <w:r>
              <w:t xml:space="preserve">−11.1</w:t>
            </w:r>
          </w:p>
        </w:tc>
        <w:tc>
          <w:tcPr/>
          <w:p>
            <w:pPr>
              <w:pStyle w:val="Compact"/>
            </w:pPr>
            <w:r>
              <w:t xml:space="preserve">4.47</w:t>
            </w:r>
          </w:p>
        </w:tc>
        <w:tc>
          <w:tcPr/>
          <w:p>
            <w:pPr>
              <w:pStyle w:val="Compact"/>
            </w:pPr>
            <w:r>
              <w:t xml:space="preserve">4.7</w:t>
            </w:r>
          </w:p>
        </w:tc>
      </w:tr>
      <w:tr>
        <w:tc>
          <w:tcPr/>
          <w:p>
            <w:pPr>
              <w:pStyle w:val="Compact"/>
            </w:pPr>
            <w:r>
              <w:t xml:space="preserve">II Cagayan Valley</w:t>
            </w:r>
          </w:p>
        </w:tc>
        <w:tc>
          <w:tcPr/>
          <w:p>
            <w:pPr>
              <w:pStyle w:val="Compact"/>
            </w:pPr>
            <w:r>
              <w:t xml:space="preserve">16.3</w:t>
            </w:r>
          </w:p>
        </w:tc>
        <w:tc>
          <w:tcPr/>
          <w:p>
            <w:pPr>
              <w:pStyle w:val="Compact"/>
            </w:pPr>
            <w:r>
              <w:t xml:space="preserve">43.9</w:t>
            </w:r>
          </w:p>
        </w:tc>
        <w:tc>
          <w:tcPr/>
          <w:p>
            <w:pPr>
              <w:pStyle w:val="Compact"/>
            </w:pPr>
            <w:r>
              <w:t xml:space="preserve">3.81</w:t>
            </w:r>
          </w:p>
        </w:tc>
        <w:tc>
          <w:tcPr/>
          <w:p>
            <w:pPr>
              <w:pStyle w:val="Compact"/>
            </w:pPr>
            <w:r>
              <w:t xml:space="preserve">4.27</w:t>
            </w:r>
          </w:p>
        </w:tc>
        <w:tc>
          <w:tcPr/>
          <w:p>
            <w:pPr>
              <w:pStyle w:val="Compact"/>
            </w:pPr>
            <w:r>
              <w:t xml:space="preserve">−10.9</w:t>
            </w:r>
          </w:p>
        </w:tc>
        <w:tc>
          <w:tcPr/>
          <w:p>
            <w:pPr>
              <w:pStyle w:val="Compact"/>
            </w:pPr>
            <w:r>
              <w:t xml:space="preserve">4.46</w:t>
            </w:r>
          </w:p>
        </w:tc>
        <w:tc>
          <w:tcPr/>
          <w:p>
            <w:pPr>
              <w:pStyle w:val="Compact"/>
            </w:pPr>
            <w:r>
              <w:t xml:space="preserve">7.1</w:t>
            </w:r>
          </w:p>
        </w:tc>
      </w:tr>
      <w:tr>
        <w:tc>
          <w:tcPr/>
          <w:p>
            <w:pPr>
              <w:pStyle w:val="Compact"/>
            </w:pPr>
            <w:r>
              <w:t xml:space="preserve">III Central Luzon</w:t>
            </w:r>
          </w:p>
        </w:tc>
        <w:tc>
          <w:tcPr/>
          <w:p>
            <w:pPr>
              <w:pStyle w:val="Compact"/>
            </w:pPr>
            <w:r>
              <w:t xml:space="preserve">7.0</w:t>
            </w:r>
          </w:p>
        </w:tc>
        <w:tc>
          <w:tcPr/>
          <w:p>
            <w:pPr>
              <w:pStyle w:val="Compact"/>
            </w:pPr>
            <w:r>
              <w:t xml:space="preserve">36.5</w:t>
            </w:r>
          </w:p>
        </w:tc>
        <w:tc>
          <w:tcPr/>
          <w:p>
            <w:pPr>
              <w:pStyle w:val="Compact"/>
            </w:pPr>
            <w:r>
              <w:t xml:space="preserve">3.83</w:t>
            </w:r>
          </w:p>
        </w:tc>
        <w:tc>
          <w:tcPr/>
          <w:p>
            <w:pPr>
              <w:pStyle w:val="Compact"/>
            </w:pPr>
            <w:r>
              <w:t xml:space="preserve">4.34</w:t>
            </w:r>
          </w:p>
        </w:tc>
        <w:tc>
          <w:tcPr/>
          <w:p>
            <w:pPr>
              <w:pStyle w:val="Compact"/>
            </w:pPr>
            <w:r>
              <w:t xml:space="preserve">−11.5</w:t>
            </w:r>
          </w:p>
        </w:tc>
        <w:tc>
          <w:tcPr/>
          <w:p>
            <w:pPr>
              <w:pStyle w:val="Compact"/>
            </w:pPr>
            <w:r>
              <w:t xml:space="preserve">4.51</w:t>
            </w:r>
          </w:p>
        </w:tc>
        <w:tc>
          <w:tcPr/>
          <w:p>
            <w:pPr>
              <w:pStyle w:val="Compact"/>
            </w:pPr>
            <w:r>
              <w:t xml:space="preserve">6.9</w:t>
            </w:r>
          </w:p>
        </w:tc>
      </w:tr>
      <w:tr>
        <w:tc>
          <w:tcPr/>
          <w:p>
            <w:pPr>
              <w:pStyle w:val="Compact"/>
            </w:pPr>
            <w:r>
              <w:t xml:space="preserve">IV-A CALABARZON</w:t>
            </w:r>
          </w:p>
        </w:tc>
        <w:tc>
          <w:tcPr/>
          <w:p>
            <w:pPr>
              <w:pStyle w:val="Compact"/>
            </w:pPr>
            <w:r>
              <w:t xml:space="preserve">7.1</w:t>
            </w:r>
          </w:p>
        </w:tc>
        <w:tc>
          <w:tcPr/>
          <w:p>
            <w:pPr>
              <w:pStyle w:val="Compact"/>
            </w:pPr>
            <w:r>
              <w:t xml:space="preserve">33.0</w:t>
            </w:r>
          </w:p>
        </w:tc>
        <w:tc>
          <w:tcPr/>
          <w:p>
            <w:pPr>
              <w:pStyle w:val="Compact"/>
            </w:pPr>
            <w:r>
              <w:t xml:space="preserve">3.77</w:t>
            </w:r>
          </w:p>
        </w:tc>
        <w:tc>
          <w:tcPr/>
          <w:p>
            <w:pPr>
              <w:pStyle w:val="Compact"/>
            </w:pPr>
            <w:r>
              <w:t xml:space="preserve">4.16</w:t>
            </w:r>
          </w:p>
        </w:tc>
        <w:tc>
          <w:tcPr/>
          <w:p>
            <w:pPr>
              <w:pStyle w:val="Compact"/>
            </w:pPr>
            <w:r>
              <w:t xml:space="preserve">−7.3</w:t>
            </w:r>
          </w:p>
        </w:tc>
        <w:tc>
          <w:tcPr/>
          <w:p>
            <w:pPr>
              <w:pStyle w:val="Compact"/>
            </w:pPr>
            <w:r>
              <w:t xml:space="preserve">4.65</w:t>
            </w:r>
          </w:p>
        </w:tc>
        <w:tc>
          <w:tcPr/>
          <w:p>
            <w:pPr>
              <w:pStyle w:val="Compact"/>
            </w:pPr>
            <w:r>
              <w:t xml:space="preserve">6.0</w:t>
            </w:r>
          </w:p>
        </w:tc>
      </w:tr>
      <w:tr>
        <w:tc>
          <w:tcPr/>
          <w:p>
            <w:pPr>
              <w:pStyle w:val="Compact"/>
            </w:pPr>
            <w:r>
              <w:t xml:space="preserve">MIMAROPA</w:t>
            </w:r>
          </w:p>
        </w:tc>
        <w:tc>
          <w:tcPr/>
          <w:p>
            <w:pPr>
              <w:pStyle w:val="Compact"/>
            </w:pPr>
            <w:r>
              <w:t xml:space="preserve">15.1</w:t>
            </w:r>
          </w:p>
        </w:tc>
        <w:tc>
          <w:tcPr/>
          <w:p>
            <w:pPr>
              <w:pStyle w:val="Compact"/>
            </w:pPr>
            <w:r>
              <w:t xml:space="preserve">46.4</w:t>
            </w:r>
          </w:p>
        </w:tc>
        <w:tc>
          <w:tcPr/>
          <w:p>
            <w:pPr>
              <w:pStyle w:val="Compact"/>
            </w:pPr>
            <w:r>
              <w:t xml:space="preserve">4.08</w:t>
            </w:r>
          </w:p>
        </w:tc>
        <w:tc>
          <w:tcPr/>
          <w:p>
            <w:pPr>
              <w:pStyle w:val="Compact"/>
            </w:pPr>
            <w:r>
              <w:t xml:space="preserve">4.31</w:t>
            </w:r>
          </w:p>
        </w:tc>
        <w:tc>
          <w:tcPr/>
          <w:p>
            <w:pPr>
              <w:pStyle w:val="Compact"/>
            </w:pPr>
            <w:r>
              <w:t xml:space="preserve">−4.2</w:t>
            </w:r>
          </w:p>
        </w:tc>
        <w:tc>
          <w:tcPr/>
          <w:p>
            <w:pPr>
              <w:pStyle w:val="Compact"/>
            </w:pPr>
            <w:r>
              <w:t xml:space="preserve">3.83</w:t>
            </w:r>
          </w:p>
        </w:tc>
        <w:tc>
          <w:tcPr/>
          <w:p>
            <w:pPr>
              <w:pStyle w:val="Compact"/>
            </w:pPr>
            <w:r>
              <w:t xml:space="preserve">6.8</w:t>
            </w:r>
          </w:p>
        </w:tc>
      </w:tr>
      <w:tr>
        <w:tc>
          <w:tcPr/>
          <w:p>
            <w:pPr>
              <w:pStyle w:val="Compact"/>
            </w:pPr>
            <w:r>
              <w:t xml:space="preserve">V Bicol</w:t>
            </w:r>
          </w:p>
        </w:tc>
        <w:tc>
          <w:tcPr/>
          <w:p>
            <w:pPr>
              <w:pStyle w:val="Compact"/>
            </w:pPr>
            <w:r>
              <w:t xml:space="preserve">27.0</w:t>
            </w:r>
          </w:p>
        </w:tc>
        <w:tc>
          <w:tcPr/>
          <w:p>
            <w:pPr>
              <w:pStyle w:val="Compact"/>
            </w:pPr>
            <w:r>
              <w:t xml:space="preserve">45.6</w:t>
            </w:r>
          </w:p>
        </w:tc>
        <w:tc>
          <w:tcPr/>
          <w:p>
            <w:pPr>
              <w:pStyle w:val="Compact"/>
            </w:pPr>
            <w:r>
              <w:t xml:space="preserve">4.09</w:t>
            </w:r>
          </w:p>
        </w:tc>
        <w:tc>
          <w:tcPr/>
          <w:p>
            <w:pPr>
              <w:pStyle w:val="Compact"/>
            </w:pPr>
            <w:r>
              <w:t xml:space="preserve">4.34</w:t>
            </w:r>
          </w:p>
        </w:tc>
        <w:tc>
          <w:tcPr/>
          <w:p>
            <w:pPr>
              <w:pStyle w:val="Compact"/>
            </w:pPr>
            <w:r>
              <w:t xml:space="preserve">−5.8</w:t>
            </w:r>
          </w:p>
        </w:tc>
        <w:tc>
          <w:tcPr/>
          <w:p>
            <w:pPr>
              <w:pStyle w:val="Compact"/>
            </w:pPr>
            <w:r>
              <w:t xml:space="preserve">4.24</w:t>
            </w:r>
          </w:p>
        </w:tc>
        <w:tc>
          <w:tcPr/>
          <w:p>
            <w:pPr>
              <w:pStyle w:val="Compact"/>
            </w:pPr>
            <w:r>
              <w:t xml:space="preserve">9.3</w:t>
            </w:r>
          </w:p>
        </w:tc>
      </w:tr>
      <w:tr>
        <w:tc>
          <w:tcPr/>
          <w:p>
            <w:pPr>
              <w:pStyle w:val="Compact"/>
            </w:pPr>
            <w:r>
              <w:t xml:space="preserve">VI Western Visayas</w:t>
            </w:r>
          </w:p>
        </w:tc>
        <w:tc>
          <w:tcPr/>
          <w:p>
            <w:pPr>
              <w:pStyle w:val="Compact"/>
            </w:pPr>
            <w:r>
              <w:t xml:space="preserve">14.2</w:t>
            </w:r>
          </w:p>
        </w:tc>
        <w:tc>
          <w:tcPr/>
          <w:p>
            <w:pPr>
              <w:pStyle w:val="Compact"/>
            </w:pPr>
            <w:r>
              <w:t xml:space="preserve">42.6</w:t>
            </w:r>
          </w:p>
        </w:tc>
        <w:tc>
          <w:tcPr/>
          <w:p>
            <w:pPr>
              <w:pStyle w:val="Compact"/>
            </w:pPr>
            <w:r>
              <w:t xml:space="preserve">3.91</w:t>
            </w:r>
          </w:p>
        </w:tc>
        <w:tc>
          <w:tcPr/>
          <w:p>
            <w:pPr>
              <w:pStyle w:val="Compact"/>
            </w:pPr>
            <w:r>
              <w:t xml:space="preserve">4.31</w:t>
            </w:r>
          </w:p>
        </w:tc>
        <w:tc>
          <w:tcPr/>
          <w:p>
            <w:pPr>
              <w:pStyle w:val="Compact"/>
            </w:pPr>
            <w:r>
              <w:t xml:space="preserve">−9.1</w:t>
            </w:r>
          </w:p>
        </w:tc>
        <w:tc>
          <w:tcPr/>
          <w:p>
            <w:pPr>
              <w:pStyle w:val="Compact"/>
            </w:pPr>
            <w:r>
              <w:t xml:space="preserve">4.39</w:t>
            </w:r>
          </w:p>
        </w:tc>
        <w:tc>
          <w:tcPr/>
          <w:p>
            <w:pPr>
              <w:pStyle w:val="Compact"/>
            </w:pPr>
            <w:r>
              <w:t xml:space="preserve">10.4</w:t>
            </w:r>
          </w:p>
        </w:tc>
      </w:tr>
      <w:tr>
        <w:tc>
          <w:tcPr/>
          <w:p>
            <w:pPr>
              <w:pStyle w:val="Compact"/>
            </w:pPr>
            <w:r>
              <w:t xml:space="preserve">VII Central Visayas</w:t>
            </w:r>
          </w:p>
        </w:tc>
        <w:tc>
          <w:tcPr/>
          <w:p>
            <w:pPr>
              <w:pStyle w:val="Compact"/>
            </w:pPr>
            <w:r>
              <w:t xml:space="preserve">16.1</w:t>
            </w:r>
          </w:p>
        </w:tc>
        <w:tc>
          <w:tcPr/>
          <w:p>
            <w:pPr>
              <w:pStyle w:val="Compact"/>
            </w:pPr>
            <w:r>
              <w:t xml:space="preserve">37.9</w:t>
            </w:r>
          </w:p>
        </w:tc>
        <w:tc>
          <w:tcPr/>
          <w:p>
            <w:pPr>
              <w:pStyle w:val="Compact"/>
            </w:pPr>
            <w:r>
              <w:t xml:space="preserve">3.93</w:t>
            </w:r>
          </w:p>
        </w:tc>
        <w:tc>
          <w:tcPr/>
          <w:p>
            <w:pPr>
              <w:pStyle w:val="Compact"/>
            </w:pPr>
            <w:r>
              <w:t xml:space="preserve">4.58</w:t>
            </w:r>
          </w:p>
        </w:tc>
        <w:tc>
          <w:tcPr/>
          <w:p>
            <w:pPr>
              <w:pStyle w:val="Compact"/>
            </w:pPr>
            <w:r>
              <w:t xml:space="preserve">−16.0</w:t>
            </w:r>
          </w:p>
        </w:tc>
        <w:tc>
          <w:tcPr/>
          <w:p>
            <w:pPr>
              <w:pStyle w:val="Compact"/>
            </w:pPr>
            <w:r>
              <w:t xml:space="preserve">4.24</w:t>
            </w:r>
          </w:p>
        </w:tc>
        <w:tc>
          <w:tcPr/>
          <w:p>
            <w:pPr>
              <w:pStyle w:val="Compact"/>
            </w:pPr>
            <w:r>
              <w:t xml:space="preserve">9.7</w:t>
            </w:r>
          </w:p>
        </w:tc>
      </w:tr>
      <w:tr>
        <w:tc>
          <w:tcPr/>
          <w:p>
            <w:pPr>
              <w:pStyle w:val="Compact"/>
            </w:pPr>
            <w:r>
              <w:t xml:space="preserve">VIII Eastern Visayas</w:t>
            </w:r>
          </w:p>
        </w:tc>
        <w:tc>
          <w:tcPr/>
          <w:p>
            <w:pPr>
              <w:pStyle w:val="Compact"/>
            </w:pPr>
            <w:r>
              <w:t xml:space="preserve">30.7</w:t>
            </w:r>
          </w:p>
        </w:tc>
        <w:tc>
          <w:tcPr/>
          <w:p>
            <w:pPr>
              <w:pStyle w:val="Compact"/>
            </w:pPr>
            <w:r>
              <w:t xml:space="preserve">47.4</w:t>
            </w:r>
          </w:p>
        </w:tc>
        <w:tc>
          <w:tcPr/>
          <w:p>
            <w:pPr>
              <w:pStyle w:val="Compact"/>
            </w:pPr>
            <w:r>
              <w:t xml:space="preserve">3.93</w:t>
            </w:r>
          </w:p>
        </w:tc>
        <w:tc>
          <w:tcPr/>
          <w:p>
            <w:pPr>
              <w:pStyle w:val="Compact"/>
            </w:pPr>
            <w:r>
              <w:t xml:space="preserve">4.57</w:t>
            </w:r>
          </w:p>
        </w:tc>
        <w:tc>
          <w:tcPr/>
          <w:p>
            <w:pPr>
              <w:pStyle w:val="Compact"/>
            </w:pPr>
            <w:r>
              <w:t xml:space="preserve">−14.2</w:t>
            </w:r>
          </w:p>
        </w:tc>
        <w:tc>
          <w:tcPr/>
          <w:p>
            <w:pPr>
              <w:pStyle w:val="Compact"/>
            </w:pPr>
            <w:r>
              <w:t xml:space="preserve">4.15</w:t>
            </w:r>
          </w:p>
        </w:tc>
        <w:tc>
          <w:tcPr/>
          <w:p>
            <w:pPr>
              <w:pStyle w:val="Compact"/>
            </w:pPr>
            <w:r>
              <w:t xml:space="preserve">9.9</w:t>
            </w:r>
          </w:p>
        </w:tc>
      </w:tr>
      <w:tr>
        <w:tc>
          <w:tcPr/>
          <w:p>
            <w:pPr>
              <w:pStyle w:val="Compact"/>
            </w:pPr>
            <w:r>
              <w:t xml:space="preserve">IX Zamboanga Peninsula</w:t>
            </w:r>
          </w:p>
        </w:tc>
        <w:tc>
          <w:tcPr/>
          <w:p>
            <w:pPr>
              <w:pStyle w:val="Compact"/>
            </w:pPr>
            <w:r>
              <w:t xml:space="preserve">32.7</w:t>
            </w:r>
          </w:p>
        </w:tc>
        <w:tc>
          <w:tcPr/>
          <w:p>
            <w:pPr>
              <w:pStyle w:val="Compact"/>
            </w:pPr>
            <w:r>
              <w:t xml:space="preserve">49.6</w:t>
            </w:r>
          </w:p>
        </w:tc>
        <w:tc>
          <w:tcPr/>
          <w:p>
            <w:pPr>
              <w:pStyle w:val="Compact"/>
            </w:pPr>
            <w:r>
              <w:t xml:space="preserve">4.01</w:t>
            </w:r>
          </w:p>
        </w:tc>
        <w:tc>
          <w:tcPr/>
          <w:p>
            <w:pPr>
              <w:pStyle w:val="Compact"/>
            </w:pPr>
            <w:r>
              <w:t xml:space="preserve">4.24</w:t>
            </w:r>
          </w:p>
        </w:tc>
        <w:tc>
          <w:tcPr/>
          <w:p>
            <w:pPr>
              <w:pStyle w:val="Compact"/>
            </w:pPr>
            <w:r>
              <w:t xml:space="preserve">−4.4</w:t>
            </w:r>
          </w:p>
        </w:tc>
        <w:tc>
          <w:tcPr/>
          <w:p>
            <w:pPr>
              <w:pStyle w:val="Compact"/>
            </w:pPr>
            <w:r>
              <w:t xml:space="preserve">4.31</w:t>
            </w:r>
          </w:p>
        </w:tc>
        <w:tc>
          <w:tcPr/>
          <w:p>
            <w:pPr>
              <w:pStyle w:val="Compact"/>
            </w:pPr>
            <w:r>
              <w:t xml:space="preserve">10.0</w:t>
            </w:r>
          </w:p>
        </w:tc>
      </w:tr>
      <w:tr>
        <w:tc>
          <w:tcPr/>
          <w:p>
            <w:pPr>
              <w:pStyle w:val="Compact"/>
            </w:pPr>
            <w:r>
              <w:t xml:space="preserve">X Northern Mindanao</w:t>
            </w:r>
          </w:p>
        </w:tc>
        <w:tc>
          <w:tcPr/>
          <w:p>
            <w:pPr>
              <w:pStyle w:val="Compact"/>
            </w:pPr>
            <w:r>
              <w:t xml:space="preserve">23.1</w:t>
            </w:r>
          </w:p>
        </w:tc>
        <w:tc>
          <w:tcPr/>
          <w:p>
            <w:pPr>
              <w:pStyle w:val="Compact"/>
            </w:pPr>
            <w:r>
              <w:t xml:space="preserve">43.1</w:t>
            </w:r>
          </w:p>
        </w:tc>
        <w:tc>
          <w:tcPr/>
          <w:p>
            <w:pPr>
              <w:pStyle w:val="Compact"/>
            </w:pPr>
            <w:r>
              <w:t xml:space="preserve">4.32</w:t>
            </w:r>
          </w:p>
        </w:tc>
        <w:tc>
          <w:tcPr/>
          <w:p>
            <w:pPr>
              <w:pStyle w:val="Compact"/>
            </w:pPr>
            <w:r>
              <w:t xml:space="preserve">4.70</w:t>
            </w:r>
          </w:p>
        </w:tc>
        <w:tc>
          <w:tcPr/>
          <w:p>
            <w:pPr>
              <w:pStyle w:val="Compact"/>
            </w:pPr>
            <w:r>
              <w:t xml:space="preserve">−8.6</w:t>
            </w:r>
          </w:p>
        </w:tc>
        <w:tc>
          <w:tcPr/>
          <w:p>
            <w:pPr>
              <w:pStyle w:val="Compact"/>
            </w:pPr>
            <w:r>
              <w:t xml:space="preserve">4.30</w:t>
            </w:r>
          </w:p>
        </w:tc>
        <w:tc>
          <w:tcPr/>
          <w:p>
            <w:pPr>
              <w:pStyle w:val="Compact"/>
            </w:pPr>
            <w:r>
              <w:t xml:space="preserve">7.2</w:t>
            </w:r>
          </w:p>
        </w:tc>
      </w:tr>
      <w:tr>
        <w:tc>
          <w:tcPr/>
          <w:p>
            <w:pPr>
              <w:pStyle w:val="Compact"/>
            </w:pPr>
            <w:r>
              <w:t xml:space="preserve">XI Davao</w:t>
            </w:r>
          </w:p>
        </w:tc>
        <w:tc>
          <w:tcPr/>
          <w:p>
            <w:pPr>
              <w:pStyle w:val="Compact"/>
            </w:pPr>
            <w:r>
              <w:t xml:space="preserve">19.1</w:t>
            </w:r>
          </w:p>
        </w:tc>
        <w:tc>
          <w:tcPr/>
          <w:p>
            <w:pPr>
              <w:pStyle w:val="Compact"/>
            </w:pPr>
            <w:r>
              <w:t xml:space="preserve">43.0</w:t>
            </w:r>
          </w:p>
        </w:tc>
        <w:tc>
          <w:tcPr/>
          <w:p>
            <w:pPr>
              <w:pStyle w:val="Compact"/>
            </w:pPr>
            <w:r>
              <w:t xml:space="preserve">4.14</w:t>
            </w:r>
          </w:p>
        </w:tc>
        <w:tc>
          <w:tcPr/>
          <w:p>
            <w:pPr>
              <w:pStyle w:val="Compact"/>
            </w:pPr>
            <w:r>
              <w:t xml:space="preserve">4.53</w:t>
            </w:r>
          </w:p>
        </w:tc>
        <w:tc>
          <w:tcPr/>
          <w:p>
            <w:pPr>
              <w:pStyle w:val="Compact"/>
            </w:pPr>
            <w:r>
              <w:t xml:space="preserve">−8.9</w:t>
            </w:r>
          </w:p>
        </w:tc>
        <w:tc>
          <w:tcPr/>
          <w:p>
            <w:pPr>
              <w:pStyle w:val="Compact"/>
            </w:pPr>
            <w:r>
              <w:t xml:space="preserve">4.27</w:t>
            </w:r>
          </w:p>
        </w:tc>
        <w:tc>
          <w:tcPr/>
          <w:p>
            <w:pPr>
              <w:pStyle w:val="Compact"/>
            </w:pPr>
            <w:r>
              <w:t xml:space="preserve">12.1</w:t>
            </w:r>
          </w:p>
        </w:tc>
      </w:tr>
      <w:tr>
        <w:tc>
          <w:tcPr/>
          <w:p>
            <w:pPr>
              <w:pStyle w:val="Compact"/>
            </w:pPr>
            <w:r>
              <w:t xml:space="preserve">XII SOCCSKSARGEN</w:t>
            </w:r>
          </w:p>
        </w:tc>
        <w:tc>
          <w:tcPr/>
          <w:p>
            <w:pPr>
              <w:pStyle w:val="Compact"/>
            </w:pPr>
            <w:r>
              <w:t xml:space="preserve">27.3</w:t>
            </w:r>
          </w:p>
        </w:tc>
        <w:tc>
          <w:tcPr/>
          <w:p>
            <w:pPr>
              <w:pStyle w:val="Compact"/>
            </w:pPr>
            <w:r>
              <w:t xml:space="preserve">45.7</w:t>
            </w:r>
          </w:p>
        </w:tc>
        <w:tc>
          <w:tcPr/>
          <w:p>
            <w:pPr>
              <w:pStyle w:val="Compact"/>
            </w:pPr>
            <w:r>
              <w:t xml:space="preserve">4.08</w:t>
            </w:r>
          </w:p>
        </w:tc>
        <w:tc>
          <w:tcPr/>
          <w:p>
            <w:pPr>
              <w:pStyle w:val="Compact"/>
            </w:pPr>
            <w:r>
              <w:t xml:space="preserve">4.42</w:t>
            </w:r>
          </w:p>
        </w:tc>
        <w:tc>
          <w:tcPr/>
          <w:p>
            <w:pPr>
              <w:pStyle w:val="Compact"/>
            </w:pPr>
            <w:r>
              <w:t xml:space="preserve">−8.1</w:t>
            </w:r>
          </w:p>
        </w:tc>
        <w:tc>
          <w:tcPr/>
          <w:p>
            <w:pPr>
              <w:pStyle w:val="Compact"/>
            </w:pPr>
            <w:r>
              <w:t xml:space="preserve">4.02</w:t>
            </w:r>
          </w:p>
        </w:tc>
        <w:tc>
          <w:tcPr/>
          <w:p>
            <w:pPr>
              <w:pStyle w:val="Compact"/>
            </w:pPr>
            <w:r>
              <w:t xml:space="preserve">8.6</w:t>
            </w:r>
          </w:p>
        </w:tc>
      </w:tr>
      <w:tr>
        <w:tc>
          <w:tcPr/>
          <w:p>
            <w:pPr>
              <w:pStyle w:val="Compact"/>
            </w:pPr>
            <w:r>
              <w:t xml:space="preserve">XIII Caraga</w:t>
            </w:r>
          </w:p>
        </w:tc>
        <w:tc>
          <w:tcPr/>
          <w:p>
            <w:pPr>
              <w:pStyle w:val="Compact"/>
            </w:pPr>
            <w:r>
              <w:t xml:space="preserve">30.5</w:t>
            </w:r>
          </w:p>
        </w:tc>
        <w:tc>
          <w:tcPr/>
          <w:p>
            <w:pPr>
              <w:pStyle w:val="Compact"/>
            </w:pPr>
            <w:r>
              <w:t xml:space="preserve">46.7</w:t>
            </w:r>
          </w:p>
        </w:tc>
        <w:tc>
          <w:tcPr/>
          <w:p>
            <w:pPr>
              <w:pStyle w:val="Compact"/>
            </w:pPr>
            <w:r>
              <w:t xml:space="preserve">4.30</w:t>
            </w:r>
          </w:p>
        </w:tc>
        <w:tc>
          <w:tcPr/>
          <w:p>
            <w:pPr>
              <w:pStyle w:val="Compact"/>
            </w:pPr>
            <w:r>
              <w:t xml:space="preserve">4.54</w:t>
            </w:r>
          </w:p>
        </w:tc>
        <w:tc>
          <w:tcPr/>
          <w:p>
            <w:pPr>
              <w:pStyle w:val="Compact"/>
            </w:pPr>
            <w:r>
              <w:t xml:space="preserve">−4.7</w:t>
            </w:r>
          </w:p>
        </w:tc>
        <w:tc>
          <w:tcPr/>
          <w:p>
            <w:pPr>
              <w:pStyle w:val="Compact"/>
            </w:pPr>
            <w:r>
              <w:t xml:space="preserve">4.12</w:t>
            </w:r>
          </w:p>
        </w:tc>
        <w:tc>
          <w:tcPr/>
          <w:p>
            <w:pPr>
              <w:pStyle w:val="Compact"/>
            </w:pPr>
            <w:r>
              <w:t xml:space="preserve">10.4</w:t>
            </w:r>
          </w:p>
        </w:tc>
      </w:tr>
      <w:tr>
        <w:tc>
          <w:tcPr/>
          <w:p>
            <w:pPr>
              <w:pStyle w:val="Compact"/>
            </w:pPr>
            <w:r>
              <w:t xml:space="preserve">BARMM</w:t>
            </w:r>
          </w:p>
        </w:tc>
        <w:tc>
          <w:tcPr/>
          <w:p>
            <w:pPr>
              <w:pStyle w:val="Compact"/>
            </w:pPr>
            <w:r>
              <w:t xml:space="preserve">60.4</w:t>
            </w:r>
          </w:p>
        </w:tc>
        <w:tc>
          <w:tcPr/>
          <w:p>
            <w:pPr>
              <w:pStyle w:val="Compact"/>
            </w:pPr>
            <w:r>
              <w:t xml:space="preserve">59.4</w:t>
            </w:r>
          </w:p>
        </w:tc>
        <w:tc>
          <w:tcPr/>
          <w:p>
            <w:pPr>
              <w:pStyle w:val="Compact"/>
            </w:pPr>
            <w:r>
              <w:t xml:space="preserve">4.44</w:t>
            </w:r>
          </w:p>
        </w:tc>
        <w:tc>
          <w:tcPr/>
          <w:p>
            <w:pPr>
              <w:pStyle w:val="Compact"/>
            </w:pPr>
            <w:r>
              <w:t xml:space="preserve">4.87</w:t>
            </w:r>
          </w:p>
        </w:tc>
        <w:tc>
          <w:tcPr/>
          <w:p>
            <w:pPr>
              <w:pStyle w:val="Compact"/>
            </w:pPr>
            <w:r>
              <w:t xml:space="preserve">−9.3</w:t>
            </w:r>
          </w:p>
        </w:tc>
        <w:tc>
          <w:tcPr/>
          <w:p>
            <w:pPr>
              <w:pStyle w:val="Compact"/>
            </w:pPr>
            <w:r>
              <w:t xml:space="preserve">3.92</w:t>
            </w:r>
          </w:p>
        </w:tc>
        <w:tc>
          <w:tcPr/>
          <w:p>
            <w:pPr>
              <w:pStyle w:val="Compact"/>
            </w:pPr>
            <w:r>
              <w:t xml:space="preserve">9.0</w:t>
            </w:r>
          </w:p>
        </w:tc>
      </w:tr>
      <w:tr>
        <w:tc>
          <w:tcPr/>
          <w:p>
            <w:pPr>
              <w:pStyle w:val="Compact"/>
            </w:pPr>
            <w:r>
              <w:t xml:space="preserve">Philippines</w:t>
            </w:r>
          </w:p>
        </w:tc>
        <w:tc>
          <w:tcPr/>
          <w:p>
            <w:pPr>
              <w:pStyle w:val="Compact"/>
            </w:pPr>
            <w:r>
              <w:t xml:space="preserve">16.7</w:t>
            </w:r>
          </w:p>
        </w:tc>
        <w:tc>
          <w:tcPr/>
          <w:p>
            <w:pPr>
              <w:pStyle w:val="Compact"/>
            </w:pPr>
            <w:r>
              <w:t xml:space="preserve">37.7</w:t>
            </w:r>
          </w:p>
        </w:tc>
        <w:tc>
          <w:tcPr/>
          <w:p>
            <w:pPr>
              <w:pStyle w:val="Compact"/>
            </w:pPr>
            <w:r>
              <w:t xml:space="preserve">3.84</w:t>
            </w:r>
          </w:p>
        </w:tc>
        <w:tc>
          <w:tcPr/>
          <w:p>
            <w:pPr>
              <w:pStyle w:val="Compact"/>
            </w:pPr>
            <w:r>
              <w:t xml:space="preserve">4.41</w:t>
            </w:r>
          </w:p>
        </w:tc>
        <w:tc>
          <w:tcPr/>
          <w:p>
            <w:pPr>
              <w:pStyle w:val="Compact"/>
            </w:pPr>
            <w:r>
              <w:t xml:space="preserve">−13.3</w:t>
            </w:r>
          </w:p>
        </w:tc>
        <w:tc>
          <w:tcPr/>
          <w:p>
            <w:pPr>
              <w:pStyle w:val="Compact"/>
            </w:pPr>
            <w:r>
              <w:t xml:space="preserve">4.37</w:t>
            </w:r>
          </w:p>
        </w:tc>
        <w:tc>
          <w:tcPr/>
          <w:p>
            <w:pPr>
              <w:pStyle w:val="Compact"/>
            </w:pPr>
            <w:r>
              <w:t xml:space="preserve">8.2</w:t>
            </w:r>
          </w:p>
        </w:tc>
      </w:tr>
    </w:tbl>
    <w:bookmarkEnd w:id="69"/>
    <w:bookmarkStart w:id="70" w:name="stationarity"/>
    <w:p>
      <w:pPr>
        <w:pStyle w:val="Heading3"/>
      </w:pPr>
      <w:r>
        <w:t xml:space="preserve">5.1.6 Stationarity</w:t>
      </w:r>
    </w:p>
    <w:p>
      <w:pPr>
        <w:pStyle w:val="FirstParagraph"/>
      </w:pPr>
      <w:r>
        <w:t xml:space="preserve">Table 7 reports unit-root tests. The log levels of the fuel index, both CPIs and their ratio are non-stationary (the smallest p-value is 0.48), while their monthly changes are stationary (p-values of 0.000 or less). This supports estimating the model in changes and reporting level effects as cumulative responses.</w:t>
      </w:r>
    </w:p>
    <w:p>
      <w:pPr>
        <w:pStyle w:val="BodyText"/>
      </w:pPr>
      <w:r>
        <w:rPr>
          <w:b/>
          <w:bCs/>
        </w:rPr>
        <w:t xml:space="preserve">Table 7. Augmented Dickey–Fuller tests, January 2001–August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Series</w:t>
            </w:r>
          </w:p>
        </w:tc>
        <w:tc>
          <w:tcPr/>
          <w:p>
            <w:pPr>
              <w:pStyle w:val="Compact"/>
            </w:pPr>
            <w:r>
              <w:t xml:space="preserve">Form</w:t>
            </w:r>
          </w:p>
        </w:tc>
        <w:tc>
          <w:tcPr/>
          <w:p>
            <w:pPr>
              <w:pStyle w:val="Compact"/>
            </w:pPr>
            <w:r>
              <w:t xml:space="preserve">ADF statistic</w:t>
            </w:r>
          </w:p>
        </w:tc>
        <w:tc>
          <w:tcPr/>
          <w:p>
            <w:pPr>
              <w:pStyle w:val="Compact"/>
            </w:pPr>
            <w:r>
              <w:t xml:space="preserve">p-value</w:t>
            </w:r>
          </w:p>
        </w:tc>
        <w:tc>
          <w:tcPr/>
          <w:p>
            <w:pPr>
              <w:pStyle w:val="Compact"/>
            </w:pPr>
            <w:r>
              <w:t xml:space="preserve">Lags</w:t>
            </w:r>
          </w:p>
        </w:tc>
        <w:tc>
          <w:tcPr/>
          <w:p>
            <w:pPr>
              <w:pStyle w:val="Compact"/>
            </w:pPr>
            <w:r>
              <w:t xml:space="preserve">N</w:t>
            </w:r>
          </w:p>
        </w:tc>
      </w:tr>
      <w:tr>
        <w:tc>
          <w:tcPr/>
          <w:p>
            <w:pPr>
              <w:pStyle w:val="Compact"/>
            </w:pPr>
            <w:r>
              <w:t xml:space="preserve">ln fuel index</w:t>
            </w:r>
          </w:p>
        </w:tc>
        <w:tc>
          <w:tcPr/>
          <w:p>
            <w:pPr>
              <w:pStyle w:val="Compact"/>
            </w:pPr>
            <w:r>
              <w:t xml:space="preserve">level</w:t>
            </w:r>
          </w:p>
        </w:tc>
        <w:tc>
          <w:tcPr/>
          <w:p>
            <w:pPr>
              <w:pStyle w:val="Compact"/>
            </w:pPr>
            <w:r>
              <w:t xml:space="preserve">−2.22</w:t>
            </w:r>
          </w:p>
        </w:tc>
        <w:tc>
          <w:tcPr/>
          <w:p>
            <w:pPr>
              <w:pStyle w:val="Compact"/>
            </w:pPr>
            <w:r>
              <w:t xml:space="preserve">0.480</w:t>
            </w:r>
          </w:p>
        </w:tc>
        <w:tc>
          <w:tcPr/>
          <w:p>
            <w:pPr>
              <w:pStyle w:val="Compact"/>
            </w:pPr>
            <w:r>
              <w:t xml:space="preserve">2</w:t>
            </w:r>
          </w:p>
        </w:tc>
        <w:tc>
          <w:tcPr/>
          <w:p>
            <w:pPr>
              <w:pStyle w:val="Compact"/>
            </w:pPr>
            <w:r>
              <w:t xml:space="preserve">305</w:t>
            </w:r>
          </w:p>
        </w:tc>
      </w:tr>
      <w:tr>
        <w:tc>
          <w:tcPr/>
          <w:p>
            <w:pPr>
              <w:pStyle w:val="Compact"/>
            </w:pPr>
            <w:r>
              <w:t xml:space="preserve">ln fuel index</w:t>
            </w:r>
          </w:p>
        </w:tc>
        <w:tc>
          <w:tcPr/>
          <w:p>
            <w:pPr>
              <w:pStyle w:val="Compact"/>
            </w:pPr>
            <w:r>
              <w:t xml:space="preserve">first difference</w:t>
            </w:r>
          </w:p>
        </w:tc>
        <w:tc>
          <w:tcPr/>
          <w:p>
            <w:pPr>
              <w:pStyle w:val="Compact"/>
            </w:pPr>
            <w:r>
              <w:t xml:space="preserve">−13.47</w:t>
            </w:r>
          </w:p>
        </w:tc>
        <w:tc>
          <w:tcPr/>
          <w:p>
            <w:pPr>
              <w:pStyle w:val="Compact"/>
            </w:pPr>
            <w:r>
              <w:t xml:space="preserve">0.000</w:t>
            </w:r>
          </w:p>
        </w:tc>
        <w:tc>
          <w:tcPr/>
          <w:p>
            <w:pPr>
              <w:pStyle w:val="Compact"/>
            </w:pPr>
            <w:r>
              <w:t xml:space="preserve">1</w:t>
            </w:r>
          </w:p>
        </w:tc>
        <w:tc>
          <w:tcPr/>
          <w:p>
            <w:pPr>
              <w:pStyle w:val="Compact"/>
            </w:pPr>
            <w:r>
              <w:t xml:space="preserve">305</w:t>
            </w:r>
          </w:p>
        </w:tc>
      </w:tr>
      <w:tr>
        <w:tc>
          <w:tcPr/>
          <w:p>
            <w:pPr>
              <w:pStyle w:val="Compact"/>
            </w:pPr>
            <w:r>
              <w:t xml:space="preserve">ln CPI all</w:t>
            </w:r>
          </w:p>
        </w:tc>
        <w:tc>
          <w:tcPr/>
          <w:p>
            <w:pPr>
              <w:pStyle w:val="Compact"/>
            </w:pPr>
            <w:r>
              <w:t xml:space="preserve">level</w:t>
            </w:r>
          </w:p>
        </w:tc>
        <w:tc>
          <w:tcPr/>
          <w:p>
            <w:pPr>
              <w:pStyle w:val="Compact"/>
            </w:pPr>
            <w:r>
              <w:t xml:space="preserve">−1.62</w:t>
            </w:r>
          </w:p>
        </w:tc>
        <w:tc>
          <w:tcPr/>
          <w:p>
            <w:pPr>
              <w:pStyle w:val="Compact"/>
            </w:pPr>
            <w:r>
              <w:t xml:space="preserve">0.786</w:t>
            </w:r>
          </w:p>
        </w:tc>
        <w:tc>
          <w:tcPr/>
          <w:p>
            <w:pPr>
              <w:pStyle w:val="Compact"/>
            </w:pPr>
            <w:r>
              <w:t xml:space="preserve">1</w:t>
            </w:r>
          </w:p>
        </w:tc>
        <w:tc>
          <w:tcPr/>
          <w:p>
            <w:pPr>
              <w:pStyle w:val="Compact"/>
            </w:pPr>
            <w:r>
              <w:t xml:space="preserve">306</w:t>
            </w:r>
          </w:p>
        </w:tc>
      </w:tr>
      <w:tr>
        <w:tc>
          <w:tcPr/>
          <w:p>
            <w:pPr>
              <w:pStyle w:val="Compact"/>
            </w:pPr>
            <w:r>
              <w:t xml:space="preserve">ln CPI all</w:t>
            </w:r>
          </w:p>
        </w:tc>
        <w:tc>
          <w:tcPr/>
          <w:p>
            <w:pPr>
              <w:pStyle w:val="Compact"/>
            </w:pPr>
            <w:r>
              <w:t xml:space="preserve">first difference</w:t>
            </w:r>
          </w:p>
        </w:tc>
        <w:tc>
          <w:tcPr/>
          <w:p>
            <w:pPr>
              <w:pStyle w:val="Compact"/>
            </w:pPr>
            <w:r>
              <w:t xml:space="preserve">−12.12</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 CPI b30</w:t>
            </w:r>
          </w:p>
        </w:tc>
        <w:tc>
          <w:tcPr/>
          <w:p>
            <w:pPr>
              <w:pStyle w:val="Compact"/>
            </w:pPr>
            <w:r>
              <w:t xml:space="preserve">level</w:t>
            </w:r>
          </w:p>
        </w:tc>
        <w:tc>
          <w:tcPr/>
          <w:p>
            <w:pPr>
              <w:pStyle w:val="Compact"/>
            </w:pPr>
            <w:r>
              <w:t xml:space="preserve">−1.91</w:t>
            </w:r>
          </w:p>
        </w:tc>
        <w:tc>
          <w:tcPr/>
          <w:p>
            <w:pPr>
              <w:pStyle w:val="Compact"/>
            </w:pPr>
            <w:r>
              <w:t xml:space="preserve">0.649</w:t>
            </w:r>
          </w:p>
        </w:tc>
        <w:tc>
          <w:tcPr/>
          <w:p>
            <w:pPr>
              <w:pStyle w:val="Compact"/>
            </w:pPr>
            <w:r>
              <w:t xml:space="preserve">1</w:t>
            </w:r>
          </w:p>
        </w:tc>
        <w:tc>
          <w:tcPr/>
          <w:p>
            <w:pPr>
              <w:pStyle w:val="Compact"/>
            </w:pPr>
            <w:r>
              <w:t xml:space="preserve">306</w:t>
            </w:r>
          </w:p>
        </w:tc>
      </w:tr>
      <w:tr>
        <w:tc>
          <w:tcPr/>
          <w:p>
            <w:pPr>
              <w:pStyle w:val="Compact"/>
            </w:pPr>
            <w:r>
              <w:t xml:space="preserve">ln CPI b30</w:t>
            </w:r>
          </w:p>
        </w:tc>
        <w:tc>
          <w:tcPr/>
          <w:p>
            <w:pPr>
              <w:pStyle w:val="Compact"/>
            </w:pPr>
            <w:r>
              <w:t xml:space="preserve">first difference</w:t>
            </w:r>
          </w:p>
        </w:tc>
        <w:tc>
          <w:tcPr/>
          <w:p>
            <w:pPr>
              <w:pStyle w:val="Compact"/>
            </w:pPr>
            <w:r>
              <w:t xml:space="preserve">−9.59</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ln(CPI all/CPI b30)</w:t>
            </w:r>
          </w:p>
        </w:tc>
        <w:tc>
          <w:tcPr/>
          <w:p>
            <w:pPr>
              <w:pStyle w:val="Compact"/>
            </w:pPr>
            <w:r>
              <w:t xml:space="preserve">level</w:t>
            </w:r>
          </w:p>
        </w:tc>
        <w:tc>
          <w:tcPr/>
          <w:p>
            <w:pPr>
              <w:pStyle w:val="Compact"/>
            </w:pPr>
            <w:r>
              <w:t xml:space="preserve">−1.66</w:t>
            </w:r>
          </w:p>
        </w:tc>
        <w:tc>
          <w:tcPr/>
          <w:p>
            <w:pPr>
              <w:pStyle w:val="Compact"/>
            </w:pPr>
            <w:r>
              <w:t xml:space="preserve">0.770</w:t>
            </w:r>
          </w:p>
        </w:tc>
        <w:tc>
          <w:tcPr/>
          <w:p>
            <w:pPr>
              <w:pStyle w:val="Compact"/>
            </w:pPr>
            <w:r>
              <w:t xml:space="preserve">4</w:t>
            </w:r>
          </w:p>
        </w:tc>
        <w:tc>
          <w:tcPr/>
          <w:p>
            <w:pPr>
              <w:pStyle w:val="Compact"/>
            </w:pPr>
            <w:r>
              <w:t xml:space="preserve">303</w:t>
            </w:r>
          </w:p>
        </w:tc>
      </w:tr>
      <w:tr>
        <w:tc>
          <w:tcPr/>
          <w:p>
            <w:pPr>
              <w:pStyle w:val="Compact"/>
            </w:pPr>
            <w:r>
              <w:t xml:space="preserve">ln(CPI all/CPI b30)</w:t>
            </w:r>
          </w:p>
        </w:tc>
        <w:tc>
          <w:tcPr/>
          <w:p>
            <w:pPr>
              <w:pStyle w:val="Compact"/>
            </w:pPr>
            <w:r>
              <w:t xml:space="preserve">first difference</w:t>
            </w:r>
          </w:p>
        </w:tc>
        <w:tc>
          <w:tcPr/>
          <w:p>
            <w:pPr>
              <w:pStyle w:val="Compact"/>
            </w:pPr>
            <w:r>
              <w:t xml:space="preserve">−9.08</w:t>
            </w:r>
          </w:p>
        </w:tc>
        <w:tc>
          <w:tcPr/>
          <w:p>
            <w:pPr>
              <w:pStyle w:val="Compact"/>
            </w:pPr>
            <w:r>
              <w:t xml:space="preserve">0.000</w:t>
            </w:r>
          </w:p>
        </w:tc>
        <w:tc>
          <w:tcPr/>
          <w:p>
            <w:pPr>
              <w:pStyle w:val="Compact"/>
            </w:pPr>
            <w:r>
              <w:t xml:space="preserve">3</w:t>
            </w:r>
          </w:p>
        </w:tc>
        <w:tc>
          <w:tcPr/>
          <w:p>
            <w:pPr>
              <w:pStyle w:val="Compact"/>
            </w:pPr>
            <w:r>
              <w:t xml:space="preserve">303</w:t>
            </w:r>
          </w:p>
        </w:tc>
      </w:tr>
    </w:tbl>
    <w:p>
      <w:pPr>
        <w:pStyle w:val="BodyText"/>
      </w:pPr>
      <w:r>
        <w:rPr>
          <w:i/>
          <w:iCs/>
        </w:rPr>
        <w:t xml:space="preserve">Discussion.</w:t>
      </w:r>
      <w:r>
        <w:t xml:space="preserve"> </w:t>
      </w:r>
      <w:r>
        <w:t xml:space="preserve">The descriptive evidence already points against the cross-country finding: the poor’s prices have risen faster than the average over 25 years and in most fuel-shock episodes. But many things change prices at the same time as fuel — rice prices, the exchange rate, policy — and the correlations are modest. Whether fuel shocks themselves raise the poor’s prices more is the question for Objective 2.</w:t>
      </w:r>
    </w:p>
    <w:bookmarkEnd w:id="70"/>
    <w:bookmarkEnd w:id="71"/>
    <w:bookmarkStart w:id="93" w:name="X003c7fe127aa3ad497868b27af658b3100b5247"/>
    <w:p>
      <w:pPr>
        <w:pStyle w:val="Heading2"/>
      </w:pPr>
      <w:r>
        <w:t xml:space="preserve">5.2 Objective 2: estimates of pass-through and distributional effects</w:t>
      </w:r>
    </w:p>
    <w:bookmarkStart w:id="72" w:name="validation-1"/>
    <w:p>
      <w:pPr>
        <w:pStyle w:val="Heading3"/>
      </w:pPr>
      <w:r>
        <w:t xml:space="preserve">5.2.1 Validation</w:t>
      </w:r>
    </w:p>
    <w:p>
      <w:pPr>
        <w:pStyle w:val="FirstParagraph"/>
      </w:pPr>
      <w:r>
        <w:t xml:space="preserve">All three pre-registered tests passed (Table 8). On EU data, our estimate of the impact response of inflation to after-tax pump prices is 0.057, against 0.055 in the reference study; the responses to before-tax prices (0.024) and Brent crude (0.014) are close to the reference values (0.020 and 0.015) and smaller, as required; and responses fade to zero from the second month. The estimator therefore reproduces the published results, and the Philippine analysis proceeded.</w:t>
      </w:r>
    </w:p>
    <w:p>
      <w:pPr>
        <w:pStyle w:val="BodyText"/>
      </w:pPr>
      <w:r>
        <w:rPr>
          <w:b/>
          <w:bCs/>
        </w:rPr>
        <w:t xml:space="preserve">Table 8. Validation against Kpodar and Liu (2022): per-horizon responses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Test</w:t>
            </w:r>
          </w:p>
        </w:tc>
        <w:tc>
          <w:tcPr/>
          <w:p>
            <w:pPr>
              <w:pStyle w:val="Compact"/>
            </w:pPr>
            <w:r>
              <w:t xml:space="preserve">Shock</w:t>
            </w:r>
          </w:p>
        </w:tc>
        <w:tc>
          <w:tcPr/>
          <w:p>
            <w:pPr>
              <w:pStyle w:val="Compact"/>
            </w:pPr>
            <w:r>
              <w:t xml:space="preserve">h = 0</w:t>
            </w:r>
          </w:p>
        </w:tc>
        <w:tc>
          <w:tcPr/>
          <w:p>
            <w:pPr>
              <w:pStyle w:val="Compact"/>
            </w:pPr>
            <w:r>
              <w:t xml:space="preserve">h = 1</w:t>
            </w:r>
          </w:p>
        </w:tc>
        <w:tc>
          <w:tcPr/>
          <w:p>
            <w:pPr>
              <w:pStyle w:val="Compact"/>
            </w:pPr>
            <w:r>
              <w:t xml:space="preserve">h = 2</w:t>
            </w:r>
          </w:p>
        </w:tc>
        <w:tc>
          <w:tcPr/>
          <w:p>
            <w:pPr>
              <w:pStyle w:val="Compact"/>
            </w:pPr>
            <w:r>
              <w:t xml:space="preserve">h = 3</w:t>
            </w:r>
          </w:p>
        </w:tc>
        <w:tc>
          <w:tcPr/>
          <w:p>
            <w:pPr>
              <w:pStyle w:val="Compact"/>
            </w:pPr>
            <w:r>
              <w:t xml:space="preserve">h = 4</w:t>
            </w:r>
          </w:p>
        </w:tc>
        <w:tc>
          <w:tcPr/>
          <w:p>
            <w:pPr>
              <w:pStyle w:val="Compact"/>
            </w:pPr>
            <w:r>
              <w:t xml:space="preserve">h = 5</w:t>
            </w:r>
          </w:p>
        </w:tc>
        <w:tc>
          <w:tcPr/>
          <w:p>
            <w:pPr>
              <w:pStyle w:val="Compact"/>
            </w:pPr>
            <w:r>
              <w:t xml:space="preserve">h = 6</w:t>
            </w:r>
          </w:p>
        </w:tc>
        <w:tc>
          <w:tcPr/>
          <w:p>
            <w:pPr>
              <w:pStyle w:val="Compact"/>
            </w:pPr>
            <w:r>
              <w:t xml:space="preserve">Reference value at h = 0</w:t>
            </w:r>
          </w:p>
        </w:tc>
      </w:tr>
      <w:tr>
        <w:tc>
          <w:tcPr/>
          <w:p>
            <w:pPr>
              <w:pStyle w:val="Compact"/>
            </w:pPr>
            <w:r>
              <w:t xml:space="preserve">G1</w:t>
            </w:r>
          </w:p>
        </w:tc>
        <w:tc>
          <w:tcPr/>
          <w:p>
            <w:pPr>
              <w:pStyle w:val="Compact"/>
            </w:pPr>
            <w:r>
              <w:t xml:space="preserve">Pump price after tax, EU 2005–2019</w:t>
            </w:r>
          </w:p>
        </w:tc>
        <w:tc>
          <w:tcPr/>
          <w:p>
            <w:pPr>
              <w:pStyle w:val="Compact"/>
            </w:pPr>
            <w:r>
              <w:t xml:space="preserve">0.057***</w:t>
            </w:r>
          </w:p>
        </w:tc>
        <w:tc>
          <w:tcPr/>
          <w:p>
            <w:pPr>
              <w:pStyle w:val="Compact"/>
            </w:pPr>
            <w:r>
              <w:t xml:space="preserve">0.026***</w:t>
            </w:r>
          </w:p>
        </w:tc>
        <w:tc>
          <w:tcPr/>
          <w:p>
            <w:pPr>
              <w:pStyle w:val="Compact"/>
            </w:pPr>
            <w:r>
              <w:t xml:space="preserve">−0.002</w:t>
            </w:r>
          </w:p>
        </w:tc>
        <w:tc>
          <w:tcPr/>
          <w:p>
            <w:pPr>
              <w:pStyle w:val="Compact"/>
            </w:pPr>
            <w:r>
              <w:t xml:space="preserve">−0.000</w:t>
            </w:r>
          </w:p>
        </w:tc>
        <w:tc>
          <w:tcPr/>
          <w:p>
            <w:pPr>
              <w:pStyle w:val="Compact"/>
            </w:pPr>
            <w:r>
              <w:t xml:space="preserve">0.003</w:t>
            </w:r>
          </w:p>
        </w:tc>
        <w:tc>
          <w:tcPr/>
          <w:p>
            <w:pPr>
              <w:pStyle w:val="Compact"/>
            </w:pPr>
            <w:r>
              <w:t xml:space="preserve">0.000</w:t>
            </w:r>
          </w:p>
        </w:tc>
        <w:tc>
          <w:tcPr/>
          <w:p>
            <w:pPr>
              <w:pStyle w:val="Compact"/>
            </w:pPr>
            <w:r>
              <w:t xml:space="preserve">0.006***</w:t>
            </w:r>
          </w:p>
        </w:tc>
        <w:tc>
          <w:tcPr/>
          <w:p>
            <w:pPr>
              <w:pStyle w:val="Compact"/>
            </w:pPr>
            <w:r>
              <w:t xml:space="preserve">0.055</w:t>
            </w:r>
          </w:p>
        </w:tc>
      </w:tr>
      <w:tr>
        <w:tc>
          <w:tcPr/>
          <w:p>
            <w:pPr>
              <w:pStyle w:val="Compact"/>
            </w:pPr>
            <w:r>
              <w:t xml:space="preserve">G2</w:t>
            </w:r>
          </w:p>
        </w:tc>
        <w:tc>
          <w:tcPr/>
          <w:p>
            <w:pPr>
              <w:pStyle w:val="Compact"/>
            </w:pPr>
            <w:r>
              <w:t xml:space="preserve">Pump price before tax (+ tax control)</w:t>
            </w:r>
          </w:p>
        </w:tc>
        <w:tc>
          <w:tcPr/>
          <w:p>
            <w:pPr>
              <w:pStyle w:val="Compact"/>
            </w:pPr>
            <w:r>
              <w:t xml:space="preserve">0.024***</w:t>
            </w:r>
          </w:p>
        </w:tc>
        <w:tc>
          <w:tcPr/>
          <w:p>
            <w:pPr>
              <w:pStyle w:val="Compact"/>
            </w:pPr>
            <w:r>
              <w:t xml:space="preserve">0.012***</w:t>
            </w:r>
          </w:p>
        </w:tc>
        <w:tc>
          <w:tcPr/>
          <w:p>
            <w:pPr>
              <w:pStyle w:val="Compact"/>
            </w:pPr>
            <w:r>
              <w:t xml:space="preserve">−0.001</w:t>
            </w:r>
          </w:p>
        </w:tc>
        <w:tc>
          <w:tcPr/>
          <w:p>
            <w:pPr>
              <w:pStyle w:val="Compact"/>
            </w:pPr>
            <w:r>
              <w:t xml:space="preserve">0.003</w:t>
            </w:r>
          </w:p>
        </w:tc>
        <w:tc>
          <w:tcPr/>
          <w:p>
            <w:pPr>
              <w:pStyle w:val="Compact"/>
            </w:pPr>
            <w:r>
              <w:t xml:space="preserve">0.002**</w:t>
            </w:r>
          </w:p>
        </w:tc>
        <w:tc>
          <w:tcPr/>
          <w:p>
            <w:pPr>
              <w:pStyle w:val="Compact"/>
            </w:pPr>
            <w:r>
              <w:t xml:space="preserve">0.000</w:t>
            </w:r>
          </w:p>
        </w:tc>
        <w:tc>
          <w:tcPr/>
          <w:p>
            <w:pPr>
              <w:pStyle w:val="Compact"/>
            </w:pPr>
            <w:r>
              <w:t xml:space="preserve">0.005***</w:t>
            </w:r>
          </w:p>
        </w:tc>
        <w:tc>
          <w:tcPr/>
          <w:p>
            <w:pPr>
              <w:pStyle w:val="Compact"/>
            </w:pPr>
            <w:r>
              <w:t xml:space="preserve">0.020</w:t>
            </w:r>
          </w:p>
        </w:tc>
      </w:tr>
      <w:tr>
        <w:tc>
          <w:tcPr/>
          <w:p>
            <w:pPr>
              <w:pStyle w:val="Compact"/>
            </w:pPr>
            <w:r>
              <w:t xml:space="preserve">G2</w:t>
            </w:r>
          </w:p>
        </w:tc>
        <w:tc>
          <w:tcPr/>
          <w:p>
            <w:pPr>
              <w:pStyle w:val="Compact"/>
            </w:pPr>
            <w:r>
              <w:t xml:space="preserve">Brent crude in euro</w:t>
            </w:r>
          </w:p>
        </w:tc>
        <w:tc>
          <w:tcPr/>
          <w:p>
            <w:pPr>
              <w:pStyle w:val="Compact"/>
            </w:pPr>
            <w:r>
              <w:t xml:space="preserve">0.014***</w:t>
            </w:r>
          </w:p>
        </w:tc>
        <w:tc>
          <w:tcPr/>
          <w:p>
            <w:pPr>
              <w:pStyle w:val="Compact"/>
            </w:pPr>
            <w:r>
              <w:t xml:space="preserve">0.015***</w:t>
            </w:r>
          </w:p>
        </w:tc>
        <w:tc>
          <w:tcPr/>
          <w:p>
            <w:pPr>
              <w:pStyle w:val="Compact"/>
            </w:pPr>
            <w:r>
              <w:t xml:space="preserve">0.001</w:t>
            </w:r>
          </w:p>
        </w:tc>
        <w:tc>
          <w:tcPr/>
          <w:p>
            <w:pPr>
              <w:pStyle w:val="Compact"/>
            </w:pPr>
            <w:r>
              <w:t xml:space="preserve">0.000</w:t>
            </w:r>
          </w:p>
        </w:tc>
        <w:tc>
          <w:tcPr/>
          <w:p>
            <w:pPr>
              <w:pStyle w:val="Compact"/>
            </w:pPr>
            <w:r>
              <w:t xml:space="preserve">0.003***</w:t>
            </w:r>
          </w:p>
        </w:tc>
        <w:tc>
          <w:tcPr/>
          <w:p>
            <w:pPr>
              <w:pStyle w:val="Compact"/>
            </w:pPr>
            <w:r>
              <w:t xml:space="preserve">0.001</w:t>
            </w:r>
          </w:p>
        </w:tc>
        <w:tc>
          <w:tcPr/>
          <w:p>
            <w:pPr>
              <w:pStyle w:val="Compact"/>
            </w:pPr>
            <w:r>
              <w:t xml:space="preserve">−0.000</w:t>
            </w:r>
          </w:p>
        </w:tc>
        <w:tc>
          <w:tcPr/>
          <w:p>
            <w:pPr>
              <w:pStyle w:val="Compact"/>
            </w:pPr>
            <w:r>
              <w:t xml:space="preserve">0.015</w:t>
            </w:r>
          </w:p>
        </w:tc>
      </w:tr>
      <w:tr>
        <w:tc>
          <w:tcPr/>
          <w:p>
            <w:pPr>
              <w:pStyle w:val="Compact"/>
            </w:pPr>
            <w:r>
              <w:t xml:space="preserve">G3</w:t>
            </w:r>
          </w:p>
        </w:tc>
        <w:tc>
          <w:tcPr/>
          <w:p>
            <w:pPr>
              <w:pStyle w:val="Compact"/>
            </w:pPr>
            <w:r>
              <w:t xml:space="preserve">HICP fuels and lubricants, EU 2000–2019</w:t>
            </w:r>
          </w:p>
        </w:tc>
        <w:tc>
          <w:tcPr/>
          <w:p>
            <w:pPr>
              <w:pStyle w:val="Compact"/>
            </w:pPr>
            <w:r>
              <w:t xml:space="preserve">0.065***</w:t>
            </w:r>
          </w:p>
        </w:tc>
        <w:tc>
          <w:tcPr/>
          <w:p>
            <w:pPr>
              <w:pStyle w:val="Compact"/>
            </w:pPr>
            <w:r>
              <w:t xml:space="preserve">0.026***</w:t>
            </w:r>
          </w:p>
        </w:tc>
        <w:tc>
          <w:tcPr/>
          <w:p>
            <w:pPr>
              <w:pStyle w:val="Compact"/>
            </w:pPr>
            <w:r>
              <w:t xml:space="preserve">−0.001</w:t>
            </w:r>
          </w:p>
        </w:tc>
        <w:tc>
          <w:tcPr/>
          <w:p>
            <w:pPr>
              <w:pStyle w:val="Compact"/>
            </w:pPr>
            <w:r>
              <w:t xml:space="preserve">−0.003</w:t>
            </w:r>
          </w:p>
        </w:tc>
        <w:tc>
          <w:tcPr/>
          <w:p>
            <w:pPr>
              <w:pStyle w:val="Compact"/>
            </w:pPr>
            <w:r>
              <w:t xml:space="preserve">0.005***</w:t>
            </w:r>
          </w:p>
        </w:tc>
        <w:tc>
          <w:tcPr/>
          <w:p>
            <w:pPr>
              <w:pStyle w:val="Compact"/>
            </w:pPr>
            <w:r>
              <w:t xml:space="preserve">0.002</w:t>
            </w:r>
          </w:p>
        </w:tc>
        <w:tc>
          <w:tcPr/>
          <w:p>
            <w:pPr>
              <w:pStyle w:val="Compact"/>
            </w:pPr>
            <w:r>
              <w:t xml:space="preserve">0.004*</w:t>
            </w:r>
          </w:p>
        </w:tc>
        <w:tc>
          <w:tcPr/>
          <w:p>
            <w:pPr>
              <w:pStyle w:val="Compact"/>
            </w:pPr>
            <w:r>
              <w:t xml:space="preserve">0.044 (advanced) / 0.018 (developing)</w:t>
            </w:r>
          </w:p>
        </w:tc>
      </w:tr>
      <w:tr>
        <w:tc>
          <w:tcPr/>
          <w:p>
            <w:pPr>
              <w:pStyle w:val="Compact"/>
            </w:pPr>
            <w:r>
              <w:t xml:space="preserve">Indicative</w:t>
            </w:r>
          </w:p>
        </w:tc>
        <w:tc>
          <w:tcPr/>
          <w:p>
            <w:pPr>
              <w:pStyle w:val="Compact"/>
            </w:pPr>
            <w:r>
              <w:t xml:space="preserve">Philippines, fuel index 2000–2019</w:t>
            </w:r>
          </w:p>
        </w:tc>
        <w:tc>
          <w:tcPr/>
          <w:p>
            <w:pPr>
              <w:pStyle w:val="Compact"/>
            </w:pPr>
            <w:r>
              <w:t xml:space="preserve">0.063***</w:t>
            </w:r>
          </w:p>
        </w:tc>
        <w:tc>
          <w:tcPr/>
          <w:p>
            <w:pPr>
              <w:pStyle w:val="Compact"/>
            </w:pPr>
            <w:r>
              <w:t xml:space="preserve">0.033***</w:t>
            </w:r>
          </w:p>
        </w:tc>
        <w:tc>
          <w:tcPr/>
          <w:p>
            <w:pPr>
              <w:pStyle w:val="Compact"/>
            </w:pPr>
            <w:r>
              <w:t xml:space="preserve">−0.009</w:t>
            </w:r>
          </w:p>
        </w:tc>
        <w:tc>
          <w:tcPr/>
          <w:p>
            <w:pPr>
              <w:pStyle w:val="Compact"/>
            </w:pPr>
            <w:r>
              <w:t xml:space="preserve">0.011*</w:t>
            </w:r>
          </w:p>
        </w:tc>
        <w:tc>
          <w:tcPr/>
          <w:p>
            <w:pPr>
              <w:pStyle w:val="Compact"/>
            </w:pPr>
            <w:r>
              <w:t xml:space="preserve">0.000</w:t>
            </w:r>
          </w:p>
        </w:tc>
        <w:tc>
          <w:tcPr/>
          <w:p>
            <w:pPr>
              <w:pStyle w:val="Compact"/>
            </w:pPr>
            <w:r>
              <w:t xml:space="preserve">0.005</w:t>
            </w:r>
          </w:p>
        </w:tc>
        <w:tc>
          <w:tcPr/>
          <w:p>
            <w:pPr>
              <w:pStyle w:val="Compact"/>
            </w:pPr>
            <w:r>
              <w:t xml:space="preserve">0.009*</w:t>
            </w:r>
          </w:p>
        </w:tc>
        <w:tc>
          <w:tcPr/>
          <w:p>
            <w:pPr>
              <w:pStyle w:val="Compact"/>
            </w:pPr>
            <w:r>
              <w:t xml:space="preserve">0.044 (advanced) / 0.018 (developing)</w:t>
            </w:r>
          </w:p>
        </w:tc>
      </w:tr>
    </w:tbl>
    <w:p>
      <w:pPr>
        <w:pStyle w:val="BodyText"/>
      </w:pPr>
      <w:r>
        <w:rPr>
          <w:i/>
          <w:iCs/>
        </w:rPr>
        <w:t xml:space="preserve">Notes:</w:t>
      </w:r>
      <w:r>
        <w:t xml:space="preserve"> </w:t>
      </w:r>
      <w:r>
        <w:t xml:space="preserve">Per-horizon responses of monthly inflation to a 1% fuel price change. G1–G3: EU countries, country fixed effects, clustered standard errors. Indicative row: Philippines, national, Newey–West. *, **, ***: 10%, 5%, 1%.</w:t>
      </w:r>
    </w:p>
    <w:bookmarkEnd w:id="72"/>
    <w:bookmarkStart w:id="76" w:name="rq1-pass-through-to-the-price-level"/>
    <w:p>
      <w:pPr>
        <w:pStyle w:val="Heading3"/>
      </w:pPr>
      <w:r>
        <w:t xml:space="preserve">5.2.2 RQ1: pass-through to the price level</w:t>
      </w:r>
    </w:p>
    <w:p>
      <w:pPr>
        <w:pStyle w:val="FirstParagraph"/>
      </w:pPr>
      <w:r>
        <w:t xml:space="preserve">A 1% rise in the retail fuel index raises the all-income price level by 0.044 pp within the month (s.e. 0.006), 0.087 pp after six months and 0.102 pp (s.e. 0.017) after a year (Table 9, Figure 4). The bottom-30% price level responds by 0.044 on impact, 0.095 after six months and 0.102 after a year. H1 is supported, with one qualification: the cumulative effect is still rising at twelve months rather than peaking within six.</w:t>
      </w:r>
    </w:p>
    <w:p>
      <w:pPr>
        <w:pStyle w:val="BodyText"/>
      </w:pPr>
      <w:r>
        <w:t xml:space="preserve">Compared with the reference study, the Philippine impact response (0.044) equals the advanced-economy estimate (0.044) and is more than twice the developing-economy estimate (0.018); the cumulative six-month response (0.087) is close to the developing-economy sum (0.091). Motor fuel accounts for 2.39% of the all-income basket, so the direct effect explains about 54% of the impact response; for the bottom 30%, with a fuel weight of 1.59%, only about 36%. The rest is indirect. With Dubai crude in pesos as the shock, the twelve-month response is 0.041, about 40% of the retail estimate, confirming that crude prices understate pass-through.</w:t>
      </w:r>
    </w:p>
    <w:p>
      <w:pPr>
        <w:pStyle w:val="CaptionedFigure"/>
      </w:pPr>
      <w:r>
        <w:drawing>
          <wp:inline>
            <wp:extent cx="4391566" cy="2886935"/>
            <wp:effectExtent b="0" l="0" r="0" t="0"/>
            <wp:docPr descr="Figure 4. Cumulative pass-through of a 1% fuel price increase to the price level (90% bands)." title="" id="74" name="Picture"/>
            <a:graphic>
              <a:graphicData uri="http://schemas.openxmlformats.org/drawingml/2006/picture">
                <pic:pic>
                  <pic:nvPicPr>
                    <pic:cNvPr descr="../output/figures/fig1_rq1_passthrough.png" id="75" name="Picture"/>
                    <pic:cNvPicPr>
                      <a:picLocks noChangeArrowheads="1" noChangeAspect="1"/>
                    </pic:cNvPicPr>
                  </pic:nvPicPr>
                  <pic:blipFill>
                    <a:blip r:embed="rId73"/>
                    <a:stretch>
                      <a:fillRect/>
                    </a:stretch>
                  </pic:blipFill>
                  <pic:spPr bwMode="auto">
                    <a:xfrm>
                      <a:off x="0" y="0"/>
                      <a:ext cx="4391566" cy="2886935"/>
                    </a:xfrm>
                    <a:prstGeom prst="rect">
                      <a:avLst/>
                    </a:prstGeom>
                    <a:noFill/>
                    <a:ln w="9525">
                      <a:noFill/>
                      <a:headEnd/>
                      <a:tailEnd/>
                    </a:ln>
                  </pic:spPr>
                </pic:pic>
              </a:graphicData>
            </a:graphic>
          </wp:inline>
        </w:drawing>
      </w:r>
    </w:p>
    <w:p>
      <w:pPr>
        <w:pStyle w:val="ImageCaption"/>
      </w:pPr>
      <w:r>
        <w:t xml:space="preserve">Figure 4. Cumulative pass-through of a 1% fuel price increase to the price level (90% bands).</w:t>
      </w:r>
    </w:p>
    <w:p>
      <w:pPr>
        <w:pStyle w:val="BodyText"/>
      </w:pPr>
      <w:r>
        <w:rPr>
          <w:b/>
          <w:bCs/>
        </w:rPr>
        <w:t xml:space="preserve">Table 9. Cumulative responses to a 1% fuel price increase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Horizon (months)</w:t>
            </w:r>
          </w:p>
        </w:tc>
        <w:tc>
          <w:tcPr/>
          <w:p>
            <w:pPr>
              <w:pStyle w:val="Compact"/>
            </w:pPr>
            <w:r>
              <w:t xml:space="preserve">CPI, all income</w:t>
            </w:r>
          </w:p>
        </w:tc>
        <w:tc>
          <w:tcPr/>
          <w:p>
            <w:pPr>
              <w:pStyle w:val="Compact"/>
            </w:pPr>
            <w:r>
              <w:t xml:space="preserve">CPI, bottom 30%</w:t>
            </w:r>
          </w:p>
        </w:tc>
        <w:tc>
          <w:tcPr/>
          <w:p>
            <w:pPr>
              <w:pStyle w:val="Compact"/>
            </w:pPr>
            <w:r>
              <w:t xml:space="preserve">Gap ln(CPI all/CPI b30), national</w:t>
            </w:r>
          </w:p>
        </w:tc>
        <w:tc>
          <w:tcPr/>
          <w:p>
            <w:pPr>
              <w:pStyle w:val="Compact"/>
            </w:pPr>
            <w:r>
              <w:t xml:space="preserve">Gap, 17-region panel</w:t>
            </w:r>
          </w:p>
        </w:tc>
      </w:tr>
      <w:tr>
        <w:tc>
          <w:tcPr/>
          <w:p>
            <w:pPr>
              <w:pStyle w:val="Compact"/>
            </w:pPr>
            <w:r>
              <w:t xml:space="preserve">0</w:t>
            </w:r>
          </w:p>
        </w:tc>
        <w:tc>
          <w:tcPr/>
          <w:p>
            <w:pPr>
              <w:pStyle w:val="Compact"/>
            </w:pPr>
            <w:r>
              <w:t xml:space="preserve">0.044*** (0.006)</w:t>
            </w:r>
          </w:p>
        </w:tc>
        <w:tc>
          <w:tcPr/>
          <w:p>
            <w:pPr>
              <w:pStyle w:val="Compact"/>
            </w:pPr>
            <w:r>
              <w:t xml:space="preserve">0.044*** (0.009)</w:t>
            </w:r>
          </w:p>
        </w:tc>
        <w:tc>
          <w:tcPr/>
          <w:p>
            <w:pPr>
              <w:pStyle w:val="Compact"/>
            </w:pPr>
            <w:r>
              <w:t xml:space="preserve">−0.0000 (0.0040)</w:t>
            </w:r>
          </w:p>
        </w:tc>
        <w:tc>
          <w:tcPr/>
          <w:p>
            <w:pPr>
              <w:pStyle w:val="Compact"/>
            </w:pPr>
            <w:r>
              <w:t xml:space="preserve">−0.0006 (0.0032)</w:t>
            </w:r>
          </w:p>
        </w:tc>
      </w:tr>
      <w:tr>
        <w:tc>
          <w:tcPr/>
          <w:p>
            <w:pPr>
              <w:pStyle w:val="Compact"/>
            </w:pPr>
            <w:r>
              <w:t xml:space="preserve">3</w:t>
            </w:r>
          </w:p>
        </w:tc>
        <w:tc>
          <w:tcPr/>
          <w:p>
            <w:pPr>
              <w:pStyle w:val="Compact"/>
            </w:pPr>
            <w:r>
              <w:t xml:space="preserve">0.077*** (0.015)</w:t>
            </w:r>
          </w:p>
        </w:tc>
        <w:tc>
          <w:tcPr/>
          <w:p>
            <w:pPr>
              <w:pStyle w:val="Compact"/>
            </w:pPr>
            <w:r>
              <w:t xml:space="preserve">0.097*** (0.026)</w:t>
            </w:r>
          </w:p>
        </w:tc>
        <w:tc>
          <w:tcPr/>
          <w:p>
            <w:pPr>
              <w:pStyle w:val="Compact"/>
            </w:pPr>
            <w:r>
              <w:t xml:space="preserve">−0.0185* (0.0110)</w:t>
            </w:r>
          </w:p>
        </w:tc>
        <w:tc>
          <w:tcPr/>
          <w:p>
            <w:pPr>
              <w:pStyle w:val="Compact"/>
            </w:pPr>
            <w:r>
              <w:t xml:space="preserve">−0.0149** (0.0075)</w:t>
            </w:r>
          </w:p>
        </w:tc>
      </w:tr>
      <w:tr>
        <w:tc>
          <w:tcPr/>
          <w:p>
            <w:pPr>
              <w:pStyle w:val="Compact"/>
            </w:pPr>
            <w:r>
              <w:t xml:space="preserve">6</w:t>
            </w:r>
          </w:p>
        </w:tc>
        <w:tc>
          <w:tcPr/>
          <w:p>
            <w:pPr>
              <w:pStyle w:val="Compact"/>
            </w:pPr>
            <w:r>
              <w:t xml:space="preserve">0.087*** (0.015)</w:t>
            </w:r>
          </w:p>
        </w:tc>
        <w:tc>
          <w:tcPr/>
          <w:p>
            <w:pPr>
              <w:pStyle w:val="Compact"/>
            </w:pPr>
            <w:r>
              <w:t xml:space="preserve">0.095*** (0.023)</w:t>
            </w:r>
          </w:p>
        </w:tc>
        <w:tc>
          <w:tcPr/>
          <w:p>
            <w:pPr>
              <w:pStyle w:val="Compact"/>
            </w:pPr>
            <w:r>
              <w:t xml:space="preserve">−0.0155 (0.0103)</w:t>
            </w:r>
          </w:p>
        </w:tc>
        <w:tc>
          <w:tcPr/>
          <w:p>
            <w:pPr>
              <w:pStyle w:val="Compact"/>
            </w:pPr>
            <w:r>
              <w:t xml:space="preserve">−0.0214** (0.0084)</w:t>
            </w:r>
          </w:p>
        </w:tc>
      </w:tr>
      <w:tr>
        <w:tc>
          <w:tcPr/>
          <w:p>
            <w:pPr>
              <w:pStyle w:val="Compact"/>
            </w:pPr>
            <w:r>
              <w:t xml:space="preserve">9</w:t>
            </w:r>
          </w:p>
        </w:tc>
        <w:tc>
          <w:tcPr/>
          <w:p>
            <w:pPr>
              <w:pStyle w:val="Compact"/>
            </w:pPr>
            <w:r>
              <w:t xml:space="preserve">0.093*** (0.018)</w:t>
            </w:r>
          </w:p>
        </w:tc>
        <w:tc>
          <w:tcPr/>
          <w:p>
            <w:pPr>
              <w:pStyle w:val="Compact"/>
            </w:pPr>
            <w:r>
              <w:t xml:space="preserve">0.103*** (0.026)</w:t>
            </w:r>
          </w:p>
        </w:tc>
        <w:tc>
          <w:tcPr/>
          <w:p>
            <w:pPr>
              <w:pStyle w:val="Compact"/>
            </w:pPr>
            <w:r>
              <w:t xml:space="preserve">−0.0137 (0.0101)</w:t>
            </w:r>
          </w:p>
        </w:tc>
        <w:tc>
          <w:tcPr/>
          <w:p>
            <w:pPr>
              <w:pStyle w:val="Compact"/>
            </w:pPr>
            <w:r>
              <w:t xml:space="preserve">−0.0187** (0.0086)</w:t>
            </w:r>
          </w:p>
        </w:tc>
      </w:tr>
      <w:tr>
        <w:tc>
          <w:tcPr/>
          <w:p>
            <w:pPr>
              <w:pStyle w:val="Compact"/>
            </w:pPr>
            <w:r>
              <w:t xml:space="preserve">12</w:t>
            </w:r>
          </w:p>
        </w:tc>
        <w:tc>
          <w:tcPr/>
          <w:p>
            <w:pPr>
              <w:pStyle w:val="Compact"/>
            </w:pPr>
            <w:r>
              <w:t xml:space="preserve">0.102*** (0.017)</w:t>
            </w:r>
          </w:p>
        </w:tc>
        <w:tc>
          <w:tcPr/>
          <w:p>
            <w:pPr>
              <w:pStyle w:val="Compact"/>
            </w:pPr>
            <w:r>
              <w:t xml:space="preserve">0.102*** (0.026)</w:t>
            </w:r>
          </w:p>
        </w:tc>
        <w:tc>
          <w:tcPr/>
          <w:p>
            <w:pPr>
              <w:pStyle w:val="Compact"/>
            </w:pPr>
            <w:r>
              <w:t xml:space="preserve">−0.0097 (0.0113)</w:t>
            </w:r>
          </w:p>
        </w:tc>
        <w:tc>
          <w:tcPr/>
          <w:p>
            <w:pPr>
              <w:pStyle w:val="Compact"/>
            </w:pPr>
            <w:r>
              <w:t xml:space="preserve">−0.0173** (0.0085)</w:t>
            </w:r>
          </w:p>
        </w:tc>
      </w:tr>
    </w:tbl>
    <w:p>
      <w:pPr>
        <w:pStyle w:val="BodyText"/>
      </w:pPr>
      <w:r>
        <w:rPr>
          <w:i/>
          <w:iCs/>
        </w:rPr>
        <w:t xml:space="preserve">Notes:</w:t>
      </w:r>
      <w:r>
        <w:t xml:space="preserve"> </w:t>
      </w:r>
      <w:r>
        <w:t xml:space="preserve">Cumulative response (pp) of 100 × ln of each index. Gap = ln(CPI all/CPI b30); negative: bottom-30% prices rise more. National: Newey–West; panel: region fixed effects, Driscoll–Kraay. Standard errors in parentheses. *, **, ***: 10%, 5%, 1%.</w:t>
      </w:r>
    </w:p>
    <w:bookmarkEnd w:id="76"/>
    <w:bookmarkStart w:id="80" w:name="rq2-do-the-poor-pay-more"/>
    <w:p>
      <w:pPr>
        <w:pStyle w:val="Heading3"/>
      </w:pPr>
      <w:r>
        <w:t xml:space="preserve">5.2.3 RQ2: do the poor pay more?</w:t>
      </w:r>
    </w:p>
    <w:p>
      <w:pPr>
        <w:pStyle w:val="FirstParagraph"/>
      </w:pPr>
      <w:r>
        <w:t xml:space="preserve">The cumulative response of the gap is negative at every horizon after the impact month (Table 9, Figure 5): nationally −0.0185 after three months, −0.0155 (s.e. 0.0103) after six and −0.0097 after twelve, significant at the 10% level at horizons 3, 4, 7, 8. In the regional panel, which uses each region’s own fuel prices, it is −0.0214 (s.e. 0.0084) after six months and −0.0173 (s.e. 0.0085) after twelve, both significant; dropping any one region leaves the six-month estimate between −0.0227 and −0.0203. H2a (progressive) is rejected; H2b (regressive) is supported in the panel and in sign nationally. In magnitude, a 10% fuel increase raises the bottom-30% price level about 0.2 pp more than the all-income level after six months, against a total increase of about 0.9 pp.</w:t>
      </w:r>
    </w:p>
    <w:p>
      <w:pPr>
        <w:pStyle w:val="CaptionedFigure"/>
      </w:pPr>
      <w:r>
        <w:drawing>
          <wp:inline>
            <wp:extent cx="5646420" cy="2397613"/>
            <wp:effectExtent b="0" l="0" r="0" t="0"/>
            <wp:docPr descr="Figure 5. Cumulative response of the gap ln(CPI all/CPI bottom 30%) to a 1% fuel price increase: (a) national, (b) 17-region panel (90% bands)." title="" id="78" name="Picture"/>
            <a:graphic>
              <a:graphicData uri="http://schemas.openxmlformats.org/drawingml/2006/picture">
                <pic:pic>
                  <pic:nvPicPr>
                    <pic:cNvPr descr="../output/figures/fig2_rq2_rq4_ratio.png" id="79" name="Picture"/>
                    <pic:cNvPicPr>
                      <a:picLocks noChangeArrowheads="1" noChangeAspect="1"/>
                    </pic:cNvPicPr>
                  </pic:nvPicPr>
                  <pic:blipFill>
                    <a:blip r:embed="rId77"/>
                    <a:stretch>
                      <a:fillRect/>
                    </a:stretch>
                  </pic:blipFill>
                  <pic:spPr bwMode="auto">
                    <a:xfrm>
                      <a:off x="0" y="0"/>
                      <a:ext cx="5646420" cy="2397613"/>
                    </a:xfrm>
                    <a:prstGeom prst="rect">
                      <a:avLst/>
                    </a:prstGeom>
                    <a:noFill/>
                    <a:ln w="9525">
                      <a:noFill/>
                      <a:headEnd/>
                      <a:tailEnd/>
                    </a:ln>
                  </pic:spPr>
                </pic:pic>
              </a:graphicData>
            </a:graphic>
          </wp:inline>
        </w:drawing>
      </w:r>
    </w:p>
    <w:p>
      <w:pPr>
        <w:pStyle w:val="ImageCaption"/>
      </w:pPr>
      <w:r>
        <w:t xml:space="preserve">Figure 5. Cumulative response of the gap ln(CPI all/CPI bottom 30%) to a 1% fuel price increase: (a) national, (b) 17-region panel (90% bands).</w:t>
      </w:r>
    </w:p>
    <w:bookmarkEnd w:id="80"/>
    <w:bookmarkStart w:id="84" w:name="rq3-channels"/>
    <w:p>
      <w:pPr>
        <w:pStyle w:val="Heading3"/>
      </w:pPr>
      <w:r>
        <w:t xml:space="preserve">5.2.4 RQ3: channels</w:t>
      </w:r>
    </w:p>
    <w:p>
      <w:pPr>
        <w:pStyle w:val="FirstParagraph"/>
      </w:pPr>
      <w:r>
        <w:t xml:space="preserve">Ten of the thirteen CPI divisions respond significantly (Table 10, Figure 6). The largest cumulative responses after a year are in transport (0.370), housing, water, electricity and gas (0.158), food (0.072) and restaurants (0.063). H3 is partly supported: transport carries the largest pass-through, food a significant but smaller one.</w:t>
      </w:r>
    </w:p>
    <w:p>
      <w:pPr>
        <w:pStyle w:val="BodyText"/>
      </w:pPr>
      <w:r>
        <w:t xml:space="preserve">The weights alone cannot explain the regressive gap. The bottom-30% basket gives food 54.9% against 37.7%, but transport 6.1% against 9.0%. If both groups faced the same price change within each division, the gap after a year would be</w:t>
      </w:r>
      <w:r>
        <w:t xml:space="preserve"> </w:t>
      </w:r>
      <w:r>
        <w:rPr>
          <w:i/>
          <w:iCs/>
        </w:rPr>
        <w:t xml:space="preserve">progressive</w:t>
      </w:r>
      <w:r>
        <w:t xml:space="preserve"> </w:t>
      </w:r>
      <w:r>
        <w:t xml:space="preserve">(+0.0101), the cross-country result. Since the estimated gap is regressive, the poor must face larger price increases within divisions. The bottom-30% component indices (from 2013) confirm this: the poor’s housing and utilities index rises 0.182 per 1% fuel increase against 0.142, their food index 0.067 against 0.055, while their transport index rises less (0.196 against 0.300) because it consists mainly of fares.</w:t>
      </w:r>
    </w:p>
    <w:p>
      <w:pPr>
        <w:pStyle w:val="CaptionedFigure"/>
      </w:pPr>
      <w:r>
        <w:drawing>
          <wp:inline>
            <wp:extent cx="5052060" cy="2413851"/>
            <wp:effectExtent b="0" l="0" r="0" t="0"/>
            <wp:docPr descr="Figure 6. Cumulative pass-through after 12 months by CPI division (90% CI)." title="" id="82" name="Picture"/>
            <a:graphic>
              <a:graphicData uri="http://schemas.openxmlformats.org/drawingml/2006/picture">
                <pic:pic>
                  <pic:nvPicPr>
                    <pic:cNvPr descr="../output/figures/fig3_rq3_components.png" id="83" name="Picture"/>
                    <pic:cNvPicPr>
                      <a:picLocks noChangeArrowheads="1" noChangeAspect="1"/>
                    </pic:cNvPicPr>
                  </pic:nvPicPr>
                  <pic:blipFill>
                    <a:blip r:embed="rId81"/>
                    <a:stretch>
                      <a:fillRect/>
                    </a:stretch>
                  </pic:blipFill>
                  <pic:spPr bwMode="auto">
                    <a:xfrm>
                      <a:off x="0" y="0"/>
                      <a:ext cx="5052060" cy="2413851"/>
                    </a:xfrm>
                    <a:prstGeom prst="rect">
                      <a:avLst/>
                    </a:prstGeom>
                    <a:noFill/>
                    <a:ln w="9525">
                      <a:noFill/>
                      <a:headEnd/>
                      <a:tailEnd/>
                    </a:ln>
                  </pic:spPr>
                </pic:pic>
              </a:graphicData>
            </a:graphic>
          </wp:inline>
        </w:drawing>
      </w:r>
    </w:p>
    <w:p>
      <w:pPr>
        <w:pStyle w:val="ImageCaption"/>
      </w:pPr>
      <w:r>
        <w:t xml:space="preserve">Figure 6. Cumulative pass-through after 12 months by CPI division (90% CI).</w:t>
      </w:r>
    </w:p>
    <w:p>
      <w:pPr>
        <w:pStyle w:val="BodyText"/>
      </w:pPr>
      <w:r>
        <w:rPr>
          <w:b/>
          <w:bCs/>
        </w:rPr>
        <w:t xml:space="preserve">Table 10. Pass-through by CPI division, all income households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COICOP division</w:t>
            </w:r>
          </w:p>
        </w:tc>
        <w:tc>
          <w:tcPr/>
          <w:p>
            <w:pPr>
              <w:pStyle w:val="Compact"/>
            </w:pPr>
            <w:r>
              <w:t xml:space="preserve">Weight, all income (%)</w:t>
            </w:r>
          </w:p>
        </w:tc>
        <w:tc>
          <w:tcPr/>
          <w:p>
            <w:pPr>
              <w:pStyle w:val="Compact"/>
            </w:pPr>
            <w:r>
              <w:t xml:space="preserve">Weight, bottom 30% (%)</w:t>
            </w:r>
          </w:p>
        </w:tc>
        <w:tc>
          <w:tcPr/>
          <w:p>
            <w:pPr>
              <w:pStyle w:val="Compact"/>
            </w:pPr>
            <w:r>
              <w:t xml:space="preserve">Cumulative response, h = 12</w:t>
            </w:r>
          </w:p>
        </w:tc>
      </w:tr>
      <w:tr>
        <w:tc>
          <w:tcPr/>
          <w:p>
            <w:pPr>
              <w:pStyle w:val="Compact"/>
            </w:pPr>
            <w:r>
              <w:t xml:space="preserve">07 Transport</w:t>
            </w:r>
          </w:p>
        </w:tc>
        <w:tc>
          <w:tcPr/>
          <w:p>
            <w:pPr>
              <w:pStyle w:val="Compact"/>
            </w:pPr>
            <w:r>
              <w:t xml:space="preserve">9.0</w:t>
            </w:r>
          </w:p>
        </w:tc>
        <w:tc>
          <w:tcPr/>
          <w:p>
            <w:pPr>
              <w:pStyle w:val="Compact"/>
            </w:pPr>
            <w:r>
              <w:t xml:space="preserve">6.1</w:t>
            </w:r>
          </w:p>
        </w:tc>
        <w:tc>
          <w:tcPr/>
          <w:p>
            <w:pPr>
              <w:pStyle w:val="Compact"/>
            </w:pPr>
            <w:r>
              <w:t xml:space="preserve">0.370*** (0.044)</w:t>
            </w:r>
          </w:p>
        </w:tc>
      </w:tr>
      <w:tr>
        <w:tc>
          <w:tcPr/>
          <w:p>
            <w:pPr>
              <w:pStyle w:val="Compact"/>
            </w:pPr>
            <w:r>
              <w:t xml:space="preserve">12 Financial services</w:t>
            </w:r>
          </w:p>
        </w:tc>
        <w:tc>
          <w:tcPr/>
          <w:p>
            <w:pPr>
              <w:pStyle w:val="Compact"/>
            </w:pPr>
            <w:r>
              <w:t xml:space="preserve">0.0</w:t>
            </w:r>
          </w:p>
        </w:tc>
        <w:tc>
          <w:tcPr/>
          <w:p>
            <w:pPr>
              <w:pStyle w:val="Compact"/>
            </w:pPr>
            <w:r>
              <w:t xml:space="preserve">0.0</w:t>
            </w:r>
          </w:p>
        </w:tc>
        <w:tc>
          <w:tcPr/>
          <w:p>
            <w:pPr>
              <w:pStyle w:val="Compact"/>
            </w:pPr>
            <w:r>
              <w:t xml:space="preserve">0.358** (0.158)</w:t>
            </w:r>
          </w:p>
        </w:tc>
      </w:tr>
      <w:tr>
        <w:tc>
          <w:tcPr/>
          <w:p>
            <w:pPr>
              <w:pStyle w:val="Compact"/>
            </w:pPr>
            <w:r>
              <w:t xml:space="preserve">04 Housing, water, electricity, gas</w:t>
            </w:r>
          </w:p>
        </w:tc>
        <w:tc>
          <w:tcPr/>
          <w:p>
            <w:pPr>
              <w:pStyle w:val="Compact"/>
            </w:pPr>
            <w:r>
              <w:t xml:space="preserve">21.4</w:t>
            </w:r>
          </w:p>
        </w:tc>
        <w:tc>
          <w:tcPr/>
          <w:p>
            <w:pPr>
              <w:pStyle w:val="Compact"/>
            </w:pPr>
            <w:r>
              <w:t xml:space="preserve">15.5</w:t>
            </w:r>
          </w:p>
        </w:tc>
        <w:tc>
          <w:tcPr/>
          <w:p>
            <w:pPr>
              <w:pStyle w:val="Compact"/>
            </w:pPr>
            <w:r>
              <w:t xml:space="preserve">0.158*** (0.015)</w:t>
            </w:r>
          </w:p>
        </w:tc>
      </w:tr>
      <w:tr>
        <w:tc>
          <w:tcPr/>
          <w:p>
            <w:pPr>
              <w:pStyle w:val="Compact"/>
            </w:pPr>
            <w:r>
              <w:t xml:space="preserve">01 Food and non-alcoholic beverages</w:t>
            </w:r>
          </w:p>
        </w:tc>
        <w:tc>
          <w:tcPr/>
          <w:p>
            <w:pPr>
              <w:pStyle w:val="Compact"/>
            </w:pPr>
            <w:r>
              <w:t xml:space="preserve">37.7</w:t>
            </w:r>
          </w:p>
        </w:tc>
        <w:tc>
          <w:tcPr/>
          <w:p>
            <w:pPr>
              <w:pStyle w:val="Compact"/>
            </w:pPr>
            <w:r>
              <w:t xml:space="preserve">54.9</w:t>
            </w:r>
          </w:p>
        </w:tc>
        <w:tc>
          <w:tcPr/>
          <w:p>
            <w:pPr>
              <w:pStyle w:val="Compact"/>
            </w:pPr>
            <w:r>
              <w:t xml:space="preserve">0.072** (0.033)</w:t>
            </w:r>
          </w:p>
        </w:tc>
      </w:tr>
      <w:tr>
        <w:tc>
          <w:tcPr/>
          <w:p>
            <w:pPr>
              <w:pStyle w:val="Compact"/>
            </w:pPr>
            <w:r>
              <w:t xml:space="preserve">11 Restaurants and accommodation</w:t>
            </w:r>
          </w:p>
        </w:tc>
        <w:tc>
          <w:tcPr/>
          <w:p>
            <w:pPr>
              <w:pStyle w:val="Compact"/>
            </w:pPr>
            <w:r>
              <w:t xml:space="preserve">9.6</w:t>
            </w:r>
          </w:p>
        </w:tc>
        <w:tc>
          <w:tcPr/>
          <w:p>
            <w:pPr>
              <w:pStyle w:val="Compact"/>
            </w:pPr>
            <w:r>
              <w:t xml:space="preserve">7.5</w:t>
            </w:r>
          </w:p>
        </w:tc>
        <w:tc>
          <w:tcPr/>
          <w:p>
            <w:pPr>
              <w:pStyle w:val="Compact"/>
            </w:pPr>
            <w:r>
              <w:t xml:space="preserve">0.063*** (0.018)</w:t>
            </w:r>
          </w:p>
        </w:tc>
      </w:tr>
      <w:tr>
        <w:tc>
          <w:tcPr/>
          <w:p>
            <w:pPr>
              <w:pStyle w:val="Compact"/>
            </w:pPr>
            <w:r>
              <w:t xml:space="preserve">03 Clothing and footwear</w:t>
            </w:r>
          </w:p>
        </w:tc>
        <w:tc>
          <w:tcPr/>
          <w:p>
            <w:pPr>
              <w:pStyle w:val="Compact"/>
            </w:pPr>
            <w:r>
              <w:t xml:space="preserve">3.1</w:t>
            </w:r>
          </w:p>
        </w:tc>
        <w:tc>
          <w:tcPr/>
          <w:p>
            <w:pPr>
              <w:pStyle w:val="Compact"/>
            </w:pPr>
            <w:r>
              <w:t xml:space="preserve">2.5</w:t>
            </w:r>
          </w:p>
        </w:tc>
        <w:tc>
          <w:tcPr/>
          <w:p>
            <w:pPr>
              <w:pStyle w:val="Compact"/>
            </w:pPr>
            <w:r>
              <w:t xml:space="preserve">0.032*** (0.009)</w:t>
            </w:r>
          </w:p>
        </w:tc>
      </w:tr>
      <w:tr>
        <w:tc>
          <w:tcPr/>
          <w:p>
            <w:pPr>
              <w:pStyle w:val="Compact"/>
            </w:pPr>
            <w:r>
              <w:t xml:space="preserve">05 Furnishings and household equipment</w:t>
            </w:r>
          </w:p>
        </w:tc>
        <w:tc>
          <w:tcPr/>
          <w:p>
            <w:pPr>
              <w:pStyle w:val="Compact"/>
            </w:pPr>
            <w:r>
              <w:t xml:space="preserve">3.2</w:t>
            </w:r>
          </w:p>
        </w:tc>
        <w:tc>
          <w:tcPr/>
          <w:p>
            <w:pPr>
              <w:pStyle w:val="Compact"/>
            </w:pPr>
            <w:r>
              <w:t xml:space="preserve">2.4</w:t>
            </w:r>
          </w:p>
        </w:tc>
        <w:tc>
          <w:tcPr/>
          <w:p>
            <w:pPr>
              <w:pStyle w:val="Compact"/>
            </w:pPr>
            <w:r>
              <w:t xml:space="preserve">0.031*** (0.010)</w:t>
            </w:r>
          </w:p>
        </w:tc>
      </w:tr>
      <w:tr>
        <w:tc>
          <w:tcPr/>
          <w:p>
            <w:pPr>
              <w:pStyle w:val="Compact"/>
            </w:pPr>
            <w:r>
              <w:t xml:space="preserve">06 Health</w:t>
            </w:r>
          </w:p>
        </w:tc>
        <w:tc>
          <w:tcPr/>
          <w:p>
            <w:pPr>
              <w:pStyle w:val="Compact"/>
            </w:pPr>
            <w:r>
              <w:t xml:space="preserve">2.9</w:t>
            </w:r>
          </w:p>
        </w:tc>
        <w:tc>
          <w:tcPr/>
          <w:p>
            <w:pPr>
              <w:pStyle w:val="Compact"/>
            </w:pPr>
            <w:r>
              <w:t xml:space="preserve">1.4</w:t>
            </w:r>
          </w:p>
        </w:tc>
        <w:tc>
          <w:tcPr/>
          <w:p>
            <w:pPr>
              <w:pStyle w:val="Compact"/>
            </w:pPr>
            <w:r>
              <w:t xml:space="preserve">0.027** (0.013)</w:t>
            </w:r>
          </w:p>
        </w:tc>
      </w:tr>
      <w:tr>
        <w:tc>
          <w:tcPr/>
          <w:p>
            <w:pPr>
              <w:pStyle w:val="Compact"/>
            </w:pPr>
            <w:r>
              <w:t xml:space="preserve">13 Personal care and miscellaneous</w:t>
            </w:r>
          </w:p>
        </w:tc>
        <w:tc>
          <w:tcPr/>
          <w:p>
            <w:pPr>
              <w:pStyle w:val="Compact"/>
            </w:pPr>
            <w:r>
              <w:t xml:space="preserve">4.5</w:t>
            </w:r>
          </w:p>
        </w:tc>
        <w:tc>
          <w:tcPr/>
          <w:p>
            <w:pPr>
              <w:pStyle w:val="Compact"/>
            </w:pPr>
            <w:r>
              <w:t xml:space="preserve">4.8</w:t>
            </w:r>
          </w:p>
        </w:tc>
        <w:tc>
          <w:tcPr/>
          <w:p>
            <w:pPr>
              <w:pStyle w:val="Compact"/>
            </w:pPr>
            <w:r>
              <w:t xml:space="preserve">0.025*** (0.009)</w:t>
            </w:r>
          </w:p>
        </w:tc>
      </w:tr>
      <w:tr>
        <w:tc>
          <w:tcPr/>
          <w:p>
            <w:pPr>
              <w:pStyle w:val="Compact"/>
            </w:pPr>
            <w:r>
              <w:t xml:space="preserve">09 Recreation, sport and culture</w:t>
            </w:r>
          </w:p>
        </w:tc>
        <w:tc>
          <w:tcPr/>
          <w:p>
            <w:pPr>
              <w:pStyle w:val="Compact"/>
            </w:pPr>
            <w:r>
              <w:t xml:space="preserve">1.0</w:t>
            </w:r>
          </w:p>
        </w:tc>
        <w:tc>
          <w:tcPr/>
          <w:p>
            <w:pPr>
              <w:pStyle w:val="Compact"/>
            </w:pPr>
            <w:r>
              <w:t xml:space="preserve">0.7</w:t>
            </w:r>
          </w:p>
        </w:tc>
        <w:tc>
          <w:tcPr/>
          <w:p>
            <w:pPr>
              <w:pStyle w:val="Compact"/>
            </w:pPr>
            <w:r>
              <w:t xml:space="preserve">0.024 (0.025)</w:t>
            </w:r>
          </w:p>
        </w:tc>
      </w:tr>
      <w:tr>
        <w:tc>
          <w:tcPr/>
          <w:p>
            <w:pPr>
              <w:pStyle w:val="Compact"/>
            </w:pPr>
            <w:r>
              <w:t xml:space="preserve">08 Information and communication</w:t>
            </w:r>
          </w:p>
        </w:tc>
        <w:tc>
          <w:tcPr/>
          <w:p>
            <w:pPr>
              <w:pStyle w:val="Compact"/>
            </w:pPr>
            <w:r>
              <w:t xml:space="preserve">3.4</w:t>
            </w:r>
          </w:p>
        </w:tc>
        <w:tc>
          <w:tcPr/>
          <w:p>
            <w:pPr>
              <w:pStyle w:val="Compact"/>
            </w:pPr>
            <w:r>
              <w:t xml:space="preserve">1.0</w:t>
            </w:r>
          </w:p>
        </w:tc>
        <w:tc>
          <w:tcPr/>
          <w:p>
            <w:pPr>
              <w:pStyle w:val="Compact"/>
            </w:pPr>
            <w:r>
              <w:t xml:space="preserve">0.019*** (0.007)</w:t>
            </w:r>
          </w:p>
        </w:tc>
      </w:tr>
      <w:tr>
        <w:tc>
          <w:tcPr/>
          <w:p>
            <w:pPr>
              <w:pStyle w:val="Compact"/>
            </w:pPr>
            <w:r>
              <w:t xml:space="preserve">02 Alcoholic beverages and tobacco</w:t>
            </w:r>
          </w:p>
        </w:tc>
        <w:tc>
          <w:tcPr/>
          <w:p>
            <w:pPr>
              <w:pStyle w:val="Compact"/>
            </w:pPr>
            <w:r>
              <w:t xml:space="preserve">2.2</w:t>
            </w:r>
          </w:p>
        </w:tc>
        <w:tc>
          <w:tcPr/>
          <w:p>
            <w:pPr>
              <w:pStyle w:val="Compact"/>
            </w:pPr>
            <w:r>
              <w:t xml:space="preserve">2.6</w:t>
            </w:r>
          </w:p>
        </w:tc>
        <w:tc>
          <w:tcPr/>
          <w:p>
            <w:pPr>
              <w:pStyle w:val="Compact"/>
            </w:pPr>
            <w:r>
              <w:t xml:space="preserve">0.018 (0.055)</w:t>
            </w:r>
          </w:p>
        </w:tc>
      </w:tr>
      <w:tr>
        <w:tc>
          <w:tcPr/>
          <w:p>
            <w:pPr>
              <w:pStyle w:val="Compact"/>
            </w:pPr>
            <w:r>
              <w:t xml:space="preserve">10 Education services</w:t>
            </w:r>
          </w:p>
        </w:tc>
        <w:tc>
          <w:tcPr/>
          <w:p>
            <w:pPr>
              <w:pStyle w:val="Compact"/>
            </w:pPr>
            <w:r>
              <w:t xml:space="preserve">2.0</w:t>
            </w:r>
          </w:p>
        </w:tc>
        <w:tc>
          <w:tcPr/>
          <w:p>
            <w:pPr>
              <w:pStyle w:val="Compact"/>
            </w:pPr>
            <w:r>
              <w:t xml:space="preserve">0.4</w:t>
            </w:r>
          </w:p>
        </w:tc>
        <w:tc>
          <w:tcPr/>
          <w:p>
            <w:pPr>
              <w:pStyle w:val="Compact"/>
            </w:pPr>
            <w:r>
              <w:t xml:space="preserve">−0.009 (0.022)</w:t>
            </w:r>
          </w:p>
        </w:tc>
      </w:tr>
    </w:tbl>
    <w:bookmarkEnd w:id="84"/>
    <w:bookmarkStart w:id="88" w:name="rq4-regional-differences"/>
    <w:p>
      <w:pPr>
        <w:pStyle w:val="Heading3"/>
      </w:pPr>
      <w:r>
        <w:t xml:space="preserve">5.2.5 RQ4: regional differences</w:t>
      </w:r>
    </w:p>
    <w:p>
      <w:pPr>
        <w:pStyle w:val="FirstParagraph"/>
      </w:pPr>
      <w:r>
        <w:t xml:space="preserve">After a year, the gap is 0.0166 pp larger (per 1% fuel increase) in Mindanao (s.e. 0.0092), 0.0123 pp in the island regions (s.e. 0.0086) and 0.0095 pp in high-poverty regions (s.e. 0.0078), and 0.0100 pp</w:t>
      </w:r>
      <w:r>
        <w:t xml:space="preserve"> </w:t>
      </w:r>
      <w:r>
        <w:rPr>
          <w:i/>
          <w:iCs/>
        </w:rPr>
        <w:t xml:space="preserve">smaller</w:t>
      </w:r>
      <w:r>
        <w:t xml:space="preserve"> </w:t>
      </w:r>
      <w:r>
        <w:t xml:space="preserve">in regions with a high food share (s.e. 0.0052) (Table 11, Figure 7). The Mindanao and food-share interactions are significant at 10%, but none survives a correction for testing four groups. H4 is therefore not established. The food-share result runs against the hypothesis but matches the descriptive pattern of Section 5.1.5: where most households are poor and food-dependent, the all-income basket resembles the poor’s, and the gap between the two indices is mechanically smaller.</w:t>
      </w:r>
    </w:p>
    <w:p>
      <w:pPr>
        <w:pStyle w:val="CaptionedFigure"/>
      </w:pPr>
      <w:r>
        <w:drawing>
          <wp:inline>
            <wp:extent cx="4754880" cy="1890081"/>
            <wp:effectExtent b="0" l="0" r="0" t="0"/>
            <wp:docPr descr="Figure 7. Additional distributional effect in groups of regions after 12 months (90% CI)." title="" id="86" name="Picture"/>
            <a:graphic>
              <a:graphicData uri="http://schemas.openxmlformats.org/drawingml/2006/picture">
                <pic:pic>
                  <pic:nvPicPr>
                    <pic:cNvPr descr="../output/figures/fig4_rq4_groups.png" id="87" name="Picture"/>
                    <pic:cNvPicPr>
                      <a:picLocks noChangeArrowheads="1" noChangeAspect="1"/>
                    </pic:cNvPicPr>
                  </pic:nvPicPr>
                  <pic:blipFill>
                    <a:blip r:embed="rId85"/>
                    <a:stretch>
                      <a:fillRect/>
                    </a:stretch>
                  </pic:blipFill>
                  <pic:spPr bwMode="auto">
                    <a:xfrm>
                      <a:off x="0" y="0"/>
                      <a:ext cx="4754880" cy="1890081"/>
                    </a:xfrm>
                    <a:prstGeom prst="rect">
                      <a:avLst/>
                    </a:prstGeom>
                    <a:noFill/>
                    <a:ln w="9525">
                      <a:noFill/>
                      <a:headEnd/>
                      <a:tailEnd/>
                    </a:ln>
                  </pic:spPr>
                </pic:pic>
              </a:graphicData>
            </a:graphic>
          </wp:inline>
        </w:drawing>
      </w:r>
    </w:p>
    <w:p>
      <w:pPr>
        <w:pStyle w:val="ImageCaption"/>
      </w:pPr>
      <w:r>
        <w:t xml:space="preserve">Figure 7. Additional distributional effect in groups of regions after 12 months (90% CI).</w:t>
      </w:r>
    </w:p>
    <w:p>
      <w:pPr>
        <w:pStyle w:val="BodyText"/>
      </w:pPr>
      <w:r>
        <w:rPr>
          <w:b/>
          <w:bCs/>
        </w:rPr>
        <w:t xml:space="preserve">Table 11. Regional heterogeneity in the gap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 G</w:t>
            </w:r>
          </w:p>
        </w:tc>
        <w:tc>
          <w:tcPr/>
          <w:p>
            <w:pPr>
              <w:pStyle w:val="Compact"/>
            </w:pPr>
            <w:r>
              <w:t xml:space="preserve">Base effect, h = 6</w:t>
            </w:r>
          </w:p>
        </w:tc>
        <w:tc>
          <w:tcPr/>
          <w:p>
            <w:pPr>
              <w:pStyle w:val="Compact"/>
            </w:pPr>
            <w:r>
              <w:t xml:space="preserve">Extra effect θ, h = 6</w:t>
            </w:r>
          </w:p>
        </w:tc>
        <w:tc>
          <w:tcPr/>
          <w:p>
            <w:pPr>
              <w:pStyle w:val="Compact"/>
            </w:pPr>
            <w:r>
              <w:t xml:space="preserve">Base effect, h = 12</w:t>
            </w:r>
          </w:p>
        </w:tc>
        <w:tc>
          <w:tcPr/>
          <w:p>
            <w:pPr>
              <w:pStyle w:val="Compact"/>
            </w:pPr>
            <w:r>
              <w:t xml:space="preserve">Extra effect θ, h = 12</w:t>
            </w:r>
          </w:p>
        </w:tc>
      </w:tr>
      <w:tr>
        <w:tc>
          <w:tcPr/>
          <w:p>
            <w:pPr>
              <w:pStyle w:val="Compact"/>
            </w:pPr>
            <w:r>
              <w:t xml:space="preserve">High poverty (2018 incidence above median)</w:t>
            </w:r>
          </w:p>
        </w:tc>
        <w:tc>
          <w:tcPr/>
          <w:p>
            <w:pPr>
              <w:pStyle w:val="Compact"/>
            </w:pPr>
            <w:r>
              <w:t xml:space="preserve">−0.0271** (0.0108)</w:t>
            </w:r>
          </w:p>
        </w:tc>
        <w:tc>
          <w:tcPr/>
          <w:p>
            <w:pPr>
              <w:pStyle w:val="Compact"/>
            </w:pPr>
            <w:r>
              <w:t xml:space="preserve">0.0128 (0.0119)</w:t>
            </w:r>
          </w:p>
        </w:tc>
        <w:tc>
          <w:tcPr/>
          <w:p>
            <w:pPr>
              <w:pStyle w:val="Compact"/>
            </w:pPr>
            <w:r>
              <w:t xml:space="preserve">−0.0131 (0.0100)</w:t>
            </w:r>
          </w:p>
        </w:tc>
        <w:tc>
          <w:tcPr/>
          <w:p>
            <w:pPr>
              <w:pStyle w:val="Compact"/>
            </w:pPr>
            <w:r>
              <w:t xml:space="preserve">−0.0095 (0.0078)</w:t>
            </w:r>
          </w:p>
        </w:tc>
      </w:tr>
      <w:tr>
        <w:tc>
          <w:tcPr/>
          <w:p>
            <w:pPr>
              <w:pStyle w:val="Compact"/>
            </w:pPr>
            <w:r>
              <w:t xml:space="preserve">High food share of the regional basket (above median)</w:t>
            </w:r>
          </w:p>
        </w:tc>
        <w:tc>
          <w:tcPr/>
          <w:p>
            <w:pPr>
              <w:pStyle w:val="Compact"/>
            </w:pPr>
            <w:r>
              <w:t xml:space="preserve">−0.0240*** (0.0085)</w:t>
            </w:r>
          </w:p>
        </w:tc>
        <w:tc>
          <w:tcPr/>
          <w:p>
            <w:pPr>
              <w:pStyle w:val="Compact"/>
            </w:pPr>
            <w:r>
              <w:t xml:space="preserve">0.0060 (0.0044)</w:t>
            </w:r>
          </w:p>
        </w:tc>
        <w:tc>
          <w:tcPr/>
          <w:p>
            <w:pPr>
              <w:pStyle w:val="Compact"/>
            </w:pPr>
            <w:r>
              <w:t xml:space="preserve">−0.0216** (0.0094)</w:t>
            </w:r>
          </w:p>
        </w:tc>
        <w:tc>
          <w:tcPr/>
          <w:p>
            <w:pPr>
              <w:pStyle w:val="Compact"/>
            </w:pPr>
            <w:r>
              <w:t xml:space="preserve">0.0100* (0.0052)</w:t>
            </w:r>
          </w:p>
        </w:tc>
      </w:tr>
      <w:tr>
        <w:tc>
          <w:tcPr/>
          <w:p>
            <w:pPr>
              <w:pStyle w:val="Compact"/>
            </w:pPr>
            <w:r>
              <w:t xml:space="preserve">Mindanao</w:t>
            </w:r>
          </w:p>
        </w:tc>
        <w:tc>
          <w:tcPr/>
          <w:p>
            <w:pPr>
              <w:pStyle w:val="Compact"/>
            </w:pPr>
            <w:r>
              <w:t xml:space="preserve">−0.0263** (0.0108)</w:t>
            </w:r>
          </w:p>
        </w:tc>
        <w:tc>
          <w:tcPr/>
          <w:p>
            <w:pPr>
              <w:pStyle w:val="Compact"/>
            </w:pPr>
            <w:r>
              <w:t xml:space="preserve">0.0146 (0.0151)</w:t>
            </w:r>
          </w:p>
        </w:tc>
        <w:tc>
          <w:tcPr/>
          <w:p>
            <w:pPr>
              <w:pStyle w:val="Compact"/>
            </w:pPr>
            <w:r>
              <w:t xml:space="preserve">−0.0118 (0.0096)</w:t>
            </w:r>
          </w:p>
        </w:tc>
        <w:tc>
          <w:tcPr/>
          <w:p>
            <w:pPr>
              <w:pStyle w:val="Compact"/>
            </w:pPr>
            <w:r>
              <w:t xml:space="preserve">−0.0166* (0.0092)</w:t>
            </w:r>
          </w:p>
        </w:tc>
      </w:tr>
      <w:tr>
        <w:tc>
          <w:tcPr/>
          <w:p>
            <w:pPr>
              <w:pStyle w:val="Compact"/>
            </w:pPr>
            <w:r>
              <w:t xml:space="preserve">Island regions (MIMAROPA, VI, VII, VIII)</w:t>
            </w:r>
          </w:p>
        </w:tc>
        <w:tc>
          <w:tcPr/>
          <w:p>
            <w:pPr>
              <w:pStyle w:val="Compact"/>
            </w:pPr>
            <w:r>
              <w:t xml:space="preserve">−0.0201*** (0.0078)</w:t>
            </w:r>
          </w:p>
        </w:tc>
        <w:tc>
          <w:tcPr/>
          <w:p>
            <w:pPr>
              <w:pStyle w:val="Compact"/>
            </w:pPr>
            <w:r>
              <w:t xml:space="preserve">−0.0061 (0.0096)</w:t>
            </w:r>
          </w:p>
        </w:tc>
        <w:tc>
          <w:tcPr/>
          <w:p>
            <w:pPr>
              <w:pStyle w:val="Compact"/>
            </w:pPr>
            <w:r>
              <w:t xml:space="preserve">−0.0147* (0.0079)</w:t>
            </w:r>
          </w:p>
        </w:tc>
        <w:tc>
          <w:tcPr/>
          <w:p>
            <w:pPr>
              <w:pStyle w:val="Compact"/>
            </w:pPr>
            <w:r>
              <w:t xml:space="preserve">−0.0123 (0.0086)</w:t>
            </w:r>
          </w:p>
        </w:tc>
      </w:tr>
    </w:tbl>
    <w:bookmarkEnd w:id="88"/>
    <w:bookmarkStart w:id="92" w:name="robustness-and-stability"/>
    <w:p>
      <w:pPr>
        <w:pStyle w:val="Heading3"/>
      </w:pPr>
      <w:r>
        <w:t xml:space="preserve">5.2.6 Robustness and stability</w:t>
      </w:r>
    </w:p>
    <w:p>
      <w:pPr>
        <w:pStyle w:val="FirstParagraph"/>
      </w:pPr>
      <w:r>
        <w:t xml:space="preserve">The negative six-month gap holds in all pre-specified robustness checks (Table 12, Figure 8). It shrinks toward zero with macro controls (−0.0046), and with the two fuel series available only from 2018–2019 (−0.0016 and −0.0063). The supplementary split shows why: in the regional panel the six-month gap is −0.0541 (s.e. 0.0197) over 2001–2012 and −0.0091 (s.e. 0.0064) over 2013–2026; excluding 2008 leaves −0.0177 (s.e. 0.0073). The regressive effect was strongest in the 2000s and has weakened since.</w:t>
      </w:r>
    </w:p>
    <w:p>
      <w:pPr>
        <w:pStyle w:val="CaptionedFigure"/>
      </w:pPr>
      <w:r>
        <w:drawing>
          <wp:inline>
            <wp:extent cx="5052060" cy="3273807"/>
            <wp:effectExtent b="0" l="0" r="0" t="0"/>
            <wp:docPr descr="Figure 8. Robustness of the six-month distributional effect (90% CI). Open squares: supplementary analyses." title="" id="90" name="Picture"/>
            <a:graphic>
              <a:graphicData uri="http://schemas.openxmlformats.org/drawingml/2006/picture">
                <pic:pic>
                  <pic:nvPicPr>
                    <pic:cNvPr descr="../output/figures/fig5_robustness.png" id="91" name="Picture"/>
                    <pic:cNvPicPr>
                      <a:picLocks noChangeArrowheads="1" noChangeAspect="1"/>
                    </pic:cNvPicPr>
                  </pic:nvPicPr>
                  <pic:blipFill>
                    <a:blip r:embed="rId89"/>
                    <a:stretch>
                      <a:fillRect/>
                    </a:stretch>
                  </pic:blipFill>
                  <pic:spPr bwMode="auto">
                    <a:xfrm>
                      <a:off x="0" y="0"/>
                      <a:ext cx="5052060" cy="3273807"/>
                    </a:xfrm>
                    <a:prstGeom prst="rect">
                      <a:avLst/>
                    </a:prstGeom>
                    <a:noFill/>
                    <a:ln w="9525">
                      <a:noFill/>
                      <a:headEnd/>
                      <a:tailEnd/>
                    </a:ln>
                  </pic:spPr>
                </pic:pic>
              </a:graphicData>
            </a:graphic>
          </wp:inline>
        </w:drawing>
      </w:r>
    </w:p>
    <w:p>
      <w:pPr>
        <w:pStyle w:val="ImageCaption"/>
      </w:pPr>
      <w:r>
        <w:t xml:space="preserve">Figure 8. Robustness of the six-month distributional effect (90% CI). Open squares: supplementary analyses.</w:t>
      </w:r>
    </w:p>
    <w:p>
      <w:pPr>
        <w:pStyle w:val="BodyText"/>
      </w:pPr>
      <w:r>
        <w:rPr>
          <w:b/>
          <w:bCs/>
        </w:rPr>
        <w:t xml:space="preserve">Table 12. Robustness of the distributional gap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Specification</w:t>
            </w:r>
          </w:p>
        </w:tc>
        <w:tc>
          <w:tcPr/>
          <w:p>
            <w:pPr>
              <w:pStyle w:val="Compact"/>
            </w:pPr>
            <w:r>
              <w:t xml:space="preserve">Gap, h = 6</w:t>
            </w:r>
          </w:p>
        </w:tc>
        <w:tc>
          <w:tcPr/>
          <w:p>
            <w:pPr>
              <w:pStyle w:val="Compact"/>
            </w:pPr>
            <w:r>
              <w:t xml:space="preserve">Gap, h = 12</w:t>
            </w:r>
          </w:p>
        </w:tc>
        <w:tc>
          <w:tcPr/>
          <w:p>
            <w:pPr>
              <w:pStyle w:val="Compact"/>
            </w:pPr>
            <w:r>
              <w:t xml:space="preserve">CPI all, h = 12</w:t>
            </w:r>
          </w:p>
        </w:tc>
      </w:tr>
      <w:tr>
        <w:tc>
          <w:tcPr/>
          <w:p>
            <w:pPr>
              <w:pStyle w:val="Compact"/>
            </w:pPr>
            <w:r>
              <w:t xml:space="preserve">Baseline, national</w:t>
            </w:r>
          </w:p>
        </w:tc>
        <w:tc>
          <w:tcPr/>
          <w:p>
            <w:pPr>
              <w:pStyle w:val="Compact"/>
            </w:pPr>
            <w:r>
              <w:t xml:space="preserve">−0.0155 (0.0103)</w:t>
            </w:r>
          </w:p>
        </w:tc>
        <w:tc>
          <w:tcPr/>
          <w:p>
            <w:pPr>
              <w:pStyle w:val="Compact"/>
            </w:pPr>
            <w:r>
              <w:t xml:space="preserve">−0.0097 (0.0113)</w:t>
            </w:r>
          </w:p>
        </w:tc>
        <w:tc>
          <w:tcPr/>
          <w:p>
            <w:pPr>
              <w:pStyle w:val="Compact"/>
            </w:pPr>
            <w:r>
              <w:t xml:space="preserve">0.102*** (0.017)</w:t>
            </w:r>
          </w:p>
        </w:tc>
      </w:tr>
      <w:tr>
        <w:tc>
          <w:tcPr/>
          <w:p>
            <w:pPr>
              <w:pStyle w:val="Compact"/>
            </w:pPr>
            <w:r>
              <w:t xml:space="preserve">Baseline, 17-region panel</w:t>
            </w:r>
          </w:p>
        </w:tc>
        <w:tc>
          <w:tcPr/>
          <w:p>
            <w:pPr>
              <w:pStyle w:val="Compact"/>
            </w:pPr>
            <w:r>
              <w:t xml:space="preserve">−0.0214** (0.0084)</w:t>
            </w:r>
          </w:p>
        </w:tc>
        <w:tc>
          <w:tcPr/>
          <w:p>
            <w:pPr>
              <w:pStyle w:val="Compact"/>
            </w:pPr>
            <w:r>
              <w:t xml:space="preserve">−0.0173** (0.0085)</w:t>
            </w:r>
          </w:p>
        </w:tc>
        <w:tc>
          <w:tcPr/>
          <w:p>
            <w:pPr>
              <w:pStyle w:val="Compact"/>
            </w:pPr>
            <w:r>
              <w:t xml:space="preserve">—</w:t>
            </w:r>
          </w:p>
        </w:tc>
      </w:tr>
      <w:tr>
        <w:tc>
          <w:tcPr/>
          <w:p>
            <w:pPr>
              <w:pStyle w:val="Compact"/>
            </w:pPr>
            <w:r>
              <w:t xml:space="preserve">(a) Shock: Dubai crude in pesos</w:t>
            </w:r>
          </w:p>
        </w:tc>
        <w:tc>
          <w:tcPr/>
          <w:p>
            <w:pPr>
              <w:pStyle w:val="Compact"/>
            </w:pPr>
            <w:r>
              <w:t xml:space="preserve">−0.0093 (0.0056)</w:t>
            </w:r>
          </w:p>
        </w:tc>
        <w:tc>
          <w:tcPr/>
          <w:p>
            <w:pPr>
              <w:pStyle w:val="Compact"/>
            </w:pPr>
            <w:r>
              <w:t xml:space="preserve">−0.0075 (0.0063)</w:t>
            </w:r>
          </w:p>
        </w:tc>
        <w:tc>
          <w:tcPr/>
          <w:p>
            <w:pPr>
              <w:pStyle w:val="Compact"/>
            </w:pPr>
            <w:r>
              <w:t xml:space="preserve">0.041*** (0.009)</w:t>
            </w:r>
          </w:p>
        </w:tc>
      </w:tr>
      <w:tr>
        <w:tc>
          <w:tcPr/>
          <w:p>
            <w:pPr>
              <w:pStyle w:val="Compact"/>
            </w:pPr>
            <w:r>
              <w:t xml:space="preserve">(b) + PHP/USD, policy rate, FAO food index</w:t>
            </w:r>
          </w:p>
        </w:tc>
        <w:tc>
          <w:tcPr/>
          <w:p>
            <w:pPr>
              <w:pStyle w:val="Compact"/>
            </w:pPr>
            <w:r>
              <w:t xml:space="preserve">−0.0046 (0.0156)</w:t>
            </w:r>
          </w:p>
        </w:tc>
        <w:tc>
          <w:tcPr/>
          <w:p>
            <w:pPr>
              <w:pStyle w:val="Compact"/>
            </w:pPr>
            <w:r>
              <w:t xml:space="preserve">0.0086 (0.0160)</w:t>
            </w:r>
          </w:p>
        </w:tc>
        <w:tc>
          <w:tcPr/>
          <w:p>
            <w:pPr>
              <w:pStyle w:val="Compact"/>
            </w:pPr>
            <w:r>
              <w:t xml:space="preserve">0.072*** (0.020)</w:t>
            </w:r>
          </w:p>
        </w:tc>
      </w:tr>
      <w:tr>
        <w:tc>
          <w:tcPr/>
          <w:p>
            <w:pPr>
              <w:pStyle w:val="Compact"/>
            </w:pPr>
            <w:r>
              <w:t xml:space="preserve">(c) 6 lags</w:t>
            </w:r>
          </w:p>
        </w:tc>
        <w:tc>
          <w:tcPr/>
          <w:p>
            <w:pPr>
              <w:pStyle w:val="Compact"/>
            </w:pPr>
            <w:r>
              <w:t xml:space="preserve">−0.0160* (0.0093)</w:t>
            </w:r>
          </w:p>
        </w:tc>
        <w:tc>
          <w:tcPr/>
          <w:p>
            <w:pPr>
              <w:pStyle w:val="Compact"/>
            </w:pPr>
            <w:r>
              <w:t xml:space="preserve">−0.0157 (0.0121)</w:t>
            </w:r>
          </w:p>
        </w:tc>
        <w:tc>
          <w:tcPr/>
          <w:p>
            <w:pPr>
              <w:pStyle w:val="Compact"/>
            </w:pPr>
            <w:r>
              <w:t xml:space="preserve">0.107*** (0.020)</w:t>
            </w:r>
          </w:p>
        </w:tc>
      </w:tr>
      <w:tr>
        <w:tc>
          <w:tcPr/>
          <w:p>
            <w:pPr>
              <w:pStyle w:val="Compact"/>
            </w:pPr>
            <w:r>
              <w:t xml:space="preserve">(c) 18 lags</w:t>
            </w:r>
          </w:p>
        </w:tc>
        <w:tc>
          <w:tcPr/>
          <w:p>
            <w:pPr>
              <w:pStyle w:val="Compact"/>
            </w:pPr>
            <w:r>
              <w:t xml:space="preserve">−0.0191* (0.0106)</w:t>
            </w:r>
          </w:p>
        </w:tc>
        <w:tc>
          <w:tcPr/>
          <w:p>
            <w:pPr>
              <w:pStyle w:val="Compact"/>
            </w:pPr>
            <w:r>
              <w:t xml:space="preserve">−0.0109 (0.0115)</w:t>
            </w:r>
          </w:p>
        </w:tc>
        <w:tc>
          <w:tcPr/>
          <w:p>
            <w:pPr>
              <w:pStyle w:val="Compact"/>
            </w:pPr>
            <w:r>
              <w:t xml:space="preserve">0.109*** (0.018)</w:t>
            </w:r>
          </w:p>
        </w:tc>
      </w:tr>
      <w:tr>
        <w:tc>
          <w:tcPr/>
          <w:p>
            <w:pPr>
              <w:pStyle w:val="Compact"/>
            </w:pPr>
            <w:r>
              <w:t xml:space="preserve">(d) Excluding 2020</w:t>
            </w:r>
          </w:p>
        </w:tc>
        <w:tc>
          <w:tcPr/>
          <w:p>
            <w:pPr>
              <w:pStyle w:val="Compact"/>
            </w:pPr>
            <w:r>
              <w:t xml:space="preserve">−0.0186 (0.0121)</w:t>
            </w:r>
          </w:p>
        </w:tc>
        <w:tc>
          <w:tcPr/>
          <w:p>
            <w:pPr>
              <w:pStyle w:val="Compact"/>
            </w:pPr>
            <w:r>
              <w:t xml:space="preserve">−0.0142 (0.0129)</w:t>
            </w:r>
          </w:p>
        </w:tc>
        <w:tc>
          <w:tcPr/>
          <w:p>
            <w:pPr>
              <w:pStyle w:val="Compact"/>
            </w:pPr>
            <w:r>
              <w:t xml:space="preserve">0.111*** (0.017)</w:t>
            </w:r>
          </w:p>
        </w:tc>
      </w:tr>
      <w:tr>
        <w:tc>
          <w:tcPr/>
          <w:p>
            <w:pPr>
              <w:pStyle w:val="Compact"/>
            </w:pPr>
            <w:r>
              <w:t xml:space="preserve">(d) Shock dates to Dec 2025 only</w:t>
            </w:r>
          </w:p>
        </w:tc>
        <w:tc>
          <w:tcPr/>
          <w:p>
            <w:pPr>
              <w:pStyle w:val="Compact"/>
            </w:pPr>
            <w:r>
              <w:t xml:space="preserve">−0.0158 (0.0097)</w:t>
            </w:r>
          </w:p>
        </w:tc>
        <w:tc>
          <w:tcPr/>
          <w:p>
            <w:pPr>
              <w:pStyle w:val="Compact"/>
            </w:pPr>
            <w:r>
              <w:t xml:space="preserve">−0.0097 (0.0113)</w:t>
            </w:r>
          </w:p>
        </w:tc>
        <w:tc>
          <w:tcPr/>
          <w:p>
            <w:pPr>
              <w:pStyle w:val="Compact"/>
            </w:pPr>
            <w:r>
              <w:t xml:space="preserve">0.102*** (0.017)</w:t>
            </w:r>
          </w:p>
        </w:tc>
      </w:tr>
      <w:tr>
        <w:tc>
          <w:tcPr/>
          <w:p>
            <w:pPr>
              <w:pStyle w:val="Compact"/>
            </w:pPr>
            <w:r>
              <w:t xml:space="preserve">(e) Base-change dummies (Jan 2012, Jan 2018)</w:t>
            </w:r>
          </w:p>
        </w:tc>
        <w:tc>
          <w:tcPr/>
          <w:p>
            <w:pPr>
              <w:pStyle w:val="Compact"/>
            </w:pPr>
            <w:r>
              <w:t xml:space="preserve">−0.0155 (0.0102)</w:t>
            </w:r>
          </w:p>
        </w:tc>
        <w:tc>
          <w:tcPr/>
          <w:p>
            <w:pPr>
              <w:pStyle w:val="Compact"/>
            </w:pPr>
            <w:r>
              <w:t xml:space="preserve">−0.0100 (0.0114)</w:t>
            </w:r>
          </w:p>
        </w:tc>
        <w:tc>
          <w:tcPr/>
          <w:p>
            <w:pPr>
              <w:pStyle w:val="Compact"/>
            </w:pPr>
            <w:r>
              <w:t xml:space="preserve">0.102*** (0.018)</w:t>
            </w:r>
          </w:p>
        </w:tc>
      </w:tr>
      <w:tr>
        <w:tc>
          <w:tcPr/>
          <w:p>
            <w:pPr>
              <w:pStyle w:val="Compact"/>
            </w:pPr>
            <w:r>
              <w:t xml:space="preserve">(g) Reference study’s window (to Jun 2019)</w:t>
            </w:r>
          </w:p>
        </w:tc>
        <w:tc>
          <w:tcPr/>
          <w:p>
            <w:pPr>
              <w:pStyle w:val="Compact"/>
            </w:pPr>
            <w:r>
              <w:t xml:space="preserve">−0.0315 (0.0202)</w:t>
            </w:r>
          </w:p>
        </w:tc>
        <w:tc>
          <w:tcPr/>
          <w:p>
            <w:pPr>
              <w:pStyle w:val="Compact"/>
            </w:pPr>
            <w:r>
              <w:t xml:space="preserve">−0.0215 (0.0191)</w:t>
            </w:r>
          </w:p>
        </w:tc>
        <w:tc>
          <w:tcPr/>
          <w:p>
            <w:pPr>
              <w:pStyle w:val="Compact"/>
            </w:pPr>
            <w:r>
              <w:t xml:space="preserve">0.093*** (0.016)</w:t>
            </w:r>
          </w:p>
        </w:tc>
      </w:tr>
      <w:tr>
        <w:tc>
          <w:tcPr/>
          <w:p>
            <w:pPr>
              <w:pStyle w:val="Compact"/>
            </w:pPr>
            <w:r>
              <w:t xml:space="preserve">(h) Shock: gasoline index, 2019–2026</w:t>
            </w:r>
          </w:p>
        </w:tc>
        <w:tc>
          <w:tcPr/>
          <w:p>
            <w:pPr>
              <w:pStyle w:val="Compact"/>
            </w:pPr>
            <w:r>
              <w:t xml:space="preserve">−0.0016 (0.0122)</w:t>
            </w:r>
          </w:p>
        </w:tc>
        <w:tc>
          <w:tcPr/>
          <w:p>
            <w:pPr>
              <w:pStyle w:val="Compact"/>
            </w:pPr>
            <w:r>
              <w:t xml:space="preserve">−0.0051 (0.0125)</w:t>
            </w:r>
          </w:p>
        </w:tc>
        <w:tc>
          <w:tcPr/>
          <w:p>
            <w:pPr>
              <w:pStyle w:val="Compact"/>
            </w:pPr>
            <w:r>
              <w:t xml:space="preserve">0.096*** (0.027)</w:t>
            </w:r>
          </w:p>
        </w:tc>
      </w:tr>
      <w:tr>
        <w:tc>
          <w:tcPr/>
          <w:p>
            <w:pPr>
              <w:pStyle w:val="Compact"/>
            </w:pPr>
            <w:r>
              <w:t xml:space="preserve">(i) Shock: World Bank pump price, 2018–2025</w:t>
            </w:r>
          </w:p>
        </w:tc>
        <w:tc>
          <w:tcPr/>
          <w:p>
            <w:pPr>
              <w:pStyle w:val="Compact"/>
            </w:pPr>
            <w:r>
              <w:t xml:space="preserve">−0.0063 (0.0096)</w:t>
            </w:r>
          </w:p>
        </w:tc>
        <w:tc>
          <w:tcPr/>
          <w:p>
            <w:pPr>
              <w:pStyle w:val="Compact"/>
            </w:pPr>
            <w:r>
              <w:t xml:space="preserve">−0.0005 (0.0054)</w:t>
            </w:r>
          </w:p>
        </w:tc>
        <w:tc>
          <w:tcPr/>
          <w:p>
            <w:pPr>
              <w:pStyle w:val="Compact"/>
            </w:pPr>
            <w:r>
              <w:t xml:space="preserve">0.072*** (0.019)</w:t>
            </w:r>
          </w:p>
        </w:tc>
      </w:tr>
      <w:tr>
        <w:tc>
          <w:tcPr/>
          <w:p>
            <w:pPr>
              <w:pStyle w:val="Compact"/>
            </w:pPr>
            <w:r>
              <w:t xml:space="preserve">(k) Panel, drop re-mapped 2026 observations</w:t>
            </w:r>
          </w:p>
        </w:tc>
        <w:tc>
          <w:tcPr/>
          <w:p>
            <w:pPr>
              <w:pStyle w:val="Compact"/>
            </w:pPr>
            <w:r>
              <w:t xml:space="preserve">−0.0215*** (0.0083)</w:t>
            </w:r>
          </w:p>
        </w:tc>
        <w:tc>
          <w:tcPr/>
          <w:p>
            <w:pPr>
              <w:pStyle w:val="Compact"/>
            </w:pPr>
            <w:r>
              <w:t xml:space="preserve">−0.0173** (0.0085)</w:t>
            </w:r>
          </w:p>
        </w:tc>
        <w:tc>
          <w:tcPr/>
          <w:p>
            <w:pPr>
              <w:pStyle w:val="Compact"/>
            </w:pPr>
            <w:r>
              <w:t xml:space="preserve">—</w:t>
            </w:r>
          </w:p>
        </w:tc>
      </w:tr>
      <w:tr>
        <w:tc>
          <w:tcPr/>
          <w:p>
            <w:pPr>
              <w:pStyle w:val="Compact"/>
            </w:pPr>
            <w:r>
              <w:t xml:space="preserve">(l) Panel, national instead of regional shock</w:t>
            </w:r>
          </w:p>
        </w:tc>
        <w:tc>
          <w:tcPr/>
          <w:p>
            <w:pPr>
              <w:pStyle w:val="Compact"/>
            </w:pPr>
            <w:r>
              <w:t xml:space="preserve">−0.0225** (0.0095)</w:t>
            </w:r>
          </w:p>
        </w:tc>
        <w:tc>
          <w:tcPr/>
          <w:p>
            <w:pPr>
              <w:pStyle w:val="Compact"/>
            </w:pPr>
            <w:r>
              <w:t xml:space="preserve">−0.0188** (0.0095)</w:t>
            </w:r>
          </w:p>
        </w:tc>
        <w:tc>
          <w:tcPr/>
          <w:p>
            <w:pPr>
              <w:pStyle w:val="Compact"/>
            </w:pPr>
            <w:r>
              <w:t xml:space="preserve">—</w:t>
            </w:r>
          </w:p>
        </w:tc>
      </w:tr>
      <w:tr>
        <w:tc>
          <w:tcPr/>
          <w:p>
            <w:pPr>
              <w:pStyle w:val="Compact"/>
            </w:pPr>
            <w:r>
              <w:t xml:space="preserve">Supplementary: national, excluding 2008</w:t>
            </w:r>
          </w:p>
        </w:tc>
        <w:tc>
          <w:tcPr/>
          <w:p>
            <w:pPr>
              <w:pStyle w:val="Compact"/>
            </w:pPr>
            <w:r>
              <w:t xml:space="preserve">−0.0131 (0.0088)</w:t>
            </w:r>
          </w:p>
        </w:tc>
        <w:tc>
          <w:tcPr/>
          <w:p>
            <w:pPr>
              <w:pStyle w:val="Compact"/>
            </w:pPr>
            <w:r>
              <w:t xml:space="preserve">−0.0079 (0.0115)</w:t>
            </w:r>
          </w:p>
        </w:tc>
        <w:tc>
          <w:tcPr/>
          <w:p>
            <w:pPr>
              <w:pStyle w:val="Compact"/>
            </w:pPr>
            <w:r>
              <w:t xml:space="preserve">—</w:t>
            </w:r>
          </w:p>
        </w:tc>
      </w:tr>
      <w:tr>
        <w:tc>
          <w:tcPr/>
          <w:p>
            <w:pPr>
              <w:pStyle w:val="Compact"/>
            </w:pPr>
            <w:r>
              <w:t xml:space="preserve">Supplementary: panel, excluding 2008</w:t>
            </w:r>
          </w:p>
        </w:tc>
        <w:tc>
          <w:tcPr/>
          <w:p>
            <w:pPr>
              <w:pStyle w:val="Compact"/>
            </w:pPr>
            <w:r>
              <w:t xml:space="preserve">−0.0177** (0.0073)</w:t>
            </w:r>
          </w:p>
        </w:tc>
        <w:tc>
          <w:tcPr/>
          <w:p>
            <w:pPr>
              <w:pStyle w:val="Compact"/>
            </w:pPr>
            <w:r>
              <w:t xml:space="preserve">−0.0135 (0.0092)</w:t>
            </w:r>
          </w:p>
        </w:tc>
        <w:tc>
          <w:tcPr/>
          <w:p>
            <w:pPr>
              <w:pStyle w:val="Compact"/>
            </w:pPr>
            <w:r>
              <w:t xml:space="preserve">—</w:t>
            </w:r>
          </w:p>
        </w:tc>
      </w:tr>
      <w:tr>
        <w:tc>
          <w:tcPr/>
          <w:p>
            <w:pPr>
              <w:pStyle w:val="Compact"/>
            </w:pPr>
            <w:r>
              <w:t xml:space="preserve">Supplementary: panel, 2001–2012</w:t>
            </w:r>
          </w:p>
        </w:tc>
        <w:tc>
          <w:tcPr/>
          <w:p>
            <w:pPr>
              <w:pStyle w:val="Compact"/>
            </w:pPr>
            <w:r>
              <w:t xml:space="preserve">−0.0541*** (0.0197)</w:t>
            </w:r>
          </w:p>
        </w:tc>
        <w:tc>
          <w:tcPr/>
          <w:p>
            <w:pPr>
              <w:pStyle w:val="Compact"/>
            </w:pPr>
            <w:r>
              <w:t xml:space="preserve">−0.0369** (0.0147)</w:t>
            </w:r>
          </w:p>
        </w:tc>
        <w:tc>
          <w:tcPr/>
          <w:p>
            <w:pPr>
              <w:pStyle w:val="Compact"/>
            </w:pPr>
            <w:r>
              <w:t xml:space="preserve">—</w:t>
            </w:r>
          </w:p>
        </w:tc>
      </w:tr>
      <w:tr>
        <w:tc>
          <w:tcPr/>
          <w:p>
            <w:pPr>
              <w:pStyle w:val="Compact"/>
            </w:pPr>
            <w:r>
              <w:t xml:space="preserve">Supplementary: panel, 2013–2026</w:t>
            </w:r>
          </w:p>
        </w:tc>
        <w:tc>
          <w:tcPr/>
          <w:p>
            <w:pPr>
              <w:pStyle w:val="Compact"/>
            </w:pPr>
            <w:r>
              <w:t xml:space="preserve">−0.0091 (0.0064)</w:t>
            </w:r>
          </w:p>
        </w:tc>
        <w:tc>
          <w:tcPr/>
          <w:p>
            <w:pPr>
              <w:pStyle w:val="Compact"/>
            </w:pPr>
            <w:r>
              <w:t xml:space="preserve">−0.0063 (0.0075)</w:t>
            </w:r>
          </w:p>
        </w:tc>
        <w:tc>
          <w:tcPr/>
          <w:p>
            <w:pPr>
              <w:pStyle w:val="Compact"/>
            </w:pPr>
            <w:r>
              <w:t xml:space="preserve">—</w:t>
            </w:r>
          </w:p>
        </w:tc>
      </w:tr>
    </w:tbl>
    <w:p>
      <w:pPr>
        <w:pStyle w:val="BodyText"/>
      </w:pPr>
      <w:r>
        <w:rPr>
          <w:i/>
          <w:iCs/>
        </w:rPr>
        <w:t xml:space="preserve">Discussion of Objective 2.</w:t>
      </w:r>
      <w:r>
        <w:t xml:space="preserve"> </w:t>
      </w:r>
      <w:r>
        <w:t xml:space="preserve">Fuel price shocks pass through to Philippine prices as much as in the average developing economy but as fast as in advanced economies. Their distributional effect is the opposite of the cross-country finding: not progressive but, if anything, regressive. The explanation lies not in what the poor buy but in the prices they pay within the same categories, a difference that the reconstructed indices of the cross-country literature cannot capture by construction.</w:t>
      </w:r>
    </w:p>
    <w:bookmarkEnd w:id="92"/>
    <w:bookmarkEnd w:id="93"/>
    <w:bookmarkStart w:id="104" w:name="Xba73755d0cfb264add68af3842cf59e7f8c62c2"/>
    <w:p>
      <w:pPr>
        <w:pStyle w:val="Heading2"/>
      </w:pPr>
      <w:r>
        <w:t xml:space="preserve">5.3 Objective 3: policy implications of the 2026 shock</w:t>
      </w:r>
    </w:p>
    <w:bookmarkStart w:id="97" w:name="Xfa599e2f6f06f978dbec70ac30655863e9e5c4e"/>
    <w:p>
      <w:pPr>
        <w:pStyle w:val="Heading3"/>
      </w:pPr>
      <w:r>
        <w:t xml:space="preserve">5.3.1 How much of the 2026 surge did fuel explain?</w:t>
      </w:r>
    </w:p>
    <w:p>
      <w:pPr>
        <w:pStyle w:val="FirstParagraph"/>
      </w:pPr>
      <w:r>
        <w:t xml:space="preserve">The fuel index rose 53.7 log points between December 2025 and April 2026 and was still 32.5 points higher in August. A model estimated only on data up to December 2025 attributes 2.55 log points (range 1.94–3.17) of the 4.81-point rise in the all-income CPI by August to fuel, about 53%, and 3.13 (2.16–4.10) of the 5.98-point rise in the bottom-30% CPI, about 52% (Figure 9). It also predicts that the poor would pay more: −0.65 pp of the −1.18 pp actual gap. The historical relationships thus held in 2026, but explain only half of what happened. Prices did not fall when fuel prices eased in May and June, as the model predicted, consistent with downward price rigidity and with other shocks, including a 5.1% depreciation of the peso between February and August.</w:t>
      </w:r>
    </w:p>
    <w:p>
      <w:pPr>
        <w:pStyle w:val="CaptionedFigure"/>
      </w:pPr>
      <w:r>
        <w:drawing>
          <wp:inline>
            <wp:extent cx="5646420" cy="2668495"/>
            <wp:effectExtent b="0" l="0" r="0" t="0"/>
            <wp:docPr descr="Figure 9. Actual price changes in 2026 against the fuel-driven changes predicted by a model estimated on 2001–2025 data." title="" id="95" name="Picture"/>
            <a:graphic>
              <a:graphicData uri="http://schemas.openxmlformats.org/drawingml/2006/picture">
                <pic:pic>
                  <pic:nvPicPr>
                    <pic:cNvPr descr="../output/figures/fig6_2026_out_of_sample.png" id="96" name="Picture"/>
                    <pic:cNvPicPr>
                      <a:picLocks noChangeArrowheads="1" noChangeAspect="1"/>
                    </pic:cNvPicPr>
                  </pic:nvPicPr>
                  <pic:blipFill>
                    <a:blip r:embed="rId94"/>
                    <a:stretch>
                      <a:fillRect/>
                    </a:stretch>
                  </pic:blipFill>
                  <pic:spPr bwMode="auto">
                    <a:xfrm>
                      <a:off x="0" y="0"/>
                      <a:ext cx="5646420" cy="2668495"/>
                    </a:xfrm>
                    <a:prstGeom prst="rect">
                      <a:avLst/>
                    </a:prstGeom>
                    <a:noFill/>
                    <a:ln w="9525">
                      <a:noFill/>
                      <a:headEnd/>
                      <a:tailEnd/>
                    </a:ln>
                  </pic:spPr>
                </pic:pic>
              </a:graphicData>
            </a:graphic>
          </wp:inline>
        </w:drawing>
      </w:r>
    </w:p>
    <w:p>
      <w:pPr>
        <w:pStyle w:val="ImageCaption"/>
      </w:pPr>
      <w:r>
        <w:t xml:space="preserve">Figure 9. Actual price changes in 2026 against the fuel-driven changes predicted by a model estimated on 2001–2025 data.</w:t>
      </w:r>
    </w:p>
    <w:bookmarkEnd w:id="97"/>
    <w:bookmarkStart w:id="98" w:name="regional-burden-and-peso-cost"/>
    <w:p>
      <w:pPr>
        <w:pStyle w:val="Heading3"/>
      </w:pPr>
      <w:r>
        <w:t xml:space="preserve">5.3.2 Regional burden and peso cost</w:t>
      </w:r>
    </w:p>
    <w:p>
      <w:pPr>
        <w:pStyle w:val="FirstParagraph"/>
      </w:pPr>
      <w:r>
        <w:t xml:space="preserve">For a family of five at the poverty line, the fuel-driven increase in the cost of its basket by August 2026 was about PHP 467 a month nationally, from PHP 390 in XII SOCCSKSARGEN to PHP 633 in the National Capital Region (Table 13). The total price-driven increase was about PHP 907 a month. Fuel-driven increases were similar across regions because pump prices moved together, but actual bottom-30% inflation was much higher in XI Davao, BARMM, VI Western Visayas, XIII Caraga and IX Zamboanga Peninsula than in the National Capital Region, and fuel explains about 72% of the rise in NCR, CAR and Regions I to IV-A but only 44% in Mindanao.</w:t>
      </w:r>
    </w:p>
    <w:p>
      <w:pPr>
        <w:pStyle w:val="BodyText"/>
      </w:pPr>
      <w:r>
        <w:rPr>
          <w:b/>
          <w:bCs/>
        </w:rPr>
        <w:t xml:space="preserve">Table 13. The 2026 shock by region, December 2025 to August 2026</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Fuel price rise, Dec 2025–Aug 2026 (%)</w:t>
            </w:r>
          </w:p>
        </w:tc>
        <w:tc>
          <w:tcPr/>
          <w:p>
            <w:pPr>
              <w:pStyle w:val="Compact"/>
            </w:pPr>
            <w:r>
              <w:t xml:space="preserve">Fuel-driven rise, bottom-30% CPI</w:t>
            </w:r>
          </w:p>
        </w:tc>
        <w:tc>
          <w:tcPr/>
          <w:p>
            <w:pPr>
              <w:pStyle w:val="Compact"/>
            </w:pPr>
            <w:r>
              <w:t xml:space="preserve">Actual rise, bottom-30% CPI</w:t>
            </w:r>
          </w:p>
        </w:tc>
        <w:tc>
          <w:tcPr/>
          <w:p>
            <w:pPr>
              <w:pStyle w:val="Compact"/>
            </w:pPr>
            <w:r>
              <w:t xml:space="preserve">Fuel-driven extra cost, poverty-line family of five (PHP/month)</w:t>
            </w:r>
          </w:p>
        </w:tc>
      </w:tr>
      <w:tr>
        <w:tc>
          <w:tcPr/>
          <w:p>
            <w:pPr>
              <w:pStyle w:val="Compact"/>
            </w:pPr>
            <w:r>
              <w:t xml:space="preserve">National Capital Region</w:t>
            </w:r>
          </w:p>
        </w:tc>
        <w:tc>
          <w:tcPr/>
          <w:p>
            <w:pPr>
              <w:pStyle w:val="Compact"/>
            </w:pPr>
            <w:r>
              <w:t xml:space="preserve">2.2</w:t>
            </w:r>
          </w:p>
        </w:tc>
        <w:tc>
          <w:tcPr/>
          <w:p>
            <w:pPr>
              <w:pStyle w:val="Compact"/>
            </w:pPr>
            <w:r>
              <w:t xml:space="preserve">34.5</w:t>
            </w:r>
          </w:p>
        </w:tc>
        <w:tc>
          <w:tcPr/>
          <w:p>
            <w:pPr>
              <w:pStyle w:val="Compact"/>
            </w:pPr>
            <w:r>
              <w:t xml:space="preserve">3.68 [2.66, 4.70]</w:t>
            </w:r>
          </w:p>
        </w:tc>
        <w:tc>
          <w:tcPr/>
          <w:p>
            <w:pPr>
              <w:pStyle w:val="Compact"/>
            </w:pPr>
            <w:r>
              <w:t xml:space="preserve">3.47</w:t>
            </w:r>
          </w:p>
        </w:tc>
        <w:tc>
          <w:tcPr/>
          <w:p>
            <w:pPr>
              <w:pStyle w:val="Compact"/>
            </w:pPr>
            <w:r>
              <w:t xml:space="preserve">633</w:t>
            </w:r>
          </w:p>
        </w:tc>
      </w:tr>
      <w:tr>
        <w:tc>
          <w:tcPr/>
          <w:p>
            <w:pPr>
              <w:pStyle w:val="Compact"/>
            </w:pPr>
            <w:r>
              <w:t xml:space="preserve">Cordillera (CAR)</w:t>
            </w:r>
          </w:p>
        </w:tc>
        <w:tc>
          <w:tcPr/>
          <w:p>
            <w:pPr>
              <w:pStyle w:val="Compact"/>
            </w:pPr>
            <w:r>
              <w:t xml:space="preserve">12.0</w:t>
            </w:r>
          </w:p>
        </w:tc>
        <w:tc>
          <w:tcPr/>
          <w:p>
            <w:pPr>
              <w:pStyle w:val="Compact"/>
            </w:pPr>
            <w:r>
              <w:t xml:space="preserve">30.7</w:t>
            </w:r>
          </w:p>
        </w:tc>
        <w:tc>
          <w:tcPr/>
          <w:p>
            <w:pPr>
              <w:pStyle w:val="Compact"/>
            </w:pPr>
            <w:r>
              <w:t xml:space="preserve">3.30 [2.41, 4.18]</w:t>
            </w:r>
          </w:p>
        </w:tc>
        <w:tc>
          <w:tcPr/>
          <w:p>
            <w:pPr>
              <w:pStyle w:val="Compact"/>
            </w:pPr>
            <w:r>
              <w:t xml:space="preserve">6.36</w:t>
            </w:r>
          </w:p>
        </w:tc>
        <w:tc>
          <w:tcPr/>
          <w:p>
            <w:pPr>
              <w:pStyle w:val="Compact"/>
            </w:pPr>
            <w:r>
              <w:t xml:space="preserve">470</w:t>
            </w:r>
          </w:p>
        </w:tc>
      </w:tr>
      <w:tr>
        <w:tc>
          <w:tcPr/>
          <w:p>
            <w:pPr>
              <w:pStyle w:val="Compact"/>
            </w:pPr>
            <w:r>
              <w:t xml:space="preserve">I Ilocos</w:t>
            </w:r>
          </w:p>
        </w:tc>
        <w:tc>
          <w:tcPr/>
          <w:p>
            <w:pPr>
              <w:pStyle w:val="Compact"/>
            </w:pPr>
            <w:r>
              <w:t xml:space="preserve">9.9</w:t>
            </w:r>
          </w:p>
        </w:tc>
        <w:tc>
          <w:tcPr/>
          <w:p>
            <w:pPr>
              <w:pStyle w:val="Compact"/>
            </w:pPr>
            <w:r>
              <w:t xml:space="preserve">36.3</w:t>
            </w:r>
          </w:p>
        </w:tc>
        <w:tc>
          <w:tcPr/>
          <w:p>
            <w:pPr>
              <w:pStyle w:val="Compact"/>
            </w:pPr>
            <w:r>
              <w:t xml:space="preserve">3.68 [2.69, 4.68]</w:t>
            </w:r>
          </w:p>
        </w:tc>
        <w:tc>
          <w:tcPr/>
          <w:p>
            <w:pPr>
              <w:pStyle w:val="Compact"/>
            </w:pPr>
            <w:r>
              <w:t xml:space="preserve">3.82</w:t>
            </w:r>
          </w:p>
        </w:tc>
        <w:tc>
          <w:tcPr/>
          <w:p>
            <w:pPr>
              <w:pStyle w:val="Compact"/>
            </w:pPr>
            <w:r>
              <w:t xml:space="preserve">571</w:t>
            </w:r>
          </w:p>
        </w:tc>
      </w:tr>
      <w:tr>
        <w:tc>
          <w:tcPr/>
          <w:p>
            <w:pPr>
              <w:pStyle w:val="Compact"/>
            </w:pPr>
            <w:r>
              <w:t xml:space="preserve">II Cagayan Valley</w:t>
            </w:r>
          </w:p>
        </w:tc>
        <w:tc>
          <w:tcPr/>
          <w:p>
            <w:pPr>
              <w:pStyle w:val="Compact"/>
            </w:pPr>
            <w:r>
              <w:t xml:space="preserve">16.3</w:t>
            </w:r>
          </w:p>
        </w:tc>
        <w:tc>
          <w:tcPr/>
          <w:p>
            <w:pPr>
              <w:pStyle w:val="Compact"/>
            </w:pPr>
            <w:r>
              <w:t xml:space="preserve">34.1</w:t>
            </w:r>
          </w:p>
        </w:tc>
        <w:tc>
          <w:tcPr/>
          <w:p>
            <w:pPr>
              <w:pStyle w:val="Compact"/>
            </w:pPr>
            <w:r>
              <w:t xml:space="preserve">3.47 [2.53, 4.42]</w:t>
            </w:r>
          </w:p>
        </w:tc>
        <w:tc>
          <w:tcPr/>
          <w:p>
            <w:pPr>
              <w:pStyle w:val="Compact"/>
            </w:pPr>
            <w:r>
              <w:t xml:space="preserve">4.64</w:t>
            </w:r>
          </w:p>
        </w:tc>
        <w:tc>
          <w:tcPr/>
          <w:p>
            <w:pPr>
              <w:pStyle w:val="Compact"/>
            </w:pPr>
            <w:r>
              <w:t xml:space="preserve">503</w:t>
            </w:r>
          </w:p>
        </w:tc>
      </w:tr>
      <w:tr>
        <w:tc>
          <w:tcPr/>
          <w:p>
            <w:pPr>
              <w:pStyle w:val="Compact"/>
            </w:pPr>
            <w:r>
              <w:t xml:space="preserve">III Central Luzon</w:t>
            </w:r>
          </w:p>
        </w:tc>
        <w:tc>
          <w:tcPr/>
          <w:p>
            <w:pPr>
              <w:pStyle w:val="Compact"/>
            </w:pPr>
            <w:r>
              <w:t xml:space="preserve">7.0</w:t>
            </w:r>
          </w:p>
        </w:tc>
        <w:tc>
          <w:tcPr/>
          <w:p>
            <w:pPr>
              <w:pStyle w:val="Compact"/>
            </w:pPr>
            <w:r>
              <w:t xml:space="preserve">33.9</w:t>
            </w:r>
          </w:p>
        </w:tc>
        <w:tc>
          <w:tcPr/>
          <w:p>
            <w:pPr>
              <w:pStyle w:val="Compact"/>
            </w:pPr>
            <w:r>
              <w:t xml:space="preserve">3.50 [2.56, 4.45]</w:t>
            </w:r>
          </w:p>
        </w:tc>
        <w:tc>
          <w:tcPr/>
          <w:p>
            <w:pPr>
              <w:pStyle w:val="Compact"/>
            </w:pPr>
            <w:r>
              <w:t xml:space="preserve">6.00</w:t>
            </w:r>
          </w:p>
        </w:tc>
        <w:tc>
          <w:tcPr/>
          <w:p>
            <w:pPr>
              <w:pStyle w:val="Compact"/>
            </w:pPr>
            <w:r>
              <w:t xml:space="preserve">605</w:t>
            </w:r>
          </w:p>
        </w:tc>
      </w:tr>
      <w:tr>
        <w:tc>
          <w:tcPr/>
          <w:p>
            <w:pPr>
              <w:pStyle w:val="Compact"/>
            </w:pPr>
            <w:r>
              <w:t xml:space="preserve">IV-A CALABARZON</w:t>
            </w:r>
          </w:p>
        </w:tc>
        <w:tc>
          <w:tcPr/>
          <w:p>
            <w:pPr>
              <w:pStyle w:val="Compact"/>
            </w:pPr>
            <w:r>
              <w:t xml:space="preserve">7.1</w:t>
            </w:r>
          </w:p>
        </w:tc>
        <w:tc>
          <w:tcPr/>
          <w:p>
            <w:pPr>
              <w:pStyle w:val="Compact"/>
            </w:pPr>
            <w:r>
              <w:t xml:space="preserve">34.6</w:t>
            </w:r>
          </w:p>
        </w:tc>
        <w:tc>
          <w:tcPr/>
          <w:p>
            <w:pPr>
              <w:pStyle w:val="Compact"/>
            </w:pPr>
            <w:r>
              <w:t xml:space="preserve">3.52 [2.57, 4.48]</w:t>
            </w:r>
          </w:p>
        </w:tc>
        <w:tc>
          <w:tcPr/>
          <w:p>
            <w:pPr>
              <w:pStyle w:val="Compact"/>
            </w:pPr>
            <w:r>
              <w:t xml:space="preserve">4.96</w:t>
            </w:r>
          </w:p>
        </w:tc>
        <w:tc>
          <w:tcPr/>
          <w:p>
            <w:pPr>
              <w:pStyle w:val="Compact"/>
            </w:pPr>
            <w:r>
              <w:t xml:space="preserve">596</w:t>
            </w:r>
          </w:p>
        </w:tc>
      </w:tr>
      <w:tr>
        <w:tc>
          <w:tcPr/>
          <w:p>
            <w:pPr>
              <w:pStyle w:val="Compact"/>
            </w:pPr>
            <w:r>
              <w:t xml:space="preserve">MIMAROPA</w:t>
            </w:r>
          </w:p>
        </w:tc>
        <w:tc>
          <w:tcPr/>
          <w:p>
            <w:pPr>
              <w:pStyle w:val="Compact"/>
            </w:pPr>
            <w:r>
              <w:t xml:space="preserve">15.1</w:t>
            </w:r>
          </w:p>
        </w:tc>
        <w:tc>
          <w:tcPr/>
          <w:p>
            <w:pPr>
              <w:pStyle w:val="Compact"/>
            </w:pPr>
            <w:r>
              <w:t xml:space="preserve">30.9</w:t>
            </w:r>
          </w:p>
        </w:tc>
        <w:tc>
          <w:tcPr/>
          <w:p>
            <w:pPr>
              <w:pStyle w:val="Compact"/>
            </w:pPr>
            <w:r>
              <w:t xml:space="preserve">3.13 [2.26, 4.00]</w:t>
            </w:r>
          </w:p>
        </w:tc>
        <w:tc>
          <w:tcPr/>
          <w:p>
            <w:pPr>
              <w:pStyle w:val="Compact"/>
            </w:pPr>
            <w:r>
              <w:t xml:space="preserve">6.44</w:t>
            </w:r>
          </w:p>
        </w:tc>
        <w:tc>
          <w:tcPr/>
          <w:p>
            <w:pPr>
              <w:pStyle w:val="Compact"/>
            </w:pPr>
            <w:r>
              <w:t xml:space="preserve">425</w:t>
            </w:r>
          </w:p>
        </w:tc>
      </w:tr>
      <w:tr>
        <w:tc>
          <w:tcPr/>
          <w:p>
            <w:pPr>
              <w:pStyle w:val="Compact"/>
            </w:pPr>
            <w:r>
              <w:t xml:space="preserve">V Bicol</w:t>
            </w:r>
          </w:p>
        </w:tc>
        <w:tc>
          <w:tcPr/>
          <w:p>
            <w:pPr>
              <w:pStyle w:val="Compact"/>
            </w:pPr>
            <w:r>
              <w:t xml:space="preserve">27.0</w:t>
            </w:r>
          </w:p>
        </w:tc>
        <w:tc>
          <w:tcPr/>
          <w:p>
            <w:pPr>
              <w:pStyle w:val="Compact"/>
            </w:pPr>
            <w:r>
              <w:t xml:space="preserve">33.9</w:t>
            </w:r>
          </w:p>
        </w:tc>
        <w:tc>
          <w:tcPr/>
          <w:p>
            <w:pPr>
              <w:pStyle w:val="Compact"/>
            </w:pPr>
            <w:r>
              <w:t xml:space="preserve">3.30 [2.37, 4.22]</w:t>
            </w:r>
          </w:p>
        </w:tc>
        <w:tc>
          <w:tcPr/>
          <w:p>
            <w:pPr>
              <w:pStyle w:val="Compact"/>
            </w:pPr>
            <w:r>
              <w:t xml:space="preserve">6.21</w:t>
            </w:r>
          </w:p>
        </w:tc>
        <w:tc>
          <w:tcPr/>
          <w:p>
            <w:pPr>
              <w:pStyle w:val="Compact"/>
            </w:pPr>
            <w:r>
              <w:t xml:space="preserve">503</w:t>
            </w:r>
          </w:p>
        </w:tc>
      </w:tr>
      <w:tr>
        <w:tc>
          <w:tcPr/>
          <w:p>
            <w:pPr>
              <w:pStyle w:val="Compact"/>
            </w:pPr>
            <w:r>
              <w:t xml:space="preserve">VI Western Visayas†</w:t>
            </w:r>
          </w:p>
        </w:tc>
        <w:tc>
          <w:tcPr/>
          <w:p>
            <w:pPr>
              <w:pStyle w:val="Compact"/>
            </w:pPr>
            <w:r>
              <w:t xml:space="preserve">14.2</w:t>
            </w:r>
          </w:p>
        </w:tc>
        <w:tc>
          <w:tcPr/>
          <w:p>
            <w:pPr>
              <w:pStyle w:val="Compact"/>
            </w:pPr>
            <w:r>
              <w:t xml:space="preserve">31.6</w:t>
            </w:r>
          </w:p>
        </w:tc>
        <w:tc>
          <w:tcPr/>
          <w:p>
            <w:pPr>
              <w:pStyle w:val="Compact"/>
            </w:pPr>
            <w:r>
              <w:t xml:space="preserve">3.20 [2.31, 4.08]</w:t>
            </w:r>
          </w:p>
        </w:tc>
        <w:tc>
          <w:tcPr/>
          <w:p>
            <w:pPr>
              <w:pStyle w:val="Compact"/>
            </w:pPr>
            <w:r>
              <w:t xml:space="preserve">7.48</w:t>
            </w:r>
          </w:p>
        </w:tc>
        <w:tc>
          <w:tcPr/>
          <w:p>
            <w:pPr>
              <w:pStyle w:val="Compact"/>
            </w:pPr>
            <w:r>
              <w:t xml:space="preserve">478</w:t>
            </w:r>
          </w:p>
        </w:tc>
      </w:tr>
      <w:tr>
        <w:tc>
          <w:tcPr/>
          <w:p>
            <w:pPr>
              <w:pStyle w:val="Compact"/>
            </w:pPr>
            <w:r>
              <w:t xml:space="preserve">VII Central Visayas†</w:t>
            </w:r>
          </w:p>
        </w:tc>
        <w:tc>
          <w:tcPr/>
          <w:p>
            <w:pPr>
              <w:pStyle w:val="Compact"/>
            </w:pPr>
            <w:r>
              <w:t xml:space="preserve">16.1</w:t>
            </w:r>
          </w:p>
        </w:tc>
        <w:tc>
          <w:tcPr/>
          <w:p>
            <w:pPr>
              <w:pStyle w:val="Compact"/>
            </w:pPr>
            <w:r>
              <w:t xml:space="preserve">25.9</w:t>
            </w:r>
          </w:p>
        </w:tc>
        <w:tc>
          <w:tcPr/>
          <w:p>
            <w:pPr>
              <w:pStyle w:val="Compact"/>
            </w:pPr>
            <w:r>
              <w:t xml:space="preserve">2.65 [1.94, 3.36]</w:t>
            </w:r>
          </w:p>
        </w:tc>
        <w:tc>
          <w:tcPr/>
          <w:p>
            <w:pPr>
              <w:pStyle w:val="Compact"/>
            </w:pPr>
            <w:r>
              <w:t xml:space="preserve">5.90</w:t>
            </w:r>
          </w:p>
        </w:tc>
        <w:tc>
          <w:tcPr/>
          <w:p>
            <w:pPr>
              <w:pStyle w:val="Compact"/>
            </w:pPr>
            <w:r>
              <w:t xml:space="preserve">419</w:t>
            </w:r>
          </w:p>
        </w:tc>
      </w:tr>
      <w:tr>
        <w:tc>
          <w:tcPr/>
          <w:p>
            <w:pPr>
              <w:pStyle w:val="Compact"/>
            </w:pPr>
            <w:r>
              <w:t xml:space="preserve">VIII Eastern Visayas</w:t>
            </w:r>
          </w:p>
        </w:tc>
        <w:tc>
          <w:tcPr/>
          <w:p>
            <w:pPr>
              <w:pStyle w:val="Compact"/>
            </w:pPr>
            <w:r>
              <w:t xml:space="preserve">30.7</w:t>
            </w:r>
          </w:p>
        </w:tc>
        <w:tc>
          <w:tcPr/>
          <w:p>
            <w:pPr>
              <w:pStyle w:val="Compact"/>
            </w:pPr>
            <w:r>
              <w:t xml:space="preserve">27.4</w:t>
            </w:r>
          </w:p>
        </w:tc>
        <w:tc>
          <w:tcPr/>
          <w:p>
            <w:pPr>
              <w:pStyle w:val="Compact"/>
            </w:pPr>
            <w:r>
              <w:t xml:space="preserve">2.85 [2.07, 3.62]</w:t>
            </w:r>
          </w:p>
        </w:tc>
        <w:tc>
          <w:tcPr/>
          <w:p>
            <w:pPr>
              <w:pStyle w:val="Compact"/>
            </w:pPr>
            <w:r>
              <w:t xml:space="preserve">6.80</w:t>
            </w:r>
          </w:p>
        </w:tc>
        <w:tc>
          <w:tcPr/>
          <w:p>
            <w:pPr>
              <w:pStyle w:val="Compact"/>
            </w:pPr>
            <w:r>
              <w:t xml:space="preserve">410</w:t>
            </w:r>
          </w:p>
        </w:tc>
      </w:tr>
      <w:tr>
        <w:tc>
          <w:tcPr/>
          <w:p>
            <w:pPr>
              <w:pStyle w:val="Compact"/>
            </w:pPr>
            <w:r>
              <w:t xml:space="preserve">IX Zamboanga Peninsula</w:t>
            </w:r>
          </w:p>
        </w:tc>
        <w:tc>
          <w:tcPr/>
          <w:p>
            <w:pPr>
              <w:pStyle w:val="Compact"/>
            </w:pPr>
            <w:r>
              <w:t xml:space="preserve">32.7</w:t>
            </w:r>
          </w:p>
        </w:tc>
        <w:tc>
          <w:tcPr/>
          <w:p>
            <w:pPr>
              <w:pStyle w:val="Compact"/>
            </w:pPr>
            <w:r>
              <w:t xml:space="preserve">29.4</w:t>
            </w:r>
          </w:p>
        </w:tc>
        <w:tc>
          <w:tcPr/>
          <w:p>
            <w:pPr>
              <w:pStyle w:val="Compact"/>
            </w:pPr>
            <w:r>
              <w:t xml:space="preserve">3.07 [2.23, 3.91]</w:t>
            </w:r>
          </w:p>
        </w:tc>
        <w:tc>
          <w:tcPr/>
          <w:p>
            <w:pPr>
              <w:pStyle w:val="Compact"/>
            </w:pPr>
            <w:r>
              <w:t xml:space="preserve">7.07</w:t>
            </w:r>
          </w:p>
        </w:tc>
        <w:tc>
          <w:tcPr/>
          <w:p>
            <w:pPr>
              <w:pStyle w:val="Compact"/>
            </w:pPr>
            <w:r>
              <w:t xml:space="preserve">457</w:t>
            </w:r>
          </w:p>
        </w:tc>
      </w:tr>
      <w:tr>
        <w:tc>
          <w:tcPr/>
          <w:p>
            <w:pPr>
              <w:pStyle w:val="Compact"/>
            </w:pPr>
            <w:r>
              <w:t xml:space="preserve">X Northern Mindanao</w:t>
            </w:r>
          </w:p>
        </w:tc>
        <w:tc>
          <w:tcPr/>
          <w:p>
            <w:pPr>
              <w:pStyle w:val="Compact"/>
            </w:pPr>
            <w:r>
              <w:t xml:space="preserve">23.1</w:t>
            </w:r>
          </w:p>
        </w:tc>
        <w:tc>
          <w:tcPr/>
          <w:p>
            <w:pPr>
              <w:pStyle w:val="Compact"/>
            </w:pPr>
            <w:r>
              <w:t xml:space="preserve">31.7</w:t>
            </w:r>
          </w:p>
        </w:tc>
        <w:tc>
          <w:tcPr/>
          <w:p>
            <w:pPr>
              <w:pStyle w:val="Compact"/>
            </w:pPr>
            <w:r>
              <w:t xml:space="preserve">3.17 [2.28, 4.06]</w:t>
            </w:r>
          </w:p>
        </w:tc>
        <w:tc>
          <w:tcPr/>
          <w:p>
            <w:pPr>
              <w:pStyle w:val="Compact"/>
            </w:pPr>
            <w:r>
              <w:t xml:space="preserve">5.30</w:t>
            </w:r>
          </w:p>
        </w:tc>
        <w:tc>
          <w:tcPr/>
          <w:p>
            <w:pPr>
              <w:pStyle w:val="Compact"/>
            </w:pPr>
            <w:r>
              <w:t xml:space="preserve">474</w:t>
            </w:r>
          </w:p>
        </w:tc>
      </w:tr>
      <w:tr>
        <w:tc>
          <w:tcPr/>
          <w:p>
            <w:pPr>
              <w:pStyle w:val="Compact"/>
            </w:pPr>
            <w:r>
              <w:t xml:space="preserve">XI Davao</w:t>
            </w:r>
          </w:p>
        </w:tc>
        <w:tc>
          <w:tcPr/>
          <w:p>
            <w:pPr>
              <w:pStyle w:val="Compact"/>
            </w:pPr>
            <w:r>
              <w:t xml:space="preserve">19.1</w:t>
            </w:r>
          </w:p>
        </w:tc>
        <w:tc>
          <w:tcPr/>
          <w:p>
            <w:pPr>
              <w:pStyle w:val="Compact"/>
            </w:pPr>
            <w:r>
              <w:t xml:space="preserve">29.3</w:t>
            </w:r>
          </w:p>
        </w:tc>
        <w:tc>
          <w:tcPr/>
          <w:p>
            <w:pPr>
              <w:pStyle w:val="Compact"/>
            </w:pPr>
            <w:r>
              <w:t xml:space="preserve">2.97 [2.14, 3.79]</w:t>
            </w:r>
          </w:p>
        </w:tc>
        <w:tc>
          <w:tcPr/>
          <w:p>
            <w:pPr>
              <w:pStyle w:val="Compact"/>
            </w:pPr>
            <w:r>
              <w:t xml:space="preserve">8.52</w:t>
            </w:r>
          </w:p>
        </w:tc>
        <w:tc>
          <w:tcPr/>
          <w:p>
            <w:pPr>
              <w:pStyle w:val="Compact"/>
            </w:pPr>
            <w:r>
              <w:t xml:space="preserve">417</w:t>
            </w:r>
          </w:p>
        </w:tc>
      </w:tr>
      <w:tr>
        <w:tc>
          <w:tcPr/>
          <w:p>
            <w:pPr>
              <w:pStyle w:val="Compact"/>
            </w:pPr>
            <w:r>
              <w:t xml:space="preserve">XII SOCCSKSARGEN†</w:t>
            </w:r>
          </w:p>
        </w:tc>
        <w:tc>
          <w:tcPr/>
          <w:p>
            <w:pPr>
              <w:pStyle w:val="Compact"/>
            </w:pPr>
            <w:r>
              <w:t xml:space="preserve">27.3</w:t>
            </w:r>
          </w:p>
        </w:tc>
        <w:tc>
          <w:tcPr/>
          <w:p>
            <w:pPr>
              <w:pStyle w:val="Compact"/>
            </w:pPr>
            <w:r>
              <w:t xml:space="preserve">29.6</w:t>
            </w:r>
          </w:p>
        </w:tc>
        <w:tc>
          <w:tcPr/>
          <w:p>
            <w:pPr>
              <w:pStyle w:val="Compact"/>
            </w:pPr>
            <w:r>
              <w:t xml:space="preserve">3.00 [2.16, 3.84]</w:t>
            </w:r>
          </w:p>
        </w:tc>
        <w:tc>
          <w:tcPr/>
          <w:p>
            <w:pPr>
              <w:pStyle w:val="Compact"/>
            </w:pPr>
            <w:r>
              <w:t xml:space="preserve">6.10</w:t>
            </w:r>
          </w:p>
        </w:tc>
        <w:tc>
          <w:tcPr/>
          <w:p>
            <w:pPr>
              <w:pStyle w:val="Compact"/>
            </w:pPr>
            <w:r>
              <w:t xml:space="preserve">390</w:t>
            </w:r>
          </w:p>
        </w:tc>
      </w:tr>
      <w:tr>
        <w:tc>
          <w:tcPr/>
          <w:p>
            <w:pPr>
              <w:pStyle w:val="Compact"/>
            </w:pPr>
            <w:r>
              <w:t xml:space="preserve">XIII Caraga</w:t>
            </w:r>
          </w:p>
        </w:tc>
        <w:tc>
          <w:tcPr/>
          <w:p>
            <w:pPr>
              <w:pStyle w:val="Compact"/>
            </w:pPr>
            <w:r>
              <w:t xml:space="preserve">30.5</w:t>
            </w:r>
          </w:p>
        </w:tc>
        <w:tc>
          <w:tcPr/>
          <w:p>
            <w:pPr>
              <w:pStyle w:val="Compact"/>
            </w:pPr>
            <w:r>
              <w:t xml:space="preserve">31.1</w:t>
            </w:r>
          </w:p>
        </w:tc>
        <w:tc>
          <w:tcPr/>
          <w:p>
            <w:pPr>
              <w:pStyle w:val="Compact"/>
            </w:pPr>
            <w:r>
              <w:t xml:space="preserve">3.11 [2.25, 3.96]</w:t>
            </w:r>
          </w:p>
        </w:tc>
        <w:tc>
          <w:tcPr/>
          <w:p>
            <w:pPr>
              <w:pStyle w:val="Compact"/>
            </w:pPr>
            <w:r>
              <w:t xml:space="preserve">7.10</w:t>
            </w:r>
          </w:p>
        </w:tc>
        <w:tc>
          <w:tcPr/>
          <w:p>
            <w:pPr>
              <w:pStyle w:val="Compact"/>
            </w:pPr>
            <w:r>
              <w:t xml:space="preserve">409</w:t>
            </w:r>
          </w:p>
        </w:tc>
      </w:tr>
      <w:tr>
        <w:tc>
          <w:tcPr/>
          <w:p>
            <w:pPr>
              <w:pStyle w:val="Compact"/>
            </w:pPr>
            <w:r>
              <w:t xml:space="preserve">BARMM†</w:t>
            </w:r>
          </w:p>
        </w:tc>
        <w:tc>
          <w:tcPr/>
          <w:p>
            <w:pPr>
              <w:pStyle w:val="Compact"/>
            </w:pPr>
            <w:r>
              <w:t xml:space="preserve">60.4</w:t>
            </w:r>
          </w:p>
        </w:tc>
        <w:tc>
          <w:tcPr/>
          <w:p>
            <w:pPr>
              <w:pStyle w:val="Compact"/>
            </w:pPr>
            <w:r>
              <w:t xml:space="preserve">33.5</w:t>
            </w:r>
          </w:p>
        </w:tc>
        <w:tc>
          <w:tcPr/>
          <w:p>
            <w:pPr>
              <w:pStyle w:val="Compact"/>
            </w:pPr>
            <w:r>
              <w:t xml:space="preserve">3.30 [2.38, 4.21]</w:t>
            </w:r>
          </w:p>
        </w:tc>
        <w:tc>
          <w:tcPr/>
          <w:p>
            <w:pPr>
              <w:pStyle w:val="Compact"/>
            </w:pPr>
            <w:r>
              <w:t xml:space="preserve">7.88</w:t>
            </w:r>
          </w:p>
        </w:tc>
        <w:tc>
          <w:tcPr/>
          <w:p>
            <w:pPr>
              <w:pStyle w:val="Compact"/>
            </w:pPr>
            <w:r>
              <w:t xml:space="preserve">444</w:t>
            </w:r>
          </w:p>
        </w:tc>
      </w:tr>
      <w:tr>
        <w:tc>
          <w:tcPr/>
          <w:p>
            <w:pPr>
              <w:pStyle w:val="Compact"/>
            </w:pPr>
            <w:r>
              <w:t xml:space="preserve">Philippines</w:t>
            </w:r>
          </w:p>
        </w:tc>
        <w:tc>
          <w:tcPr/>
          <w:p>
            <w:pPr>
              <w:pStyle w:val="Compact"/>
            </w:pPr>
            <w:r>
              <w:t xml:space="preserve">16.7</w:t>
            </w:r>
          </w:p>
        </w:tc>
        <w:tc>
          <w:tcPr/>
          <w:p>
            <w:pPr>
              <w:pStyle w:val="Compact"/>
            </w:pPr>
            <w:r>
              <w:t xml:space="preserve">32.5</w:t>
            </w:r>
          </w:p>
        </w:tc>
        <w:tc>
          <w:tcPr/>
          <w:p>
            <w:pPr>
              <w:pStyle w:val="Compact"/>
            </w:pPr>
            <w:r>
              <w:t xml:space="preserve">3.13 [2.16, 4.10]</w:t>
            </w:r>
          </w:p>
        </w:tc>
        <w:tc>
          <w:tcPr/>
          <w:p>
            <w:pPr>
              <w:pStyle w:val="Compact"/>
            </w:pPr>
            <w:r>
              <w:t xml:space="preserve">5.98</w:t>
            </w:r>
          </w:p>
        </w:tc>
        <w:tc>
          <w:tcPr/>
          <w:p>
            <w:pPr>
              <w:pStyle w:val="Compact"/>
            </w:pPr>
            <w:r>
              <w:t xml:space="preserve">467</w:t>
            </w:r>
          </w:p>
        </w:tc>
      </w:tr>
    </w:tbl>
    <w:p>
      <w:pPr>
        <w:pStyle w:val="BodyText"/>
      </w:pPr>
      <w:r>
        <w:rPr>
          <w:i/>
          <w:iCs/>
        </w:rPr>
        <w:t xml:space="preserve">Notes:</w:t>
      </w:r>
      <w:r>
        <w:t xml:space="preserve"> </w:t>
      </w:r>
      <w:r>
        <w:t xml:space="preserve">100 × log points. Fuel-driven rise: pooled responses estimated to December 2025 applied to each region’s fuel path; indicative range in brackets. †: boundaries changed in 2024.</w:t>
      </w:r>
    </w:p>
    <w:bookmarkEnd w:id="98"/>
    <w:bookmarkStart w:id="102" w:name="X52238165e576db4e7e80ac03d06e3f107d370dd"/>
    <w:p>
      <w:pPr>
        <w:pStyle w:val="Heading3"/>
      </w:pPr>
      <w:r>
        <w:t xml:space="preserve">5.3.3 Which goods drove the poor’s excess inflation?</w:t>
      </w:r>
    </w:p>
    <w:p>
      <w:pPr>
        <w:pStyle w:val="FirstParagraph"/>
      </w:pPr>
      <w:r>
        <w:t xml:space="preserve">Between December 2025 and August 2026, the bottom-30% CPI rose 6.16% and the all-income CPI 4.92%, a gap of +1.24 pp (Figure 10). Rice and other cereals contributed +1.67 pp: cereal prices rose 18.3% in the poor’s basket and 15.7% in the average, and cereals weigh 19.6% against 9.4%. Passenger fares added +0.15 pp (the poor’s fares rose 9.1%, against 4.7%), and household fuels +0.13 pp. Private vehicle fuel (−0.38 pp) and rents (−0.23 pp) worked the other way. Historically, cereal prices barely respond to pump prices (0.012–0.019 after a year), so the 2026 rice increase probably reflects the conflict’s effect on fertilizer and freight costs and changes in rice import policy</w:t>
      </w:r>
      <w:r>
        <w:t xml:space="preserve"> </w:t>
      </w:r>
      <w:r>
        <w:t xml:space="preserve">(</w:t>
      </w:r>
      <w:hyperlink w:anchor="ref-usda_fas_2026">
        <w:r>
          <w:rPr>
            <w:rStyle w:val="Hyperlink"/>
          </w:rPr>
          <w:t xml:space="preserve">USDA Foreign Agricultural Service 2026</w:t>
        </w:r>
      </w:hyperlink>
      <w:r>
        <w:t xml:space="preserve">)</w:t>
      </w:r>
      <w:r>
        <w:t xml:space="preserve"> </w:t>
      </w:r>
      <w:r>
        <w:t xml:space="preserve">more than the direct pass-through of fuel; the data cannot separate these causes.</w:t>
      </w:r>
    </w:p>
    <w:p>
      <w:pPr>
        <w:pStyle w:val="CaptionedFigure"/>
      </w:pPr>
      <w:r>
        <w:drawing>
          <wp:inline>
            <wp:extent cx="5052060" cy="2360311"/>
            <wp:effectExtent b="0" l="0" r="0" t="0"/>
            <wp:docPr descr="Figure 10. Item contributions to the difference between bottom-30% and all-income price changes, December 2025–August 2026." title="" id="100" name="Picture"/>
            <a:graphic>
              <a:graphicData uri="http://schemas.openxmlformats.org/drawingml/2006/picture">
                <pic:pic>
                  <pic:nvPicPr>
                    <pic:cNvPr descr="../output/figures/fig7_2026_gap_decomposition.png" id="101" name="Picture"/>
                    <pic:cNvPicPr>
                      <a:picLocks noChangeArrowheads="1" noChangeAspect="1"/>
                    </pic:cNvPicPr>
                  </pic:nvPicPr>
                  <pic:blipFill>
                    <a:blip r:embed="rId99"/>
                    <a:stretch>
                      <a:fillRect/>
                    </a:stretch>
                  </pic:blipFill>
                  <pic:spPr bwMode="auto">
                    <a:xfrm>
                      <a:off x="0" y="0"/>
                      <a:ext cx="5052060" cy="2360311"/>
                    </a:xfrm>
                    <a:prstGeom prst="rect">
                      <a:avLst/>
                    </a:prstGeom>
                    <a:noFill/>
                    <a:ln w="9525">
                      <a:noFill/>
                      <a:headEnd/>
                      <a:tailEnd/>
                    </a:ln>
                  </pic:spPr>
                </pic:pic>
              </a:graphicData>
            </a:graphic>
          </wp:inline>
        </w:drawing>
      </w:r>
    </w:p>
    <w:p>
      <w:pPr>
        <w:pStyle w:val="ImageCaption"/>
      </w:pPr>
      <w:r>
        <w:t xml:space="preserve">Figure 10. Item contributions to the difference between bottom-30% and all-income price changes, December 2025–August 2026.</w:t>
      </w:r>
    </w:p>
    <w:p>
      <w:pPr>
        <w:pStyle w:val="BodyText"/>
      </w:pPr>
      <w:r>
        <w:t xml:space="preserve">Table 14 shows the household fuels and fares behind these results. LPG prices respond equally in both baskets (0.730 and 0.722), and LPG has the same weight in both (1.27% and 1.33%). Kerosene responds strongly but weighs only 0.27% even for the poor. Solid fuels — charcoal and wood — weigh 4.02% for the poor against 0.87% for the average, but do not respond to oil prices. The poor’s fares have historically responded little (0.010 against 0.071).</w:t>
      </w:r>
    </w:p>
    <w:p>
      <w:pPr>
        <w:pStyle w:val="BodyText"/>
      </w:pPr>
      <w:r>
        <w:rPr>
          <w:b/>
          <w:bCs/>
        </w:rPr>
        <w:t xml:space="preserve">Table 14. Household fuels, fares and cereals: weights and responses, 2013–2026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Weight, all (%)</w:t>
            </w:r>
          </w:p>
        </w:tc>
        <w:tc>
          <w:tcPr/>
          <w:p>
            <w:pPr>
              <w:pStyle w:val="Compact"/>
            </w:pPr>
            <w:r>
              <w:t xml:space="preserve">Weight, b30 (%)</w:t>
            </w:r>
          </w:p>
        </w:tc>
        <w:tc>
          <w:tcPr/>
          <w:p>
            <w:pPr>
              <w:pStyle w:val="Compact"/>
            </w:pPr>
            <w:r>
              <w:t xml:space="preserve">Response, all-income index</w:t>
            </w:r>
          </w:p>
        </w:tc>
        <w:tc>
          <w:tcPr/>
          <w:p>
            <w:pPr>
              <w:pStyle w:val="Compact"/>
            </w:pPr>
            <w:r>
              <w:t xml:space="preserve">Response, bottom-30% index</w:t>
            </w:r>
          </w:p>
        </w:tc>
      </w:tr>
      <w:tr>
        <w:tc>
          <w:tcPr/>
          <w:p>
            <w:pPr>
              <w:pStyle w:val="Compact"/>
            </w:pPr>
            <w:r>
              <w:t xml:space="preserve">04.5 Electricity, gas and other fuels</w:t>
            </w:r>
          </w:p>
        </w:tc>
        <w:tc>
          <w:tcPr/>
          <w:p>
            <w:pPr>
              <w:pStyle w:val="Compact"/>
            </w:pPr>
            <w:r>
              <w:t xml:space="preserve">6.74</w:t>
            </w:r>
          </w:p>
        </w:tc>
        <w:tc>
          <w:tcPr/>
          <w:p>
            <w:pPr>
              <w:pStyle w:val="Compact"/>
            </w:pPr>
            <w:r>
              <w:t xml:space="preserve">10.11</w:t>
            </w:r>
          </w:p>
        </w:tc>
        <w:tc>
          <w:tcPr/>
          <w:p>
            <w:pPr>
              <w:pStyle w:val="Compact"/>
            </w:pPr>
            <w:r>
              <w:t xml:space="preserve">0.424*** (0.038)</w:t>
            </w:r>
          </w:p>
        </w:tc>
        <w:tc>
          <w:tcPr/>
          <w:p>
            <w:pPr>
              <w:pStyle w:val="Compact"/>
            </w:pPr>
            <w:r>
              <w:t xml:space="preserve">0.294*** (0.050)</w:t>
            </w:r>
          </w:p>
        </w:tc>
      </w:tr>
      <w:tr>
        <w:tc>
          <w:tcPr/>
          <w:p>
            <w:pPr>
              <w:pStyle w:val="Compact"/>
            </w:pPr>
            <w:r>
              <w:t xml:space="preserve">04.5.2 Gas (LPG)</w:t>
            </w:r>
          </w:p>
        </w:tc>
        <w:tc>
          <w:tcPr/>
          <w:p>
            <w:pPr>
              <w:pStyle w:val="Compact"/>
            </w:pPr>
            <w:r>
              <w:t xml:space="preserve">1.27</w:t>
            </w:r>
          </w:p>
        </w:tc>
        <w:tc>
          <w:tcPr/>
          <w:p>
            <w:pPr>
              <w:pStyle w:val="Compact"/>
            </w:pPr>
            <w:r>
              <w:t xml:space="preserve">1.33</w:t>
            </w:r>
          </w:p>
        </w:tc>
        <w:tc>
          <w:tcPr/>
          <w:p>
            <w:pPr>
              <w:pStyle w:val="Compact"/>
            </w:pPr>
            <w:r>
              <w:t xml:space="preserve">0.730*** (0.152)</w:t>
            </w:r>
          </w:p>
        </w:tc>
        <w:tc>
          <w:tcPr/>
          <w:p>
            <w:pPr>
              <w:pStyle w:val="Compact"/>
            </w:pPr>
            <w:r>
              <w:t xml:space="preserve">0.722*** (0.148)</w:t>
            </w:r>
          </w:p>
        </w:tc>
      </w:tr>
      <w:tr>
        <w:tc>
          <w:tcPr/>
          <w:p>
            <w:pPr>
              <w:pStyle w:val="Compact"/>
            </w:pPr>
            <w:r>
              <w:t xml:space="preserve">04.5.3 Liquid fuels (kerosene)</w:t>
            </w:r>
          </w:p>
        </w:tc>
        <w:tc>
          <w:tcPr/>
          <w:p>
            <w:pPr>
              <w:pStyle w:val="Compact"/>
            </w:pPr>
            <w:r>
              <w:t xml:space="preserve">0.04</w:t>
            </w:r>
          </w:p>
        </w:tc>
        <w:tc>
          <w:tcPr/>
          <w:p>
            <w:pPr>
              <w:pStyle w:val="Compact"/>
            </w:pPr>
            <w:r>
              <w:t xml:space="preserve">0.27</w:t>
            </w:r>
          </w:p>
        </w:tc>
        <w:tc>
          <w:tcPr/>
          <w:p>
            <w:pPr>
              <w:pStyle w:val="Compact"/>
            </w:pPr>
            <w:r>
              <w:t xml:space="preserve">1.152*** (0.114)</w:t>
            </w:r>
          </w:p>
        </w:tc>
        <w:tc>
          <w:tcPr/>
          <w:p>
            <w:pPr>
              <w:pStyle w:val="Compact"/>
            </w:pPr>
            <w:r>
              <w:t xml:space="preserve">1.111*** (0.107)</w:t>
            </w:r>
          </w:p>
        </w:tc>
      </w:tr>
      <w:tr>
        <w:tc>
          <w:tcPr/>
          <w:p>
            <w:pPr>
              <w:pStyle w:val="Compact"/>
            </w:pPr>
            <w:r>
              <w:t xml:space="preserve">04.5.4 Solid fuels (charcoal, wood)</w:t>
            </w:r>
          </w:p>
        </w:tc>
        <w:tc>
          <w:tcPr/>
          <w:p>
            <w:pPr>
              <w:pStyle w:val="Compact"/>
            </w:pPr>
            <w:r>
              <w:t xml:space="preserve">0.87</w:t>
            </w:r>
          </w:p>
        </w:tc>
        <w:tc>
          <w:tcPr/>
          <w:p>
            <w:pPr>
              <w:pStyle w:val="Compact"/>
            </w:pPr>
            <w:r>
              <w:t xml:space="preserve">4.02</w:t>
            </w:r>
          </w:p>
        </w:tc>
        <w:tc>
          <w:tcPr/>
          <w:p>
            <w:pPr>
              <w:pStyle w:val="Compact"/>
            </w:pPr>
            <w:r>
              <w:t xml:space="preserve">0.013 (0.026)</w:t>
            </w:r>
          </w:p>
        </w:tc>
        <w:tc>
          <w:tcPr/>
          <w:p>
            <w:pPr>
              <w:pStyle w:val="Compact"/>
            </w:pPr>
            <w:r>
              <w:t xml:space="preserve">0.038 (0.024)</w:t>
            </w:r>
          </w:p>
        </w:tc>
      </w:tr>
      <w:tr>
        <w:tc>
          <w:tcPr/>
          <w:p>
            <w:pPr>
              <w:pStyle w:val="Compact"/>
            </w:pPr>
            <w:r>
              <w:t xml:space="preserve">07.3 Passenger transport services (fares)</w:t>
            </w:r>
          </w:p>
        </w:tc>
        <w:tc>
          <w:tcPr/>
          <w:p>
            <w:pPr>
              <w:pStyle w:val="Compact"/>
            </w:pPr>
            <w:r>
              <w:t xml:space="preserve">4.54</w:t>
            </w:r>
          </w:p>
        </w:tc>
        <w:tc>
          <w:tcPr/>
          <w:p>
            <w:pPr>
              <w:pStyle w:val="Compact"/>
            </w:pPr>
            <w:r>
              <w:t xml:space="preserve">3.72</w:t>
            </w:r>
          </w:p>
        </w:tc>
        <w:tc>
          <w:tcPr/>
          <w:p>
            <w:pPr>
              <w:pStyle w:val="Compact"/>
            </w:pPr>
            <w:r>
              <w:t xml:space="preserve">0.071 (0.079)</w:t>
            </w:r>
          </w:p>
        </w:tc>
        <w:tc>
          <w:tcPr/>
          <w:p>
            <w:pPr>
              <w:pStyle w:val="Compact"/>
            </w:pPr>
            <w:r>
              <w:t xml:space="preserve">0.010 (0.101)</w:t>
            </w:r>
          </w:p>
        </w:tc>
      </w:tr>
      <w:tr>
        <w:tc>
          <w:tcPr/>
          <w:p>
            <w:pPr>
              <w:pStyle w:val="Compact"/>
            </w:pPr>
            <w:r>
              <w:t xml:space="preserve">01.1.1 Cereals and cereal products</w:t>
            </w:r>
          </w:p>
        </w:tc>
        <w:tc>
          <w:tcPr/>
          <w:p>
            <w:pPr>
              <w:pStyle w:val="Compact"/>
            </w:pPr>
            <w:r>
              <w:t xml:space="preserve">12.32</w:t>
            </w:r>
          </w:p>
        </w:tc>
        <w:tc>
          <w:tcPr/>
          <w:p>
            <w:pPr>
              <w:pStyle w:val="Compact"/>
            </w:pPr>
            <w:r>
              <w:t xml:space="preserve">23.64</w:t>
            </w:r>
          </w:p>
        </w:tc>
        <w:tc>
          <w:tcPr/>
          <w:p>
            <w:pPr>
              <w:pStyle w:val="Compact"/>
            </w:pPr>
            <w:r>
              <w:t xml:space="preserve">0.019 (0.084)</w:t>
            </w:r>
          </w:p>
        </w:tc>
        <w:tc>
          <w:tcPr/>
          <w:p>
            <w:pPr>
              <w:pStyle w:val="Compact"/>
            </w:pPr>
            <w:r>
              <w:t xml:space="preserve">0.012 (0.101)</w:t>
            </w:r>
          </w:p>
        </w:tc>
      </w:tr>
    </w:tbl>
    <w:bookmarkEnd w:id="102"/>
    <w:bookmarkStart w:id="103" w:name="X6659b2d43d8404df350c4154d5baa8ce0f585fe"/>
    <w:p>
      <w:pPr>
        <w:pStyle w:val="Heading3"/>
      </w:pPr>
      <w:r>
        <w:t xml:space="preserve">5.3.4 Assessment of the 2026 policy instruments</w:t>
      </w:r>
    </w:p>
    <w:p>
      <w:pPr>
        <w:pStyle w:val="FirstParagraph"/>
      </w:pPr>
      <w:r>
        <w:t xml:space="preserve">Table 15 brings the evidence together.</w:t>
      </w:r>
    </w:p>
    <w:p>
      <w:pPr>
        <w:pStyle w:val="BodyText"/>
      </w:pPr>
      <w:r>
        <w:rPr>
          <w:b/>
          <w:bCs/>
        </w:rPr>
        <w:t xml:space="preserve">Table 15. Assessment of policy instruments against the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Instrument (2026)</w:t>
            </w:r>
          </w:p>
        </w:tc>
        <w:tc>
          <w:tcPr/>
          <w:p>
            <w:pPr>
              <w:pStyle w:val="Compact"/>
            </w:pPr>
            <w:r>
              <w:t xml:space="preserve">Evidence from this study</w:t>
            </w:r>
          </w:p>
        </w:tc>
        <w:tc>
          <w:tcPr/>
          <w:p>
            <w:pPr>
              <w:pStyle w:val="Compact"/>
            </w:pPr>
            <w:r>
              <w:t xml:space="preserve">Assessment</w:t>
            </w:r>
          </w:p>
        </w:tc>
      </w:tr>
      <w:tr>
        <w:tc>
          <w:tcPr/>
          <w:p>
            <w:pPr>
              <w:pStyle w:val="Compact"/>
            </w:pPr>
            <w:r>
              <w:t xml:space="preserve">Excise relief on gasoline and diesel (not used)</w:t>
            </w:r>
          </w:p>
        </w:tc>
        <w:tc>
          <w:tcPr/>
          <w:p>
            <w:pPr>
              <w:pStyle w:val="Compact"/>
            </w:pPr>
            <w:r>
              <w:t xml:space="preserve">Motor fuel weighs 2.39% of the all-income basket and 1.59% of the poor’s; private vehicle fuel lowered the poor’s relative inflation by 0.38 pp in 2026</w:t>
            </w:r>
          </w:p>
        </w:tc>
        <w:tc>
          <w:tcPr/>
          <w:p>
            <w:pPr>
              <w:pStyle w:val="Compact"/>
            </w:pPr>
            <w:r>
              <w:t xml:space="preserve">Benefits mainly better-off households; not targeted. The decision not to use it is consistent with the evidence.</w:t>
            </w:r>
          </w:p>
        </w:tc>
      </w:tr>
      <w:tr>
        <w:tc>
          <w:tcPr/>
          <w:p>
            <w:pPr>
              <w:pStyle w:val="Compact"/>
            </w:pPr>
            <w:r>
              <w:t xml:space="preserve">Excise suspension on LPG and kerosene (April–July and from September 2026)</w:t>
            </w:r>
          </w:p>
        </w:tc>
        <w:tc>
          <w:tcPr/>
          <w:p>
            <w:pPr>
              <w:pStyle w:val="Compact"/>
            </w:pPr>
            <w:r>
              <w:t xml:space="preserve">LPG responds equally in both baskets and has the same weight; kerosene responds strongly but weighs 0.27% for the poor; relief of about PHP 37 per 11-kg tank ≈ 8% of the fuel-driven monthly cost of a poverty-line family</w:t>
            </w:r>
          </w:p>
        </w:tc>
        <w:tc>
          <w:tcPr/>
          <w:p>
            <w:pPr>
              <w:pStyle w:val="Compact"/>
            </w:pPr>
            <w:r>
              <w:t xml:space="preserve">Distribution-neutral (LPG) or well targeted but small (kerosene); limited protection for the poor.</w:t>
            </w:r>
          </w:p>
        </w:tc>
      </w:tr>
      <w:tr>
        <w:tc>
          <w:tcPr/>
          <w:p>
            <w:pPr>
              <w:pStyle w:val="Compact"/>
            </w:pPr>
            <w:r>
              <w:t xml:space="preserve">Fuel subsidies for public utility vehicle drivers</w:t>
            </w:r>
          </w:p>
        </w:tc>
        <w:tc>
          <w:tcPr/>
          <w:p>
            <w:pPr>
              <w:pStyle w:val="Compact"/>
            </w:pPr>
            <w:r>
              <w:t xml:space="preserve">The poor’s fares historically responded little to fuel (0.010); in 2026 their fares rose 9.1% against 4.7%</w:t>
            </w:r>
          </w:p>
        </w:tc>
        <w:tc>
          <w:tcPr/>
          <w:p>
            <w:pPr>
              <w:pStyle w:val="Compact"/>
            </w:pPr>
            <w:r>
              <w:t xml:space="preserve">Protects the poor indirectly by delaying fare increases; worth continuing while fares are held, and monitoring local fares.</w:t>
            </w:r>
          </w:p>
        </w:tc>
      </w:tr>
      <w:tr>
        <w:tc>
          <w:tcPr/>
          <w:p>
            <w:pPr>
              <w:pStyle w:val="Compact"/>
            </w:pPr>
            <w:r>
              <w:t xml:space="preserve">Policy rate increases (to 5.00%)</w:t>
            </w:r>
          </w:p>
        </w:tc>
        <w:tc>
          <w:tcPr/>
          <w:p>
            <w:pPr>
              <w:pStyle w:val="Compact"/>
            </w:pPr>
            <w:r>
              <w:t xml:space="preserve">Pass-through builds for at least 12 months; crude-based estimates understate it by more than half</w:t>
            </w:r>
          </w:p>
        </w:tc>
        <w:tc>
          <w:tcPr/>
          <w:p>
            <w:pPr>
              <w:pStyle w:val="Compact"/>
            </w:pPr>
            <w:r>
              <w:t xml:space="preserve">Appropriate against second-round effects, but does not address the distribution of the burden.</w:t>
            </w:r>
          </w:p>
        </w:tc>
      </w:tr>
      <w:tr>
        <w:tc>
          <w:tcPr/>
          <w:p>
            <w:pPr>
              <w:pStyle w:val="Compact"/>
            </w:pPr>
            <w:r>
              <w:t xml:space="preserve">Targeted cash transfers</w:t>
            </w:r>
          </w:p>
        </w:tc>
        <w:tc>
          <w:tcPr/>
          <w:p>
            <w:pPr>
              <w:pStyle w:val="Compact"/>
            </w:pPr>
            <w:r>
              <w:t xml:space="preserve">Fuel-driven cost PHP 467 a month and total price-driven cost PHP 907 a month for a poverty-line family of five by August 2026; regional range PHP 390–633</w:t>
            </w:r>
          </w:p>
        </w:tc>
        <w:tc>
          <w:tcPr/>
          <w:p>
            <w:pPr>
              <w:pStyle w:val="Compact"/>
            </w:pPr>
            <w:r>
              <w:t xml:space="preserve">Best targeted; can be sized and regionally allocated with the bottom-30% CPI.</w:t>
            </w:r>
          </w:p>
        </w:tc>
      </w:tr>
      <w:tr>
        <w:tc>
          <w:tcPr/>
          <w:p>
            <w:pPr>
              <w:pStyle w:val="Compact"/>
            </w:pPr>
            <w:r>
              <w:t xml:space="preserve">Rice price and supply measures</w:t>
            </w:r>
          </w:p>
        </w:tc>
        <w:tc>
          <w:tcPr/>
          <w:p>
            <w:pPr>
              <w:pStyle w:val="Compact"/>
            </w:pPr>
            <w:r>
              <w:t xml:space="preserve">Rice and cereals contributed +1.67 pp of the +1.24 pp gap in 2026</w:t>
            </w:r>
          </w:p>
        </w:tc>
        <w:tc>
          <w:tcPr/>
          <w:p>
            <w:pPr>
              <w:pStyle w:val="Compact"/>
            </w:pPr>
            <w:r>
              <w:t xml:space="preserve">The largest channel of the poor’s excess inflation in 2026; should be part of the oil-shock response.</w:t>
            </w:r>
          </w:p>
        </w:tc>
      </w:tr>
    </w:tbl>
    <w:bookmarkEnd w:id="103"/>
    <w:bookmarkEnd w:id="104"/>
    <w:bookmarkStart w:id="105" w:name="synthesis"/>
    <w:p>
      <w:pPr>
        <w:pStyle w:val="Heading2"/>
      </w:pPr>
      <w:r>
        <w:t xml:space="preserve">5.4 Synthesis</w:t>
      </w:r>
    </w:p>
    <w:p>
      <w:pPr>
        <w:pStyle w:val="FirstParagraph"/>
      </w:pPr>
      <w:r>
        <w:t xml:space="preserve">The three objectives give a consistent picture. The descriptive record (Objective 1) shows that the poor’s prices have risen faster than average over 25 years and during most fuel-shock episodes. The model (Objective 2) shows that fuel shocks themselves contribute to this — the opposite of the cross-country finding — through larger price increases within the categories the poor buy, especially in the 2000s. The 2026 episode (Objective 3) shows that the historical model still predicts about half of the price surge and the direction of the gap, but that the poor’s excess inflation in 2026 came mostly through rice, a channel that pump-price-focused relief does not reach.</w:t>
      </w:r>
    </w:p>
    <w:p>
      <w:pPr>
        <w:pStyle w:val="BodyText"/>
      </w:pPr>
      <w:r>
        <w:t xml:space="preserve">The results qualify the policy conclusion usually drawn from the cross-country evidence. In the Philippines, fuel subsidies and excise relief are still poorly targeted — that conclusion stands — but not because fuel shocks spare the poor. They do not; the poor are reached through food and fares, which fuel tax relief does not touch.</w:t>
      </w:r>
    </w:p>
    <w:p>
      <w:pPr>
        <w:pStyle w:val="BodyText"/>
      </w:pPr>
      <w:r>
        <w:rPr>
          <w:i/>
          <w:iCs/>
        </w:rPr>
        <w:t xml:space="preserve">Limitations.</w:t>
      </w:r>
      <w:r>
        <w:t xml:space="preserve"> </w:t>
      </w:r>
      <w:r>
        <w:t xml:space="preserve">Retail fuel prices may respond to domestic conditions; crude-price results have the same sign, but an identified oil supply shock</w:t>
      </w:r>
      <w:r>
        <w:t xml:space="preserve"> </w:t>
      </w:r>
      <w:r>
        <w:t xml:space="preserve">(</w:t>
      </w:r>
      <w:hyperlink w:anchor="ref-kilian_2009">
        <w:r>
          <w:rPr>
            <w:rStyle w:val="Hyperlink"/>
          </w:rPr>
          <w:t xml:space="preserve">Kilian 2009</w:t>
        </w:r>
      </w:hyperlink>
      <w:r>
        <w:t xml:space="preserve">;</w:t>
      </w:r>
      <w:r>
        <w:t xml:space="preserve"> </w:t>
      </w:r>
      <w:hyperlink w:anchor="ref-baumeister_hamilton_2019">
        <w:r>
          <w:rPr>
            <w:rStyle w:val="Hyperlink"/>
          </w:rPr>
          <w:t xml:space="preserve">Baumeister and Hamilton 2019</w:t>
        </w:r>
      </w:hyperlink>
      <w:r>
        <w:t xml:space="preserve">;</w:t>
      </w:r>
      <w:r>
        <w:t xml:space="preserve"> </w:t>
      </w:r>
      <w:hyperlink w:anchor="ref-kanzig_2021">
        <w:r>
          <w:rPr>
            <w:rStyle w:val="Hyperlink"/>
          </w:rPr>
          <w:t xml:space="preserve">Känzig 2021</w:t>
        </w:r>
      </w:hyperlink>
      <w:r>
        <w:t xml:space="preserve">)</w:t>
      </w:r>
      <w:r>
        <w:t xml:space="preserve"> </w:t>
      </w:r>
      <w:r>
        <w:t xml:space="preserve">would strengthen the causal interpretation. The bottom 30% are compared with all households, which understates differences. The pre-2018 bottom-30% series are backcasts. The distributional effect is concentrated in 2001–2012 and is sensitive to some controls. The 2026 analysis is short and its decomposition descriptive. The regional tests do not survive a multiple-testing correction. Price indices ignore substitution and income effects.</w:t>
      </w:r>
    </w:p>
    <w:bookmarkEnd w:id="105"/>
    <w:bookmarkEnd w:id="106"/>
    <w:bookmarkStart w:id="110" w:name="Xcb3f2bf98e41142b5cf732bb4e91eda99c37a62"/>
    <w:p>
      <w:pPr>
        <w:pStyle w:val="Heading1"/>
      </w:pPr>
      <w:r>
        <w:t xml:space="preserve">Chapter 6. Summary, Conclusions and Recommendations</w:t>
      </w:r>
    </w:p>
    <w:bookmarkStart w:id="107" w:name="summary-of-findings"/>
    <w:p>
      <w:pPr>
        <w:pStyle w:val="Heading2"/>
      </w:pPr>
      <w:r>
        <w:t xml:space="preserve">6.1 Summary of findings</w:t>
      </w:r>
    </w:p>
    <w:p>
      <w:pPr>
        <w:pStyle w:val="FirstParagraph"/>
      </w:pPr>
      <w:r>
        <w:rPr>
          <w:b/>
          <w:bCs/>
        </w:rPr>
        <w:t xml:space="preserve">Objective 1.</w:t>
      </w:r>
      <w:r>
        <w:t xml:space="preserve"> </w:t>
      </w:r>
      <w:r>
        <w:t xml:space="preserve">From 2001 to 2025, bottom-30% prices rose faster than all-income prices on average (4.41% against 3.84% a year) and in 18 of 25 years, accumulating to a 13.3-log-point difference nationally and a difference in every region. The poor’s inflation exceeded the average in 6 of 9 fuel-shock episodes, most in 2008 and 2026. In August 2026 it was 8.2% against 6.2%.</w:t>
      </w:r>
    </w:p>
    <w:p>
      <w:pPr>
        <w:pStyle w:val="BodyText"/>
      </w:pPr>
      <w:r>
        <w:rPr>
          <w:b/>
          <w:bCs/>
        </w:rPr>
        <w:t xml:space="preserve">Objective 2.</w:t>
      </w:r>
      <w:r>
        <w:t xml:space="preserve"> </w:t>
      </w:r>
      <w:r>
        <w:t xml:space="preserve">A 1% fuel price increase raises the price level by 0.044 pp within the month and 0.102 pp within a year; crude prices capture about 40% of this. The effect is not progressive: in the regional panel, the poor’s prices rise 0.0214 pp more after six months, through larger increases within food, utilities and other categories, while the expenditure weights alone would predict the opposite. The effect was strongest in 2001–2012. Regional differences are suggestive but not statistically established.</w:t>
      </w:r>
    </w:p>
    <w:p>
      <w:pPr>
        <w:pStyle w:val="BodyText"/>
      </w:pPr>
      <w:r>
        <w:rPr>
          <w:b/>
          <w:bCs/>
        </w:rPr>
        <w:t xml:space="preserve">Objective 3.</w:t>
      </w:r>
      <w:r>
        <w:t xml:space="preserve"> </w:t>
      </w:r>
      <w:r>
        <w:t xml:space="preserve">The historical model explains about half of the 2026 price surge and predicts that the poor would pay more. The fuel-driven cost for a poverty-line family of five reached about PHP 467 a month by August 2026 (total price-driven cost about PHP 907). Rice and cereals accounted for most of the poor’s excess inflation. LPG excise relief is distribution-neutral; gasoline and diesel tax relief would mainly help the better-off.</w:t>
      </w:r>
    </w:p>
    <w:bookmarkEnd w:id="107"/>
    <w:bookmarkStart w:id="108" w:name="conclusions"/>
    <w:p>
      <w:pPr>
        <w:pStyle w:val="Heading2"/>
      </w:pPr>
      <w:r>
        <w:t xml:space="preserve">6.2 Conclusions</w:t>
      </w:r>
    </w:p>
    <w:p>
      <w:pPr>
        <w:pStyle w:val="Compact"/>
        <w:numPr>
          <w:ilvl w:val="0"/>
          <w:numId w:val="1008"/>
        </w:numPr>
      </w:pPr>
      <w:r>
        <w:t xml:space="preserve">Fuel price shocks pass through quickly, broadly and persistently to Philippine consumer prices; analyses based on crude oil prices understate them.</w:t>
      </w:r>
    </w:p>
    <w:p>
      <w:pPr>
        <w:pStyle w:val="Compact"/>
        <w:numPr>
          <w:ilvl w:val="0"/>
          <w:numId w:val="1008"/>
        </w:numPr>
      </w:pPr>
      <w:r>
        <w:t xml:space="preserve">The cross-country finding that fuel shocks are progressive does not hold in the Philippines. The burden is at best neutral and often falls harder on poor households.</w:t>
      </w:r>
    </w:p>
    <w:p>
      <w:pPr>
        <w:pStyle w:val="Compact"/>
        <w:numPr>
          <w:ilvl w:val="0"/>
          <w:numId w:val="1008"/>
        </w:numPr>
      </w:pPr>
      <w:r>
        <w:t xml:space="preserve">The reason is not the poor’s spending pattern, which by itself would make the shock progressive, but the price changes they face within categories — their food, their household fuels and, in 2026, their fares.</w:t>
      </w:r>
    </w:p>
    <w:p>
      <w:pPr>
        <w:pStyle w:val="Compact"/>
        <w:numPr>
          <w:ilvl w:val="0"/>
          <w:numId w:val="1008"/>
        </w:numPr>
      </w:pPr>
      <w:r>
        <w:t xml:space="preserve">The 2026 shock confirmed the historical relationships but added a large rice-price channel that fuel-focused relief does not reach.</w:t>
      </w:r>
    </w:p>
    <w:p>
      <w:pPr>
        <w:pStyle w:val="Compact"/>
        <w:numPr>
          <w:ilvl w:val="0"/>
          <w:numId w:val="1008"/>
        </w:numPr>
      </w:pPr>
      <w:r>
        <w:t xml:space="preserve">Instruments that work through fuel taxes are poorly targeted to the poor; transfers sized with the bottom-30% CPI, fare policy and rice policy are better targeted.</w:t>
      </w:r>
    </w:p>
    <w:bookmarkEnd w:id="108"/>
    <w:bookmarkStart w:id="109" w:name="recommendations"/>
    <w:p>
      <w:pPr>
        <w:pStyle w:val="Heading2"/>
      </w:pPr>
      <w:r>
        <w:t xml:space="preserve">6.3 Recommendations</w:t>
      </w:r>
    </w:p>
    <w:p>
      <w:pPr>
        <w:pStyle w:val="FirstParagraph"/>
      </w:pPr>
      <w:r>
        <w:rPr>
          <w:i/>
          <w:iCs/>
        </w:rPr>
        <w:t xml:space="preserve">For policy.</w:t>
      </w:r>
    </w:p>
    <w:p>
      <w:pPr>
        <w:pStyle w:val="Compact"/>
        <w:numPr>
          <w:ilvl w:val="0"/>
          <w:numId w:val="1009"/>
        </w:numPr>
      </w:pPr>
      <w:r>
        <w:rPr>
          <w:b/>
          <w:bCs/>
        </w:rPr>
        <w:t xml:space="preserve">Department of Finance:</w:t>
      </w:r>
      <w:r>
        <w:t xml:space="preserve"> </w:t>
      </w:r>
      <w:r>
        <w:t xml:space="preserve">reserve excise relief under RA 12316 for products whose budget share is clearly higher for the poor (kerosene) and avoid broad relief on gasoline and diesel; redirect the revenue to targeted transfers.</w:t>
      </w:r>
    </w:p>
    <w:p>
      <w:pPr>
        <w:pStyle w:val="Compact"/>
        <w:numPr>
          <w:ilvl w:val="0"/>
          <w:numId w:val="1009"/>
        </w:numPr>
      </w:pPr>
      <w:r>
        <w:rPr>
          <w:b/>
          <w:bCs/>
        </w:rPr>
        <w:t xml:space="preserve">Department of Social Welfare and Development:</w:t>
      </w:r>
      <w:r>
        <w:t xml:space="preserve"> </w:t>
      </w:r>
      <w:r>
        <w:t xml:space="preserve">use existing registries of poor households to release emergency transfers when a fuel shock occurs, sized with the bottom-30% CPI (on 2026 evidence, PHP 467–907 a month for a poverty-line family of five) and allocated by regional bottom-30% inflation rather than regional pump prices; keep them for at least a year, because prices do not fall back when fuel eases.</w:t>
      </w:r>
    </w:p>
    <w:p>
      <w:pPr>
        <w:pStyle w:val="Compact"/>
        <w:numPr>
          <w:ilvl w:val="0"/>
          <w:numId w:val="1009"/>
        </w:numPr>
      </w:pPr>
      <w:r>
        <w:rPr>
          <w:b/>
          <w:bCs/>
        </w:rPr>
        <w:t xml:space="preserve">Department of Transportation and LTFRB:</w:t>
      </w:r>
      <w:r>
        <w:t xml:space="preserve"> </w:t>
      </w:r>
      <w:r>
        <w:t xml:space="preserve">treat fuel subsidies for public transport operators as protection for poor commuters, tie them to fare restraint, and monitor local fares (such as tricycle fares) that are not set nationally.</w:t>
      </w:r>
    </w:p>
    <w:p>
      <w:pPr>
        <w:pStyle w:val="Compact"/>
        <w:numPr>
          <w:ilvl w:val="0"/>
          <w:numId w:val="1009"/>
        </w:numPr>
      </w:pPr>
      <w:r>
        <w:rPr>
          <w:b/>
          <w:bCs/>
        </w:rPr>
        <w:t xml:space="preserve">Department of Agriculture:</w:t>
      </w:r>
      <w:r>
        <w:t xml:space="preserve"> </w:t>
      </w:r>
      <w:r>
        <w:t xml:space="preserve">include rice in the oil-shock response, through monitoring of fertilizer and freight costs and timely use of import and buffer-stock policy.</w:t>
      </w:r>
    </w:p>
    <w:p>
      <w:pPr>
        <w:pStyle w:val="Compact"/>
        <w:numPr>
          <w:ilvl w:val="0"/>
          <w:numId w:val="1009"/>
        </w:numPr>
      </w:pPr>
      <w:r>
        <w:rPr>
          <w:b/>
          <w:bCs/>
        </w:rPr>
        <w:t xml:space="preserve">BSP:</w:t>
      </w:r>
      <w:r>
        <w:t xml:space="preserve"> </w:t>
      </w:r>
      <w:r>
        <w:t xml:space="preserve">use retail fuel prices, not crude prices, to gauge second-round effects, and recognise that they build over at least a year.</w:t>
      </w:r>
    </w:p>
    <w:p>
      <w:pPr>
        <w:pStyle w:val="Compact"/>
        <w:numPr>
          <w:ilvl w:val="0"/>
          <w:numId w:val="1009"/>
        </w:numPr>
      </w:pPr>
      <w:r>
        <w:rPr>
          <w:b/>
          <w:bCs/>
        </w:rPr>
        <w:t xml:space="preserve">PSA:</w:t>
      </w:r>
      <w:r>
        <w:t xml:space="preserve"> </w:t>
      </w:r>
      <w:r>
        <w:t xml:space="preserve">continue and publicise the bottom-30% CPI and its regional and commodity detail, and publish technical notes on its backcasts.</w:t>
      </w:r>
    </w:p>
    <w:p>
      <w:pPr>
        <w:pStyle w:val="FirstParagraph"/>
      </w:pPr>
      <w:r>
        <w:rPr>
          <w:i/>
          <w:iCs/>
        </w:rPr>
        <w:t xml:space="preserve">For research.</w:t>
      </w:r>
    </w:p>
    <w:p>
      <w:pPr>
        <w:pStyle w:val="Compact"/>
        <w:numPr>
          <w:ilvl w:val="0"/>
          <w:numId w:val="1010"/>
        </w:numPr>
      </w:pPr>
      <w:r>
        <w:t xml:space="preserve">Use an identified oil supply shock as an instrument for retail fuel prices.</w:t>
      </w:r>
    </w:p>
    <w:p>
      <w:pPr>
        <w:pStyle w:val="Compact"/>
        <w:numPr>
          <w:ilvl w:val="0"/>
          <w:numId w:val="1010"/>
        </w:numPr>
      </w:pPr>
      <w:r>
        <w:t xml:space="preserve">Compare the poorest and the richest households directly, with FIES-based indices for the top of the distribution.</w:t>
      </w:r>
    </w:p>
    <w:p>
      <w:pPr>
        <w:pStyle w:val="Compact"/>
        <w:numPr>
          <w:ilvl w:val="0"/>
          <w:numId w:val="1010"/>
        </w:numPr>
      </w:pPr>
      <w:r>
        <w:t xml:space="preserve">Study the fertilizer–rice channel of oil shocks with longer horizons.</w:t>
      </w:r>
    </w:p>
    <w:p>
      <w:pPr>
        <w:pStyle w:val="Compact"/>
        <w:numPr>
          <w:ilvl w:val="0"/>
          <w:numId w:val="1010"/>
        </w:numPr>
      </w:pPr>
      <w:r>
        <w:t xml:space="preserve">Extend the 2026 analysis as data for later months become available, including the September 2026 fare increase and the second excise suspension.</w:t>
      </w:r>
    </w:p>
    <w:p>
      <w:pPr>
        <w:pStyle w:val="Compact"/>
        <w:numPr>
          <w:ilvl w:val="0"/>
          <w:numId w:val="1010"/>
        </w:numPr>
      </w:pPr>
      <w:r>
        <w:t xml:space="preserve">Examine income effects — on drivers, farmers and fisherfolk — alongside price effects.</w:t>
      </w:r>
    </w:p>
    <w:bookmarkEnd w:id="109"/>
    <w:bookmarkEnd w:id="110"/>
    <w:bookmarkStart w:id="187" w:name="references"/>
    <w:p>
      <w:pPr>
        <w:pStyle w:val="Heading1"/>
      </w:pPr>
      <w:r>
        <w:t xml:space="preserve">References</w:t>
      </w:r>
    </w:p>
    <w:bookmarkStart w:id="186" w:name="refs"/>
    <w:bookmarkStart w:id="112" w:name="ref-allon_pineda_etal_2026"/>
    <w:p>
      <w:pPr>
        <w:pStyle w:val="Bibliography"/>
      </w:pPr>
      <w:r>
        <w:t xml:space="preserve">Allon-Pineda, Joan Christine S., Jan Christopher G. Ocampo, and Eduard Renzo D. Santos. 2026.</w:t>
      </w:r>
      <w:r>
        <w:t xml:space="preserve"> </w:t>
      </w:r>
      <w:r>
        <w:t xml:space="preserve">“Second-Round Effects and Asymmetry in Oil and Food Price Shocks to Inflation.”</w:t>
      </w:r>
      <w:r>
        <w:t xml:space="preserve"> </w:t>
      </w:r>
      <w:r>
        <w:rPr>
          <w:i/>
          <w:iCs/>
        </w:rPr>
        <w:t xml:space="preserve">Latin American Journal of Central Banking</w:t>
      </w:r>
      <w:r>
        <w:t xml:space="preserve"> </w:t>
      </w:r>
      <w:r>
        <w:t xml:space="preserve">7 (3): 100180.</w:t>
      </w:r>
      <w:r>
        <w:t xml:space="preserve"> </w:t>
      </w:r>
      <w:hyperlink r:id="rId111">
        <w:r>
          <w:rPr>
            <w:rStyle w:val="Hyperlink"/>
          </w:rPr>
          <w:t xml:space="preserve">https://doi.org/10.1016/j.latcb.2025.100180</w:t>
        </w:r>
      </w:hyperlink>
      <w:r>
        <w:t xml:space="preserve">.</w:t>
      </w:r>
    </w:p>
    <w:bookmarkEnd w:id="112"/>
    <w:bookmarkStart w:id="114" w:name="ref-armas_2021"/>
    <w:p>
      <w:pPr>
        <w:pStyle w:val="Bibliography"/>
      </w:pPr>
      <w:r>
        <w:t xml:space="preserve">Armas, Jean Christine A. 2021.</w:t>
      </w:r>
      <w:r>
        <w:t xml:space="preserve"> </w:t>
      </w:r>
      <w:r>
        <w:t xml:space="preserve">“Is the Bank Lending Channel of Monetary Policy Evident in the</w:t>
      </w:r>
      <w:r>
        <w:t xml:space="preserve"> </w:t>
      </w:r>
      <w:r>
        <w:t xml:space="preserve">Philippines</w:t>
      </w:r>
      <w:r>
        <w:t xml:space="preserve">? A Dynamic Panel Data Approach.”</w:t>
      </w:r>
      <w:r>
        <w:t xml:space="preserve"> </w:t>
      </w:r>
      <w:r>
        <w:rPr>
          <w:i/>
          <w:iCs/>
        </w:rPr>
        <w:t xml:space="preserve">Asian Economic Journal</w:t>
      </w:r>
      <w:r>
        <w:t xml:space="preserve"> </w:t>
      </w:r>
      <w:r>
        <w:t xml:space="preserve">35 (3): 246–69.</w:t>
      </w:r>
      <w:r>
        <w:t xml:space="preserve"> </w:t>
      </w:r>
      <w:hyperlink r:id="rId113">
        <w:r>
          <w:rPr>
            <w:rStyle w:val="Hyperlink"/>
          </w:rPr>
          <w:t xml:space="preserve">https://doi.org/10.1111/asej.12249</w:t>
        </w:r>
      </w:hyperlink>
      <w:r>
        <w:t xml:space="preserve">.</w:t>
      </w:r>
    </w:p>
    <w:bookmarkEnd w:id="114"/>
    <w:bookmarkStart w:id="116" w:name="ref-baumeister_hamilton_2019"/>
    <w:p>
      <w:pPr>
        <w:pStyle w:val="Bibliography"/>
      </w:pPr>
      <w:r>
        <w:t xml:space="preserve">Baumeister, Christiane, and James D. Hamilton. 2019.</w:t>
      </w:r>
      <w:r>
        <w:t xml:space="preserve"> </w:t>
      </w:r>
      <w:r>
        <w:t xml:space="preserve">“Structural Interpretation of Vector Autoregressions with Incomplete Identification: Revisiting the Role of Oil Supply and Demand Shocks.”</w:t>
      </w:r>
      <w:r>
        <w:t xml:space="preserve"> </w:t>
      </w:r>
      <w:r>
        <w:rPr>
          <w:i/>
          <w:iCs/>
        </w:rPr>
        <w:t xml:space="preserve">American Economic Review</w:t>
      </w:r>
      <w:r>
        <w:t xml:space="preserve"> </w:t>
      </w:r>
      <w:r>
        <w:t xml:space="preserve">109 (5): 1873–910.</w:t>
      </w:r>
      <w:r>
        <w:t xml:space="preserve"> </w:t>
      </w:r>
      <w:hyperlink r:id="rId115">
        <w:r>
          <w:rPr>
            <w:rStyle w:val="Hyperlink"/>
          </w:rPr>
          <w:t xml:space="preserve">https://doi.org/10.1257/aer.20151569</w:t>
        </w:r>
      </w:hyperlink>
      <w:r>
        <w:t xml:space="preserve">.</w:t>
      </w:r>
    </w:p>
    <w:bookmarkEnd w:id="116"/>
    <w:bookmarkStart w:id="117" w:name="ref-blanchard_gali_2010"/>
    <w:p>
      <w:pPr>
        <w:pStyle w:val="Bibliography"/>
      </w:pPr>
      <w:r>
        <w:t xml:space="preserve">Blanchard, Olivier J., and Jordi Galí. 2010.</w:t>
      </w:r>
      <w:r>
        <w:t xml:space="preserve"> </w:t>
      </w:r>
      <w:r>
        <w:t xml:space="preserve">“The Macroeconomic Effects of Oil Price Shocks: Why Are the 2000s so Different from the 1970s?”</w:t>
      </w:r>
      <w:r>
        <w:t xml:space="preserve"> In</w:t>
      </w:r>
      <w:r>
        <w:t xml:space="preserve"> </w:t>
      </w:r>
      <w:r>
        <w:rPr>
          <w:i/>
          <w:iCs/>
        </w:rPr>
        <w:t xml:space="preserve">International Dimensions of Monetary Policy</w:t>
      </w:r>
      <w:r>
        <w:t xml:space="preserve">, edited by Jordi Galí and Mark J. Gertler. University of Chicago Press.</w:t>
      </w:r>
    </w:p>
    <w:bookmarkEnd w:id="117"/>
    <w:bookmarkStart w:id="119" w:name="ref-choi_etal_2018"/>
    <w:p>
      <w:pPr>
        <w:pStyle w:val="Bibliography"/>
      </w:pPr>
      <w:r>
        <w:t xml:space="preserve">Choi, Sangyup, Davide Furceri, Prakash Loungani, Saurabh Mishra, and Marcos Poplawski-Ribeiro. 2018.</w:t>
      </w:r>
      <w:r>
        <w:t xml:space="preserve"> </w:t>
      </w:r>
      <w:r>
        <w:t xml:space="preserve">“Oil Prices and Inflation Dynamics: Evidence from Advanced and Developing Economies.”</w:t>
      </w:r>
      <w:r>
        <w:t xml:space="preserve"> </w:t>
      </w:r>
      <w:r>
        <w:rPr>
          <w:i/>
          <w:iCs/>
        </w:rPr>
        <w:t xml:space="preserve">Journal of International Money and Finance</w:t>
      </w:r>
      <w:r>
        <w:t xml:space="preserve"> </w:t>
      </w:r>
      <w:r>
        <w:t xml:space="preserve">82: 71–96.</w:t>
      </w:r>
      <w:r>
        <w:t xml:space="preserve"> </w:t>
      </w:r>
      <w:hyperlink r:id="rId118">
        <w:r>
          <w:rPr>
            <w:rStyle w:val="Hyperlink"/>
          </w:rPr>
          <w:t xml:space="preserve">https://doi.org/10.1016/j.jimonfin.2017.12.004</w:t>
        </w:r>
      </w:hyperlink>
      <w:r>
        <w:t xml:space="preserve">.</w:t>
      </w:r>
    </w:p>
    <w:bookmarkEnd w:id="119"/>
    <w:bookmarkStart w:id="121" w:name="ref-coady_etal_2015"/>
    <w:p>
      <w:pPr>
        <w:pStyle w:val="Bibliography"/>
      </w:pPr>
      <w:r>
        <w:t xml:space="preserve">Coady, David, Valentina Flamini, and Louis Sears. 2015.</w:t>
      </w:r>
      <w:r>
        <w:t xml:space="preserve"> </w:t>
      </w:r>
      <w:r>
        <w:rPr>
          <w:i/>
          <w:iCs/>
        </w:rPr>
        <w:t xml:space="preserve">The Unequal Benefits of Fuel Subsidies Revisited: Evidence for Developing Countries</w:t>
      </w:r>
      <w:r>
        <w:t xml:space="preserve">. IMF Working Paper 15/250. International Monetary Fund.</w:t>
      </w:r>
      <w:r>
        <w:t xml:space="preserve"> </w:t>
      </w:r>
      <w:hyperlink r:id="rId120">
        <w:r>
          <w:rPr>
            <w:rStyle w:val="Hyperlink"/>
          </w:rPr>
          <w:t xml:space="preserve">https://doi.org/10.5089/9781513501390.001</w:t>
        </w:r>
      </w:hyperlink>
      <w:r>
        <w:t xml:space="preserve">.</w:t>
      </w:r>
    </w:p>
    <w:bookmarkEnd w:id="121"/>
    <w:bookmarkStart w:id="123" w:name="ref-dorband_etal_2019"/>
    <w:p>
      <w:pPr>
        <w:pStyle w:val="Bibliography"/>
      </w:pPr>
      <w:r>
        <w:t xml:space="preserve">Dorband, Ira Irina, Michael Jakob, Matthias Kalkuhl, and Jan Christoph Steckel. 2019.</w:t>
      </w:r>
      <w:r>
        <w:t xml:space="preserve"> </w:t>
      </w:r>
      <w:r>
        <w:t xml:space="preserve">“Poverty and Distributional Effects of Carbon Pricing in Low- and Middle-Income Countries – a Global Comparative Analysis.”</w:t>
      </w:r>
      <w:r>
        <w:t xml:space="preserve"> </w:t>
      </w:r>
      <w:r>
        <w:rPr>
          <w:i/>
          <w:iCs/>
        </w:rPr>
        <w:t xml:space="preserve">World Development</w:t>
      </w:r>
      <w:r>
        <w:t xml:space="preserve"> </w:t>
      </w:r>
      <w:r>
        <w:t xml:space="preserve">115: 246–57.</w:t>
      </w:r>
      <w:r>
        <w:t xml:space="preserve"> </w:t>
      </w:r>
      <w:hyperlink r:id="rId122">
        <w:r>
          <w:rPr>
            <w:rStyle w:val="Hyperlink"/>
          </w:rPr>
          <w:t xml:space="preserve">https://doi.org/10.1016/j.worlddev.2018.11.015</w:t>
        </w:r>
      </w:hyperlink>
      <w:r>
        <w:t xml:space="preserve">.</w:t>
      </w:r>
    </w:p>
    <w:bookmarkEnd w:id="123"/>
    <w:bookmarkStart w:id="125" w:name="ref-driscoll_kraay_1998"/>
    <w:p>
      <w:pPr>
        <w:pStyle w:val="Bibliography"/>
      </w:pPr>
      <w:r>
        <w:t xml:space="preserve">Driscoll, John C., and Aart C. Kraay. 1998.</w:t>
      </w:r>
      <w:r>
        <w:t xml:space="preserve"> </w:t>
      </w:r>
      <w:r>
        <w:t xml:space="preserve">“Consistent Covariance Matrix Estimation with Spatially Dependent Panel Data.”</w:t>
      </w:r>
      <w:r>
        <w:t xml:space="preserve"> </w:t>
      </w:r>
      <w:r>
        <w:rPr>
          <w:i/>
          <w:iCs/>
        </w:rPr>
        <w:t xml:space="preserve">Review of Economics and Statistics</w:t>
      </w:r>
      <w:r>
        <w:t xml:space="preserve"> </w:t>
      </w:r>
      <w:r>
        <w:t xml:space="preserve">80 (4): 549–60.</w:t>
      </w:r>
      <w:r>
        <w:t xml:space="preserve"> </w:t>
      </w:r>
      <w:hyperlink r:id="rId124">
        <w:r>
          <w:rPr>
            <w:rStyle w:val="Hyperlink"/>
          </w:rPr>
          <w:t xml:space="preserve">https://doi.org/10.1162/003465398557825</w:t>
        </w:r>
      </w:hyperlink>
      <w:r>
        <w:t xml:space="preserve">.</w:t>
      </w:r>
    </w:p>
    <w:bookmarkEnd w:id="125"/>
    <w:bookmarkStart w:id="127" w:name="ref-easterly_fischer_2001"/>
    <w:p>
      <w:pPr>
        <w:pStyle w:val="Bibliography"/>
      </w:pPr>
      <w:r>
        <w:t xml:space="preserve">Easterly, William, and Stanley Fischer. 2001.</w:t>
      </w:r>
      <w:r>
        <w:t xml:space="preserve"> </w:t>
      </w:r>
      <w:r>
        <w:t xml:space="preserve">“Inflation and the Poor.”</w:t>
      </w:r>
      <w:r>
        <w:t xml:space="preserve"> </w:t>
      </w:r>
      <w:r>
        <w:rPr>
          <w:i/>
          <w:iCs/>
        </w:rPr>
        <w:t xml:space="preserve">Journal of Money, Credit and Banking</w:t>
      </w:r>
      <w:r>
        <w:t xml:space="preserve"> </w:t>
      </w:r>
      <w:r>
        <w:t xml:space="preserve">33 (2): 160–78.</w:t>
      </w:r>
      <w:r>
        <w:t xml:space="preserve"> </w:t>
      </w:r>
      <w:hyperlink r:id="rId126">
        <w:r>
          <w:rPr>
            <w:rStyle w:val="Hyperlink"/>
          </w:rPr>
          <w:t xml:space="preserve">https://doi.org/10.2307/2673879</w:t>
        </w:r>
      </w:hyperlink>
      <w:r>
        <w:t xml:space="preserve">.</w:t>
      </w:r>
    </w:p>
    <w:bookmarkEnd w:id="127"/>
    <w:bookmarkStart w:id="129" w:name="ref-ec_wob_2026"/>
    <w:p>
      <w:pPr>
        <w:pStyle w:val="Bibliography"/>
      </w:pPr>
      <w:r>
        <w:t xml:space="preserve">European Commission. 2026.</w:t>
      </w:r>
      <w:r>
        <w:t xml:space="preserve"> </w:t>
      </w:r>
      <w:r>
        <w:rPr>
          <w:i/>
          <w:iCs/>
        </w:rPr>
        <w:t xml:space="preserve">Weekly Oil Bulletin: Price History Since 2005</w:t>
      </w:r>
      <w:r>
        <w:t xml:space="preserve">.</w:t>
      </w:r>
      <w:r>
        <w:t xml:space="preserve"> </w:t>
      </w:r>
      <w:hyperlink r:id="rId128">
        <w:r>
          <w:rPr>
            <w:rStyle w:val="Hyperlink"/>
          </w:rPr>
          <w:t xml:space="preserve">Https://energy.ec.europa.eu/data-and-analysis/weekly-oil-bulletin_en</w:t>
        </w:r>
      </w:hyperlink>
      <w:r>
        <w:t xml:space="preserve">.</w:t>
      </w:r>
    </w:p>
    <w:bookmarkEnd w:id="129"/>
    <w:bookmarkStart w:id="131" w:name="ref-gelos_ustyugova_2017"/>
    <w:p>
      <w:pPr>
        <w:pStyle w:val="Bibliography"/>
      </w:pPr>
      <w:r>
        <w:t xml:space="preserve">Gelos, Gaston, and Yulia Ustyugova. 2017.</w:t>
      </w:r>
      <w:r>
        <w:t xml:space="preserve"> </w:t>
      </w:r>
      <w:r>
        <w:t xml:space="preserve">“Inflation Responses to Commodity Price Shocks – How and Why Do Countries Differ?”</w:t>
      </w:r>
      <w:r>
        <w:t xml:space="preserve"> </w:t>
      </w:r>
      <w:r>
        <w:rPr>
          <w:i/>
          <w:iCs/>
        </w:rPr>
        <w:t xml:space="preserve">Journal of International Money and Finance</w:t>
      </w:r>
      <w:r>
        <w:t xml:space="preserve"> </w:t>
      </w:r>
      <w:r>
        <w:t xml:space="preserve">72: 28–47.</w:t>
      </w:r>
      <w:r>
        <w:t xml:space="preserve"> </w:t>
      </w:r>
      <w:hyperlink r:id="rId130">
        <w:r>
          <w:rPr>
            <w:rStyle w:val="Hyperlink"/>
          </w:rPr>
          <w:t xml:space="preserve">https://doi.org/10.1016/j.jimonfin.2016.10.001</w:t>
        </w:r>
      </w:hyperlink>
      <w:r>
        <w:t xml:space="preserve">.</w:t>
      </w:r>
    </w:p>
    <w:bookmarkEnd w:id="131"/>
    <w:bookmarkStart w:id="133" w:name="ref-jaravel_2021"/>
    <w:p>
      <w:pPr>
        <w:pStyle w:val="Bibliography"/>
      </w:pPr>
      <w:r>
        <w:t xml:space="preserve">Jaravel, Xavier. 2021.</w:t>
      </w:r>
      <w:r>
        <w:t xml:space="preserve"> </w:t>
      </w:r>
      <w:r>
        <w:t xml:space="preserve">“Inflation Inequality: Measurement, Causes, and Policy Implications.”</w:t>
      </w:r>
      <w:r>
        <w:t xml:space="preserve"> </w:t>
      </w:r>
      <w:r>
        <w:rPr>
          <w:i/>
          <w:iCs/>
        </w:rPr>
        <w:t xml:space="preserve">Annual Review of Economics</w:t>
      </w:r>
      <w:r>
        <w:t xml:space="preserve"> </w:t>
      </w:r>
      <w:r>
        <w:t xml:space="preserve">13: 599–629.</w:t>
      </w:r>
      <w:r>
        <w:t xml:space="preserve"> </w:t>
      </w:r>
      <w:hyperlink r:id="rId132">
        <w:r>
          <w:rPr>
            <w:rStyle w:val="Hyperlink"/>
          </w:rPr>
          <w:t xml:space="preserve">https://doi.org/10.1146/annurev-economics-091520-082042</w:t>
        </w:r>
      </w:hyperlink>
      <w:r>
        <w:t xml:space="preserve">.</w:t>
      </w:r>
    </w:p>
    <w:bookmarkEnd w:id="133"/>
    <w:bookmarkStart w:id="135" w:name="ref-jorda_2005"/>
    <w:p>
      <w:pPr>
        <w:pStyle w:val="Bibliography"/>
      </w:pPr>
      <w:r>
        <w:t xml:space="preserve">Jordà, Òscar. 2005.</w:t>
      </w:r>
      <w:r>
        <w:t xml:space="preserve"> </w:t>
      </w:r>
      <w:r>
        <w:t xml:space="preserve">“Estimation and Inference of Impulse Responses by Local Projections.”</w:t>
      </w:r>
      <w:r>
        <w:t xml:space="preserve"> </w:t>
      </w:r>
      <w:r>
        <w:rPr>
          <w:i/>
          <w:iCs/>
        </w:rPr>
        <w:t xml:space="preserve">American Economic Review</w:t>
      </w:r>
      <w:r>
        <w:t xml:space="preserve"> </w:t>
      </w:r>
      <w:r>
        <w:t xml:space="preserve">95 (1): 161–82.</w:t>
      </w:r>
      <w:r>
        <w:t xml:space="preserve"> </w:t>
      </w:r>
      <w:hyperlink r:id="rId134">
        <w:r>
          <w:rPr>
            <w:rStyle w:val="Hyperlink"/>
          </w:rPr>
          <w:t xml:space="preserve">https://doi.org/10.1257/0002828053828518</w:t>
        </w:r>
      </w:hyperlink>
      <w:r>
        <w:t xml:space="preserve">.</w:t>
      </w:r>
    </w:p>
    <w:bookmarkEnd w:id="135"/>
    <w:bookmarkStart w:id="137" w:name="ref-kanzig_2021"/>
    <w:p>
      <w:pPr>
        <w:pStyle w:val="Bibliography"/>
      </w:pPr>
      <w:r>
        <w:t xml:space="preserve">Känzig, Diego R. 2021.</w:t>
      </w:r>
      <w:r>
        <w:t xml:space="preserve"> </w:t>
      </w:r>
      <w:r>
        <w:t xml:space="preserve">“The Macroeconomic Effects of Oil Supply News: Evidence from</w:t>
      </w:r>
      <w:r>
        <w:t xml:space="preserve"> </w:t>
      </w:r>
      <w:r>
        <w:t xml:space="preserve">OPEC</w:t>
      </w:r>
      <w:r>
        <w:t xml:space="preserve"> </w:t>
      </w:r>
      <w:r>
        <w:t xml:space="preserve">Announcements.”</w:t>
      </w:r>
      <w:r>
        <w:t xml:space="preserve"> </w:t>
      </w:r>
      <w:r>
        <w:rPr>
          <w:i/>
          <w:iCs/>
        </w:rPr>
        <w:t xml:space="preserve">American Economic Review</w:t>
      </w:r>
      <w:r>
        <w:t xml:space="preserve"> </w:t>
      </w:r>
      <w:r>
        <w:t xml:space="preserve">111 (4): 1092–125.</w:t>
      </w:r>
      <w:r>
        <w:t xml:space="preserve"> </w:t>
      </w:r>
      <w:hyperlink r:id="rId136">
        <w:r>
          <w:rPr>
            <w:rStyle w:val="Hyperlink"/>
          </w:rPr>
          <w:t xml:space="preserve">https://doi.org/10.1257/aer.20190964</w:t>
        </w:r>
      </w:hyperlink>
      <w:r>
        <w:t xml:space="preserve">.</w:t>
      </w:r>
    </w:p>
    <w:bookmarkEnd w:id="137"/>
    <w:bookmarkStart w:id="139" w:name="ref-kaplan_schulhofer_2017"/>
    <w:p>
      <w:pPr>
        <w:pStyle w:val="Bibliography"/>
      </w:pPr>
      <w:r>
        <w:t xml:space="preserve">Kaplan, Greg, and Sam Schulhofer-Wohl. 2017.</w:t>
      </w:r>
      <w:r>
        <w:t xml:space="preserve"> </w:t>
      </w:r>
      <w:r>
        <w:t xml:space="preserve">“Inflation at the Household Level.”</w:t>
      </w:r>
      <w:r>
        <w:t xml:space="preserve"> </w:t>
      </w:r>
      <w:r>
        <w:rPr>
          <w:i/>
          <w:iCs/>
        </w:rPr>
        <w:t xml:space="preserve">Journal of Monetary Economics</w:t>
      </w:r>
      <w:r>
        <w:t xml:space="preserve"> </w:t>
      </w:r>
      <w:r>
        <w:t xml:space="preserve">91: 19–38.</w:t>
      </w:r>
      <w:r>
        <w:t xml:space="preserve"> </w:t>
      </w:r>
      <w:hyperlink r:id="rId138">
        <w:r>
          <w:rPr>
            <w:rStyle w:val="Hyperlink"/>
          </w:rPr>
          <w:t xml:space="preserve">https://doi.org/10.1016/j.jmoneco.2017.08.002</w:t>
        </w:r>
      </w:hyperlink>
      <w:r>
        <w:t xml:space="preserve">.</w:t>
      </w:r>
    </w:p>
    <w:bookmarkEnd w:id="139"/>
    <w:bookmarkStart w:id="141" w:name="ref-kataoka_2022"/>
    <w:p>
      <w:pPr>
        <w:pStyle w:val="Bibliography"/>
      </w:pPr>
      <w:r>
        <w:t xml:space="preserve">Kataoka, Mitsuhiko. 2022.</w:t>
      </w:r>
      <w:r>
        <w:t xml:space="preserve"> </w:t>
      </w:r>
      <w:r>
        <w:t xml:space="preserve">“Cyclical Shocks and Spatial Association of</w:t>
      </w:r>
      <w:r>
        <w:t xml:space="preserve"> </w:t>
      </w:r>
      <w:r>
        <w:t xml:space="preserve">Indonesia</w:t>
      </w:r>
      <w:r>
        <w:t xml:space="preserve">’s District-Level Per Capita Income.”</w:t>
      </w:r>
      <w:r>
        <w:t xml:space="preserve"> </w:t>
      </w:r>
      <w:r>
        <w:rPr>
          <w:i/>
          <w:iCs/>
        </w:rPr>
        <w:t xml:space="preserve">Asian Economic Journal</w:t>
      </w:r>
      <w:r>
        <w:t xml:space="preserve"> </w:t>
      </w:r>
      <w:r>
        <w:t xml:space="preserve">36 (3): 261–87.</w:t>
      </w:r>
      <w:r>
        <w:t xml:space="preserve"> </w:t>
      </w:r>
      <w:hyperlink r:id="rId140">
        <w:r>
          <w:rPr>
            <w:rStyle w:val="Hyperlink"/>
          </w:rPr>
          <w:t xml:space="preserve">https://doi.org/10.1111/asej.12277</w:t>
        </w:r>
      </w:hyperlink>
      <w:r>
        <w:t xml:space="preserve">.</w:t>
      </w:r>
    </w:p>
    <w:bookmarkEnd w:id="141"/>
    <w:bookmarkStart w:id="143" w:name="ref-kilian_2009"/>
    <w:p>
      <w:pPr>
        <w:pStyle w:val="Bibliography"/>
      </w:pPr>
      <w:r>
        <w:t xml:space="preserve">Kilian, Lutz. 2009.</w:t>
      </w:r>
      <w:r>
        <w:t xml:space="preserve"> </w:t>
      </w:r>
      <w:r>
        <w:t xml:space="preserve">“Not All Oil Price Shocks Are Alike: Disentangling Demand and Supply Shocks in the Crude Oil Market.”</w:t>
      </w:r>
      <w:r>
        <w:t xml:space="preserve"> </w:t>
      </w:r>
      <w:r>
        <w:rPr>
          <w:i/>
          <w:iCs/>
        </w:rPr>
        <w:t xml:space="preserve">American Economic Review</w:t>
      </w:r>
      <w:r>
        <w:t xml:space="preserve"> </w:t>
      </w:r>
      <w:r>
        <w:t xml:space="preserve">99 (3): 1053–69.</w:t>
      </w:r>
      <w:r>
        <w:t xml:space="preserve"> </w:t>
      </w:r>
      <w:hyperlink r:id="rId142">
        <w:r>
          <w:rPr>
            <w:rStyle w:val="Hyperlink"/>
          </w:rPr>
          <w:t xml:space="preserve">https://doi.org/10.1257/aer.99.3.1053</w:t>
        </w:r>
      </w:hyperlink>
      <w:r>
        <w:t xml:space="preserve">.</w:t>
      </w:r>
    </w:p>
    <w:bookmarkEnd w:id="143"/>
    <w:bookmarkStart w:id="145" w:name="ref-kpodar_abdallah_2017"/>
    <w:p>
      <w:pPr>
        <w:pStyle w:val="Bibliography"/>
      </w:pPr>
      <w:r>
        <w:t xml:space="preserve">Kpodar, Kangni, and Chadi Abdallah. 2017.</w:t>
      </w:r>
      <w:r>
        <w:t xml:space="preserve"> </w:t>
      </w:r>
      <w:r>
        <w:t xml:space="preserve">“Dynamic Fuel Price Pass-Through: Evidence from a New Global Retail Fuel Price Database.”</w:t>
      </w:r>
      <w:r>
        <w:t xml:space="preserve"> </w:t>
      </w:r>
      <w:r>
        <w:rPr>
          <w:i/>
          <w:iCs/>
        </w:rPr>
        <w:t xml:space="preserve">Energy Economics</w:t>
      </w:r>
      <w:r>
        <w:t xml:space="preserve"> </w:t>
      </w:r>
      <w:r>
        <w:t xml:space="preserve">66: 303–12.</w:t>
      </w:r>
      <w:r>
        <w:t xml:space="preserve"> </w:t>
      </w:r>
      <w:hyperlink r:id="rId144">
        <w:r>
          <w:rPr>
            <w:rStyle w:val="Hyperlink"/>
          </w:rPr>
          <w:t xml:space="preserve">https://doi.org/10.1016/j.eneco.2017.06.017</w:t>
        </w:r>
      </w:hyperlink>
      <w:r>
        <w:t xml:space="preserve">.</w:t>
      </w:r>
    </w:p>
    <w:bookmarkEnd w:id="145"/>
    <w:bookmarkStart w:id="147" w:name="ref-kpodar_imam_2021"/>
    <w:p>
      <w:pPr>
        <w:pStyle w:val="Bibliography"/>
      </w:pPr>
      <w:r>
        <w:t xml:space="preserve">Kpodar, Kangni, and Patrick A. Imam. 2021.</w:t>
      </w:r>
      <w:r>
        <w:t xml:space="preserve"> </w:t>
      </w:r>
      <w:r>
        <w:t xml:space="preserve">“To Pass (or Not to Pass) Through International Fuel Price Changes to Domestic Fuel Prices in Developing Countries: What Are the Drivers?”</w:t>
      </w:r>
      <w:r>
        <w:t xml:space="preserve"> </w:t>
      </w:r>
      <w:r>
        <w:rPr>
          <w:i/>
          <w:iCs/>
        </w:rPr>
        <w:t xml:space="preserve">Energy Policy</w:t>
      </w:r>
      <w:r>
        <w:t xml:space="preserve"> </w:t>
      </w:r>
      <w:r>
        <w:t xml:space="preserve">149: 111999.</w:t>
      </w:r>
      <w:r>
        <w:t xml:space="preserve"> </w:t>
      </w:r>
      <w:hyperlink r:id="rId146">
        <w:r>
          <w:rPr>
            <w:rStyle w:val="Hyperlink"/>
          </w:rPr>
          <w:t xml:space="preserve">https://doi.org/10.1016/j.enpol.2020.111999</w:t>
        </w:r>
      </w:hyperlink>
      <w:r>
        <w:t xml:space="preserve">.</w:t>
      </w:r>
    </w:p>
    <w:bookmarkEnd w:id="147"/>
    <w:bookmarkStart w:id="149" w:name="ref-kpodar_liu_2022"/>
    <w:p>
      <w:pPr>
        <w:pStyle w:val="Bibliography"/>
      </w:pPr>
      <w:r>
        <w:t xml:space="preserve">Kpodar, Kangni, and Boya Liu. 2022.</w:t>
      </w:r>
      <w:r>
        <w:t xml:space="preserve"> </w:t>
      </w:r>
      <w:r>
        <w:t xml:space="preserve">“The Distributional Implications of the Impact of Fuel Price Increases on Inflation.”</w:t>
      </w:r>
      <w:r>
        <w:t xml:space="preserve"> </w:t>
      </w:r>
      <w:r>
        <w:rPr>
          <w:i/>
          <w:iCs/>
        </w:rPr>
        <w:t xml:space="preserve">Energy Economics</w:t>
      </w:r>
      <w:r>
        <w:t xml:space="preserve"> </w:t>
      </w:r>
      <w:r>
        <w:t xml:space="preserve">108: 105909.</w:t>
      </w:r>
      <w:r>
        <w:t xml:space="preserve"> </w:t>
      </w:r>
      <w:hyperlink r:id="rId148">
        <w:r>
          <w:rPr>
            <w:rStyle w:val="Hyperlink"/>
          </w:rPr>
          <w:t xml:space="preserve">https://doi.org/10.1016/j.eneco.2022.105909</w:t>
        </w:r>
      </w:hyperlink>
      <w:r>
        <w:t xml:space="preserve">.</w:t>
      </w:r>
    </w:p>
    <w:bookmarkEnd w:id="149"/>
    <w:bookmarkStart w:id="151" w:name="ref-kurita_kurosaki_2011"/>
    <w:p>
      <w:pPr>
        <w:pStyle w:val="Bibliography"/>
      </w:pPr>
      <w:r>
        <w:t xml:space="preserve">Kurita, Kyosuke, and Takashi Kurosaki. 2011.</w:t>
      </w:r>
      <w:r>
        <w:t xml:space="preserve"> </w:t>
      </w:r>
      <w:r>
        <w:t xml:space="preserve">“Dynamics of Growth, Poverty and Inequality: A Panel Analysis of Regional Data from</w:t>
      </w:r>
      <w:r>
        <w:t xml:space="preserve"> </w:t>
      </w:r>
      <w:r>
        <w:t xml:space="preserve">Thailand</w:t>
      </w:r>
      <w:r>
        <w:t xml:space="preserve"> </w:t>
      </w:r>
      <w:r>
        <w:t xml:space="preserve">and the</w:t>
      </w:r>
      <w:r>
        <w:t xml:space="preserve"> </w:t>
      </w:r>
      <w:r>
        <w:t xml:space="preserve">Philippines</w:t>
      </w:r>
      <w:r>
        <w:t xml:space="preserve">.”</w:t>
      </w:r>
      <w:r>
        <w:t xml:space="preserve"> </w:t>
      </w:r>
      <w:r>
        <w:rPr>
          <w:i/>
          <w:iCs/>
        </w:rPr>
        <w:t xml:space="preserve">Asian Economic Journal</w:t>
      </w:r>
      <w:r>
        <w:t xml:space="preserve"> </w:t>
      </w:r>
      <w:r>
        <w:t xml:space="preserve">25 (1): 3–33.</w:t>
      </w:r>
      <w:r>
        <w:t xml:space="preserve"> </w:t>
      </w:r>
      <w:hyperlink r:id="rId150">
        <w:r>
          <w:rPr>
            <w:rStyle w:val="Hyperlink"/>
          </w:rPr>
          <w:t xml:space="preserve">https://doi.org/10.1111/j.1467-8381.2011.02046.x</w:t>
        </w:r>
      </w:hyperlink>
      <w:r>
        <w:t xml:space="preserve">.</w:t>
      </w:r>
    </w:p>
    <w:bookmarkEnd w:id="151"/>
    <w:bookmarkStart w:id="153" w:name="ref-montiel_olea_plagborg_2021"/>
    <w:p>
      <w:pPr>
        <w:pStyle w:val="Bibliography"/>
      </w:pPr>
      <w:r>
        <w:t xml:space="preserve">Montiel Olea, José Luis, and Mikkel Plagborg-Møller. 2021.</w:t>
      </w:r>
      <w:r>
        <w:t xml:space="preserve"> </w:t>
      </w:r>
      <w:r>
        <w:t xml:space="preserve">“Local Projection Inference Is Simpler and More Robust Than You Think.”</w:t>
      </w:r>
      <w:r>
        <w:t xml:space="preserve"> </w:t>
      </w:r>
      <w:r>
        <w:rPr>
          <w:i/>
          <w:iCs/>
        </w:rPr>
        <w:t xml:space="preserve">Econometrica</w:t>
      </w:r>
      <w:r>
        <w:t xml:space="preserve"> </w:t>
      </w:r>
      <w:r>
        <w:t xml:space="preserve">89 (4): 1789–823.</w:t>
      </w:r>
      <w:r>
        <w:t xml:space="preserve"> </w:t>
      </w:r>
      <w:hyperlink r:id="rId152">
        <w:r>
          <w:rPr>
            <w:rStyle w:val="Hyperlink"/>
          </w:rPr>
          <w:t xml:space="preserve">https://doi.org/10.3982/ECTA18756</w:t>
        </w:r>
      </w:hyperlink>
      <w:r>
        <w:t xml:space="preserve">.</w:t>
      </w:r>
    </w:p>
    <w:bookmarkEnd w:id="153"/>
    <w:bookmarkStart w:id="155" w:name="ref-newey_west_1987"/>
    <w:p>
      <w:pPr>
        <w:pStyle w:val="Bibliography"/>
      </w:pPr>
      <w:r>
        <w:t xml:space="preserve">Newey, Whitney K., and Kenneth D. West. 1987.</w:t>
      </w:r>
      <w:r>
        <w:t xml:space="preserve"> </w:t>
      </w:r>
      <w:r>
        <w:t xml:space="preserve">“A Simple, Positive Semi-Definite, Heteroskedasticity and Autocorrelation Consistent Covariance Matrix.”</w:t>
      </w:r>
      <w:r>
        <w:t xml:space="preserve"> </w:t>
      </w:r>
      <w:r>
        <w:rPr>
          <w:i/>
          <w:iCs/>
        </w:rPr>
        <w:t xml:space="preserve">Econometrica</w:t>
      </w:r>
      <w:r>
        <w:t xml:space="preserve"> </w:t>
      </w:r>
      <w:r>
        <w:t xml:space="preserve">55 (3): 703–8.</w:t>
      </w:r>
      <w:r>
        <w:t xml:space="preserve"> </w:t>
      </w:r>
      <w:hyperlink r:id="rId154">
        <w:r>
          <w:rPr>
            <w:rStyle w:val="Hyperlink"/>
          </w:rPr>
          <w:t xml:space="preserve">https://doi.org/10.2307/1913610</w:t>
        </w:r>
      </w:hyperlink>
      <w:r>
        <w:t xml:space="preserve">.</w:t>
      </w:r>
    </w:p>
    <w:bookmarkEnd w:id="155"/>
    <w:bookmarkStart w:id="157" w:name="ref-pagaduan_2022"/>
    <w:p>
      <w:pPr>
        <w:pStyle w:val="Bibliography"/>
      </w:pPr>
      <w:r>
        <w:t xml:space="preserve">Pagaduan, James Agustin. 2022.</w:t>
      </w:r>
      <w:r>
        <w:t xml:space="preserve"> </w:t>
      </w:r>
      <w:r>
        <w:t xml:space="preserve">“Do Higher-Quality Nighttime Lights and Net Primary Productivity Predict Subnational</w:t>
      </w:r>
      <w:r>
        <w:t xml:space="preserve"> </w:t>
      </w:r>
      <w:r>
        <w:t xml:space="preserve">GDP</w:t>
      </w:r>
      <w:r>
        <w:t xml:space="preserve"> </w:t>
      </w:r>
      <w:r>
        <w:t xml:space="preserve">in Developing Countries? Evidence from the</w:t>
      </w:r>
      <w:r>
        <w:t xml:space="preserve"> </w:t>
      </w:r>
      <w:r>
        <w:t xml:space="preserve">Philippines</w:t>
      </w:r>
      <w:r>
        <w:t xml:space="preserve">.”</w:t>
      </w:r>
      <w:r>
        <w:t xml:space="preserve"> </w:t>
      </w:r>
      <w:r>
        <w:rPr>
          <w:i/>
          <w:iCs/>
        </w:rPr>
        <w:t xml:space="preserve">Asian Economic Journal</w:t>
      </w:r>
      <w:r>
        <w:t xml:space="preserve"> </w:t>
      </w:r>
      <w:r>
        <w:t xml:space="preserve">36 (3): 288–317.</w:t>
      </w:r>
      <w:r>
        <w:t xml:space="preserve"> </w:t>
      </w:r>
      <w:hyperlink r:id="rId156">
        <w:r>
          <w:rPr>
            <w:rStyle w:val="Hyperlink"/>
          </w:rPr>
          <w:t xml:space="preserve">https://doi.org/10.1111/asej.12278</w:t>
        </w:r>
      </w:hyperlink>
      <w:r>
        <w:t xml:space="preserve">.</w:t>
      </w:r>
    </w:p>
    <w:bookmarkEnd w:id="157"/>
    <w:bookmarkStart w:id="159" w:name="ref-psa_openstat_2026"/>
    <w:p>
      <w:pPr>
        <w:pStyle w:val="Bibliography"/>
      </w:pPr>
      <w:r>
        <w:t xml:space="preserve">Philippine Statistics Authority. 2026.</w:t>
      </w:r>
      <w:r>
        <w:t xml:space="preserve"> </w:t>
      </w:r>
      <w:r>
        <w:rPr>
          <w:i/>
          <w:iCs/>
        </w:rPr>
        <w:t xml:space="preserve">OpenSTAT</w:t>
      </w:r>
      <w:r>
        <w:rPr>
          <w:i/>
          <w:iCs/>
        </w:rPr>
        <w:t xml:space="preserve">: Consumer Price Index for All Income Households and for the Bottom 30% Income Households (2018=100), and Official Poverty Statistics</w:t>
      </w:r>
      <w:r>
        <w:t xml:space="preserve">.</w:t>
      </w:r>
      <w:r>
        <w:t xml:space="preserve"> </w:t>
      </w:r>
      <w:hyperlink r:id="rId158">
        <w:r>
          <w:rPr>
            <w:rStyle w:val="Hyperlink"/>
          </w:rPr>
          <w:t xml:space="preserve">Https://openstat.psa.gov.ph</w:t>
        </w:r>
      </w:hyperlink>
      <w:r>
        <w:t xml:space="preserve">.</w:t>
      </w:r>
    </w:p>
    <w:bookmarkEnd w:id="159"/>
    <w:bookmarkStart w:id="161" w:name="ref-plagborg_wolf_2021"/>
    <w:p>
      <w:pPr>
        <w:pStyle w:val="Bibliography"/>
      </w:pPr>
      <w:r>
        <w:t xml:space="preserve">Plagborg-Møller, Mikkel, and Christian K. Wolf. 2021.</w:t>
      </w:r>
      <w:r>
        <w:t xml:space="preserve"> </w:t>
      </w:r>
      <w:r>
        <w:t xml:space="preserve">“Local Projections and</w:t>
      </w:r>
      <w:r>
        <w:t xml:space="preserve"> </w:t>
      </w:r>
      <w:r>
        <w:t xml:space="preserve">VARs</w:t>
      </w:r>
      <w:r>
        <w:t xml:space="preserve"> </w:t>
      </w:r>
      <w:r>
        <w:t xml:space="preserve">Estimate the Same Impulse Responses.”</w:t>
      </w:r>
      <w:r>
        <w:t xml:space="preserve"> </w:t>
      </w:r>
      <w:r>
        <w:rPr>
          <w:i/>
          <w:iCs/>
        </w:rPr>
        <w:t xml:space="preserve">Econometrica</w:t>
      </w:r>
      <w:r>
        <w:t xml:space="preserve"> </w:t>
      </w:r>
      <w:r>
        <w:t xml:space="preserve">89 (2): 955–80.</w:t>
      </w:r>
      <w:r>
        <w:t xml:space="preserve"> </w:t>
      </w:r>
      <w:hyperlink r:id="rId160">
        <w:r>
          <w:rPr>
            <w:rStyle w:val="Hyperlink"/>
          </w:rPr>
          <w:t xml:space="preserve">https://doi.org/10.3982/ECTA17813</w:t>
        </w:r>
      </w:hyperlink>
      <w:r>
        <w:t xml:space="preserve">.</w:t>
      </w:r>
    </w:p>
    <w:bookmarkEnd w:id="161"/>
    <w:bookmarkStart w:id="163" w:name="ref-ra12316_2026"/>
    <w:p>
      <w:pPr>
        <w:pStyle w:val="Bibliography"/>
      </w:pPr>
      <w:r>
        <w:t xml:space="preserve">Republic of the Philippines. 2026.</w:t>
      </w:r>
      <w:r>
        <w:t xml:space="preserve"> </w:t>
      </w:r>
      <w:r>
        <w:rPr>
          <w:i/>
          <w:iCs/>
        </w:rPr>
        <w:t xml:space="preserve">Republic Act No. 12316: An Act Authorizing the President to Suspend or Reduce Excise Tax on Petroleum Products, Amending for the Purpose Section 148 of the National Internal Revenue Code of 1997, as Amended</w:t>
      </w:r>
      <w:r>
        <w:t xml:space="preserve">.</w:t>
      </w:r>
      <w:r>
        <w:t xml:space="preserve"> </w:t>
      </w:r>
      <w:hyperlink r:id="rId162">
        <w:r>
          <w:rPr>
            <w:rStyle w:val="Hyperlink"/>
          </w:rPr>
          <w:t xml:space="preserve">Https://lawphil.net/statutes/repacts/ra2026/ra_12316_2026.html</w:t>
        </w:r>
      </w:hyperlink>
      <w:r>
        <w:t xml:space="preserve">.</w:t>
      </w:r>
    </w:p>
    <w:bookmarkEnd w:id="163"/>
    <w:bookmarkStart w:id="165" w:name="ref-satriawan_shrestha_2018"/>
    <w:p>
      <w:pPr>
        <w:pStyle w:val="Bibliography"/>
      </w:pPr>
      <w:r>
        <w:t xml:space="preserve">Satriawan, Elan, and Ranjan Shrestha. 2018.</w:t>
      </w:r>
      <w:r>
        <w:t xml:space="preserve"> </w:t>
      </w:r>
      <w:r>
        <w:t xml:space="preserve">“Mistargeting and Regressive Take up of the</w:t>
      </w:r>
      <w:r>
        <w:t xml:space="preserve"> </w:t>
      </w:r>
      <w:r>
        <w:t xml:space="preserve">Indonesian</w:t>
      </w:r>
      <w:r>
        <w:t xml:space="preserve"> </w:t>
      </w:r>
      <w:r>
        <w:t xml:space="preserve">Rice Subsidy Program.”</w:t>
      </w:r>
      <w:r>
        <w:t xml:space="preserve"> </w:t>
      </w:r>
      <w:r>
        <w:rPr>
          <w:i/>
          <w:iCs/>
        </w:rPr>
        <w:t xml:space="preserve">Asian Economic Journal</w:t>
      </w:r>
      <w:r>
        <w:t xml:space="preserve"> </w:t>
      </w:r>
      <w:r>
        <w:t xml:space="preserve">32 (4): 387–415.</w:t>
      </w:r>
      <w:r>
        <w:t xml:space="preserve"> </w:t>
      </w:r>
      <w:hyperlink r:id="rId164">
        <w:r>
          <w:rPr>
            <w:rStyle w:val="Hyperlink"/>
          </w:rPr>
          <w:t xml:space="preserve">https://doi.org/10.1111/asej.12164</w:t>
        </w:r>
      </w:hyperlink>
      <w:r>
        <w:t xml:space="preserve">.</w:t>
      </w:r>
    </w:p>
    <w:bookmarkEnd w:id="165"/>
    <w:bookmarkStart w:id="167" w:name="ref-siddig_etal_2014"/>
    <w:p>
      <w:pPr>
        <w:pStyle w:val="Bibliography"/>
      </w:pPr>
      <w:r>
        <w:t xml:space="preserve">Siddig, Khalid, Angel Aguiar, Harald Grethe, Peter Minor, and Terrie Walmsley. 2014.</w:t>
      </w:r>
      <w:r>
        <w:t xml:space="preserve"> </w:t>
      </w:r>
      <w:r>
        <w:t xml:space="preserve">“Impacts of Removing Fuel Import Subsidies in</w:t>
      </w:r>
      <w:r>
        <w:t xml:space="preserve"> </w:t>
      </w:r>
      <w:r>
        <w:t xml:space="preserve">Nigeria</w:t>
      </w:r>
      <w:r>
        <w:t xml:space="preserve"> </w:t>
      </w:r>
      <w:r>
        <w:t xml:space="preserve">on Poverty.”</w:t>
      </w:r>
      <w:r>
        <w:t xml:space="preserve"> </w:t>
      </w:r>
      <w:r>
        <w:rPr>
          <w:i/>
          <w:iCs/>
        </w:rPr>
        <w:t xml:space="preserve">Energy Policy</w:t>
      </w:r>
      <w:r>
        <w:t xml:space="preserve"> </w:t>
      </w:r>
      <w:r>
        <w:t xml:space="preserve">69: 165–78.</w:t>
      </w:r>
      <w:r>
        <w:t xml:space="preserve"> </w:t>
      </w:r>
      <w:hyperlink r:id="rId166">
        <w:r>
          <w:rPr>
            <w:rStyle w:val="Hyperlink"/>
          </w:rPr>
          <w:t xml:space="preserve">https://doi.org/10.1016/j.enpol.2014.02.006</w:t>
        </w:r>
      </w:hyperlink>
      <w:r>
        <w:t xml:space="preserve">.</w:t>
      </w:r>
    </w:p>
    <w:bookmarkEnd w:id="167"/>
    <w:bookmarkStart w:id="169" w:name="ref-soile_mu_2015"/>
    <w:p>
      <w:pPr>
        <w:pStyle w:val="Bibliography"/>
      </w:pPr>
      <w:r>
        <w:t xml:space="preserve">Soile, Ismail, and Xiaoyi Mu. 2015.</w:t>
      </w:r>
      <w:r>
        <w:t xml:space="preserve"> </w:t>
      </w:r>
      <w:r>
        <w:t xml:space="preserve">“Who Benefit Most from Fuel Subsidies? Evidence from</w:t>
      </w:r>
      <w:r>
        <w:t xml:space="preserve"> </w:t>
      </w:r>
      <w:r>
        <w:t xml:space="preserve">Nigeria</w:t>
      </w:r>
      <w:r>
        <w:t xml:space="preserve">.”</w:t>
      </w:r>
      <w:r>
        <w:t xml:space="preserve"> </w:t>
      </w:r>
      <w:r>
        <w:rPr>
          <w:i/>
          <w:iCs/>
        </w:rPr>
        <w:t xml:space="preserve">Energy Policy</w:t>
      </w:r>
      <w:r>
        <w:t xml:space="preserve"> </w:t>
      </w:r>
      <w:r>
        <w:t xml:space="preserve">87: 314–24.</w:t>
      </w:r>
      <w:r>
        <w:t xml:space="preserve"> </w:t>
      </w:r>
      <w:hyperlink r:id="rId168">
        <w:r>
          <w:rPr>
            <w:rStyle w:val="Hyperlink"/>
          </w:rPr>
          <w:t xml:space="preserve">https://doi.org/10.1016/j.enpol.2015.09.018</w:t>
        </w:r>
      </w:hyperlink>
      <w:r>
        <w:t xml:space="preserve">.</w:t>
      </w:r>
    </w:p>
    <w:bookmarkEnd w:id="169"/>
    <w:bookmarkStart w:id="171" w:name="ref-taguchi_sohn_2014"/>
    <w:p>
      <w:pPr>
        <w:pStyle w:val="Bibliography"/>
      </w:pPr>
      <w:r>
        <w:t xml:space="preserve">Taguchi, Hiroyuki, and Wook Sohn. 2014.</w:t>
      </w:r>
      <w:r>
        <w:t xml:space="preserve"> </w:t>
      </w:r>
      <w:r>
        <w:t xml:space="preserve">“Inflation Targeting and the Pass-Through Rate in</w:t>
      </w:r>
      <w:r>
        <w:t xml:space="preserve"> </w:t>
      </w:r>
      <w:r>
        <w:t xml:space="preserve">East Asian</w:t>
      </w:r>
      <w:r>
        <w:t xml:space="preserve"> </w:t>
      </w:r>
      <w:r>
        <w:t xml:space="preserve">Economies.”</w:t>
      </w:r>
      <w:r>
        <w:t xml:space="preserve"> </w:t>
      </w:r>
      <w:r>
        <w:rPr>
          <w:i/>
          <w:iCs/>
        </w:rPr>
        <w:t xml:space="preserve">Asian Economic Journal</w:t>
      </w:r>
      <w:r>
        <w:t xml:space="preserve"> </w:t>
      </w:r>
      <w:r>
        <w:t xml:space="preserve">28 (2): 139–59.</w:t>
      </w:r>
      <w:r>
        <w:t xml:space="preserve"> </w:t>
      </w:r>
      <w:hyperlink r:id="rId170">
        <w:r>
          <w:rPr>
            <w:rStyle w:val="Hyperlink"/>
          </w:rPr>
          <w:t xml:space="preserve">https://doi.org/10.1111/asej.12029</w:t>
        </w:r>
      </w:hyperlink>
      <w:r>
        <w:t xml:space="preserve">.</w:t>
      </w:r>
    </w:p>
    <w:bookmarkEnd w:id="171"/>
    <w:bookmarkStart w:id="173" w:name="ref-teulings_zubanov_2014"/>
    <w:p>
      <w:pPr>
        <w:pStyle w:val="Bibliography"/>
      </w:pPr>
      <w:r>
        <w:t xml:space="preserve">Teulings, Coen N., and Nikolay Zubanov. 2014.</w:t>
      </w:r>
      <w:r>
        <w:t xml:space="preserve"> </w:t>
      </w:r>
      <w:r>
        <w:t xml:space="preserve">“Is Economic Recovery a Myth? Robust Estimation of Impulse Responses.”</w:t>
      </w:r>
      <w:r>
        <w:t xml:space="preserve"> </w:t>
      </w:r>
      <w:r>
        <w:rPr>
          <w:i/>
          <w:iCs/>
        </w:rPr>
        <w:t xml:space="preserve">Journal of Applied Econometrics</w:t>
      </w:r>
      <w:r>
        <w:t xml:space="preserve"> </w:t>
      </w:r>
      <w:r>
        <w:t xml:space="preserve">29 (3): 497–514.</w:t>
      </w:r>
      <w:r>
        <w:t xml:space="preserve"> </w:t>
      </w:r>
      <w:hyperlink r:id="rId172">
        <w:r>
          <w:rPr>
            <w:rStyle w:val="Hyperlink"/>
          </w:rPr>
          <w:t xml:space="preserve">https://doi.org/10.1002/jae.2333</w:t>
        </w:r>
      </w:hyperlink>
      <w:r>
        <w:t xml:space="preserve">.</w:t>
      </w:r>
    </w:p>
    <w:bookmarkEnd w:id="173"/>
    <w:bookmarkStart w:id="175" w:name="ref-timmer_dawe_2007"/>
    <w:p>
      <w:pPr>
        <w:pStyle w:val="Bibliography"/>
      </w:pPr>
      <w:r>
        <w:t xml:space="preserve">Timmer, C. Peter, and David Dawe. 2007.</w:t>
      </w:r>
      <w:r>
        <w:t xml:space="preserve"> </w:t>
      </w:r>
      <w:r>
        <w:t xml:space="preserve">“Managing Food Price Instability in</w:t>
      </w:r>
      <w:r>
        <w:t xml:space="preserve"> </w:t>
      </w:r>
      <w:r>
        <w:t xml:space="preserve">Asia</w:t>
      </w:r>
      <w:r>
        <w:t xml:space="preserve">: A Macro Food Security Perspective.”</w:t>
      </w:r>
      <w:r>
        <w:t xml:space="preserve"> </w:t>
      </w:r>
      <w:r>
        <w:rPr>
          <w:i/>
          <w:iCs/>
        </w:rPr>
        <w:t xml:space="preserve">Asian Economic Journal</w:t>
      </w:r>
      <w:r>
        <w:t xml:space="preserve"> </w:t>
      </w:r>
      <w:r>
        <w:t xml:space="preserve">21 (1): 1–18.</w:t>
      </w:r>
      <w:r>
        <w:t xml:space="preserve"> </w:t>
      </w:r>
      <w:hyperlink r:id="rId174">
        <w:r>
          <w:rPr>
            <w:rStyle w:val="Hyperlink"/>
          </w:rPr>
          <w:t xml:space="preserve">https://doi.org/10.1111/j.1467-8381.2007.00244.x</w:t>
        </w:r>
      </w:hyperlink>
      <w:r>
        <w:t xml:space="preserve">.</w:t>
      </w:r>
    </w:p>
    <w:bookmarkEnd w:id="175"/>
    <w:bookmarkStart w:id="176" w:name="ref-usda_fas_2026"/>
    <w:p>
      <w:pPr>
        <w:pStyle w:val="Bibliography"/>
      </w:pPr>
      <w:r>
        <w:t xml:space="preserve">USDA Foreign Agricultural Service. 2026.</w:t>
      </w:r>
      <w:r>
        <w:t xml:space="preserve"> </w:t>
      </w:r>
      <w:r>
        <w:rPr>
          <w:i/>
          <w:iCs/>
        </w:rPr>
        <w:t xml:space="preserve">Philippines: Grain and Feed Annual</w:t>
      </w:r>
      <w:r>
        <w:t xml:space="preserve">. Nos. RP2026-0007. GAIN Report RP2026-0007, Manila.</w:t>
      </w:r>
    </w:p>
    <w:bookmarkEnd w:id="176"/>
    <w:bookmarkStart w:id="177" w:name="ref-valera_etal_2025"/>
    <w:p>
      <w:pPr>
        <w:pStyle w:val="Bibliography"/>
      </w:pPr>
      <w:r>
        <w:t xml:space="preserve">Valera, Harold Glenn, Mark Holmes, and Vic Delloro. 2025.</w:t>
      </w:r>
      <w:r>
        <w:t xml:space="preserve"> </w:t>
      </w:r>
      <w:r>
        <w:rPr>
          <w:i/>
          <w:iCs/>
        </w:rPr>
        <w:t xml:space="preserve">The Changing Effect of Energy and Rice Prices and Remittances on Overall Inflation in Emerging Markets: Evidence from the</w:t>
      </w:r>
      <w:r>
        <w:rPr>
          <w:i/>
          <w:iCs/>
        </w:rPr>
        <w:t xml:space="preserve"> </w:t>
      </w:r>
      <w:r>
        <w:rPr>
          <w:i/>
          <w:iCs/>
        </w:rPr>
        <w:t xml:space="preserve">Philippines</w:t>
      </w:r>
      <w:r>
        <w:t xml:space="preserve">. BSP Discussion Paper Nos. 2025-02. Bangko Sentral ng Pilipinas.</w:t>
      </w:r>
    </w:p>
    <w:bookmarkEnd w:id="177"/>
    <w:bookmarkStart w:id="179" w:name="ref-warr_etal_2018"/>
    <w:p>
      <w:pPr>
        <w:pStyle w:val="Bibliography"/>
      </w:pPr>
      <w:r>
        <w:t xml:space="preserve">Warr, Peter, Sitthiroth Rasphone, and Jayant Menon. 2018.</w:t>
      </w:r>
      <w:r>
        <w:t xml:space="preserve"> </w:t>
      </w:r>
      <w:r>
        <w:t xml:space="preserve">“Two Decades of Declining Poverty but Rising Inequality in</w:t>
      </w:r>
      <w:r>
        <w:t xml:space="preserve"> </w:t>
      </w:r>
      <w:r>
        <w:t xml:space="preserve">Laos</w:t>
      </w:r>
      <w:r>
        <w:t xml:space="preserve">.”</w:t>
      </w:r>
      <w:r>
        <w:t xml:space="preserve"> </w:t>
      </w:r>
      <w:r>
        <w:rPr>
          <w:i/>
          <w:iCs/>
        </w:rPr>
        <w:t xml:space="preserve">Asian Economic Journal</w:t>
      </w:r>
      <w:r>
        <w:t xml:space="preserve"> </w:t>
      </w:r>
      <w:r>
        <w:t xml:space="preserve">32 (2): 165–85.</w:t>
      </w:r>
      <w:r>
        <w:t xml:space="preserve"> </w:t>
      </w:r>
      <w:hyperlink r:id="rId178">
        <w:r>
          <w:rPr>
            <w:rStyle w:val="Hyperlink"/>
          </w:rPr>
          <w:t xml:space="preserve">https://doi.org/10.1111/asej.12147</w:t>
        </w:r>
      </w:hyperlink>
      <w:r>
        <w:t xml:space="preserve">.</w:t>
      </w:r>
    </w:p>
    <w:bookmarkEnd w:id="179"/>
    <w:bookmarkStart w:id="181" w:name="ref-wihardja_pradana_2024"/>
    <w:p>
      <w:pPr>
        <w:pStyle w:val="Bibliography"/>
      </w:pPr>
      <w:r>
        <w:t xml:space="preserve">Wihardja, Maria Monica, and Wisnu Harto Adi Wijoyo Pradana. 2024.</w:t>
      </w:r>
      <w:r>
        <w:t xml:space="preserve"> </w:t>
      </w:r>
      <w:r>
        <w:t xml:space="preserve">“Examining the Drivers of Changes in Mean Earnings and Earnings Inequality in</w:t>
      </w:r>
      <w:r>
        <w:t xml:space="preserve"> </w:t>
      </w:r>
      <w:r>
        <w:t xml:space="preserve">Indonesia</w:t>
      </w:r>
      <w:r>
        <w:t xml:space="preserve">.”</w:t>
      </w:r>
      <w:r>
        <w:t xml:space="preserve"> </w:t>
      </w:r>
      <w:r>
        <w:rPr>
          <w:i/>
          <w:iCs/>
        </w:rPr>
        <w:t xml:space="preserve">Asian Economic Journal</w:t>
      </w:r>
      <w:r>
        <w:t xml:space="preserve"> </w:t>
      </w:r>
      <w:r>
        <w:t xml:space="preserve">38 (2): 232–55.</w:t>
      </w:r>
      <w:r>
        <w:t xml:space="preserve"> </w:t>
      </w:r>
      <w:hyperlink r:id="rId180">
        <w:r>
          <w:rPr>
            <w:rStyle w:val="Hyperlink"/>
          </w:rPr>
          <w:t xml:space="preserve">https://doi.org/10.1111/asej.12332</w:t>
        </w:r>
      </w:hyperlink>
      <w:r>
        <w:t xml:space="preserve">.</w:t>
      </w:r>
    </w:p>
    <w:bookmarkEnd w:id="181"/>
    <w:bookmarkStart w:id="183" w:name="ref-worldbank_gfpd_2025"/>
    <w:p>
      <w:pPr>
        <w:pStyle w:val="Bibliography"/>
      </w:pPr>
      <w:r>
        <w:t xml:space="preserve">World Bank. 2025.</w:t>
      </w:r>
      <w:r>
        <w:t xml:space="preserve"> </w:t>
      </w:r>
      <w:r>
        <w:rPr>
          <w:i/>
          <w:iCs/>
        </w:rPr>
        <w:t xml:space="preserve">Global Fuel Prices Database, Version April 2025</w:t>
      </w:r>
      <w:r>
        <w:t xml:space="preserve">.</w:t>
      </w:r>
      <w:r>
        <w:t xml:space="preserve"> </w:t>
      </w:r>
      <w:hyperlink r:id="rId182">
        <w:r>
          <w:rPr>
            <w:rStyle w:val="Hyperlink"/>
          </w:rPr>
          <w:t xml:space="preserve">Https://datacatalog.worldbank.org/search/dataset/0066829/global-fuel-prices-database</w:t>
        </w:r>
      </w:hyperlink>
      <w:r>
        <w:t xml:space="preserve">.</w:t>
      </w:r>
    </w:p>
    <w:bookmarkEnd w:id="183"/>
    <w:bookmarkStart w:id="185" w:name="ref-worldbank_cmo_2026"/>
    <w:p>
      <w:pPr>
        <w:pStyle w:val="Bibliography"/>
      </w:pPr>
      <w:r>
        <w:t xml:space="preserve">World Bank. 2026.</w:t>
      </w:r>
      <w:r>
        <w:t xml:space="preserve"> </w:t>
      </w:r>
      <w:r>
        <w:rPr>
          <w:i/>
          <w:iCs/>
        </w:rPr>
        <w:t xml:space="preserve">Commodity Price Data (the Pink Sheet), Monthly Historical Data</w:t>
      </w:r>
      <w:r>
        <w:t xml:space="preserve">.</w:t>
      </w:r>
      <w:r>
        <w:t xml:space="preserve"> </w:t>
      </w:r>
      <w:hyperlink r:id="rId184">
        <w:r>
          <w:rPr>
            <w:rStyle w:val="Hyperlink"/>
          </w:rPr>
          <w:t xml:space="preserve">Https://www.worldbank.org/en/research/commodity-markets</w:t>
        </w:r>
      </w:hyperlink>
      <w:r>
        <w:t xml:space="preserve">.</w:t>
      </w:r>
    </w:p>
    <w:bookmarkEnd w:id="185"/>
    <w:bookmarkEnd w:id="186"/>
    <w:bookmarkEnd w:id="187"/>
    <w:bookmarkStart w:id="214" w:name="appendix-a.-data-appendix"/>
    <w:p>
      <w:pPr>
        <w:pStyle w:val="Heading1"/>
      </w:pPr>
      <w:r>
        <w:t xml:space="preserve">Appendix A. Data appendix</w:t>
      </w:r>
    </w:p>
    <w:p>
      <w:pPr>
        <w:pStyle w:val="FirstParagraph"/>
      </w:pPr>
      <w:r>
        <w:t xml:space="preserve">This appendix gives everything needed to reproduce each figure and table in this paper. Section A.1 explains how to rebuild the results. Section A.2 lists every data source with its link. Section A.3 maps each figure and table to its sources, the script that computes it and the output file it is drawn from.</w:t>
      </w:r>
    </w:p>
    <w:bookmarkStart w:id="189" w:name="a.1-how-to-reproduce-the-results"/>
    <w:p>
      <w:pPr>
        <w:pStyle w:val="Heading2"/>
      </w:pPr>
      <w:r>
        <w:t xml:space="preserve">A.1 How to reproduce the results</w:t>
      </w:r>
    </w:p>
    <w:p>
      <w:pPr>
        <w:pStyle w:val="FirstParagraph"/>
      </w:pPr>
      <w:r>
        <w:t xml:space="preserve">All data are public, and all processing is done by scripts. Nothing is copied or typed by hand. The replication package contains the raw files exactly as downloaded, with a source log; the code; the decision log; and the output tables and figures. The repository is</w:t>
      </w:r>
      <w:r>
        <w:t xml:space="preserve"> </w:t>
      </w:r>
      <w:hyperlink r:id="rId188">
        <w:r>
          <w:rPr>
            <w:rStyle w:val="Hyperlink"/>
          </w:rPr>
          <w:t xml:space="preserve">https://github.com/liancataytayjk-coder/oil-shock-distribution</w:t>
        </w:r>
      </w:hyperlink>
      <w:r>
        <w:t xml:space="preserve">, branch</w:t>
      </w:r>
      <w:r>
        <w:t xml:space="preserve"> </w:t>
      </w:r>
      <w:r>
        <w:rPr>
          <w:rStyle w:val="VerbatimChar"/>
        </w:rPr>
        <w:t xml:space="preserve">claude/bold-hamilton-0ixcim</w:t>
      </w:r>
      <w:r>
        <w:t xml:space="preserve">, also supplied as a zip file with this paper.</w:t>
      </w:r>
    </w:p>
    <w:p>
      <w:pPr>
        <w:pStyle w:val="BodyText"/>
      </w:pPr>
      <w:r>
        <w:t xml:space="preserve">The package needs Python 3.11 and the packages listed in</w:t>
      </w:r>
      <w:r>
        <w:t xml:space="preserve"> </w:t>
      </w:r>
      <w:r>
        <w:rPr>
          <w:rStyle w:val="VerbatimChar"/>
        </w:rPr>
        <w:t xml:space="preserve">requirements.txt</w:t>
      </w:r>
      <w:r>
        <w:t xml:space="preserve">. With these installed, the command</w:t>
      </w:r>
      <w:r>
        <w:t xml:space="preserve"> </w:t>
      </w:r>
      <w:r>
        <w:rPr>
          <w:rStyle w:val="VerbatimChar"/>
        </w:rPr>
        <w:t xml:space="preserve">./run_all.sh</w:t>
      </w:r>
      <w:r>
        <w:t xml:space="preserve"> </w:t>
      </w:r>
      <w:r>
        <w:t xml:space="preserve">rebuilds everything from the stored raw files. In order, it cleans the data, builds the national and regional panel, runs the EU replication test, estimates the models, runs the 2026 analysis and the descriptive statistics, draws the figures, writes the documents and runs the automated tests.</w:t>
      </w:r>
      <w:r>
        <w:t xml:space="preserve"> </w:t>
      </w:r>
      <w:r>
        <w:t xml:space="preserve">To download fresh copies of the PSA tables first, run</w:t>
      </w:r>
      <w:r>
        <w:t xml:space="preserve"> </w:t>
      </w:r>
      <w:r>
        <w:rPr>
          <w:rStyle w:val="VerbatimChar"/>
        </w:rPr>
        <w:t xml:space="preserve">./run_all.sh --download</w:t>
      </w:r>
      <w:r>
        <w:t xml:space="preserve">.</w:t>
      </w:r>
    </w:p>
    <w:p>
      <w:pPr>
        <w:pStyle w:val="BodyText"/>
      </w:pPr>
      <w:r>
        <w:t xml:space="preserve">Each raw file is listed in</w:t>
      </w:r>
      <w:r>
        <w:t xml:space="preserve"> </w:t>
      </w:r>
      <w:r>
        <w:rPr>
          <w:rStyle w:val="VerbatimChar"/>
        </w:rPr>
        <w:t xml:space="preserve">data/raw/source_log.md</w:t>
      </w:r>
      <w:r>
        <w:t xml:space="preserve"> </w:t>
      </w:r>
      <w:r>
        <w:t xml:space="preserve">with its URL, download date, base year and coverage. All files were downloaded on 4 October 2026.</w:t>
      </w:r>
    </w:p>
    <w:p>
      <w:pPr>
        <w:pStyle w:val="BodyText"/>
      </w:pPr>
      <w:r>
        <w:t xml:space="preserve">PSA OpenSTAT tables are read through the PxWeb interface, using the table addresses below. Opening an address in a browser returns the table’s description. The script</w:t>
      </w:r>
      <w:r>
        <w:t xml:space="preserve"> </w:t>
      </w:r>
      <w:r>
        <w:rPr>
          <w:rStyle w:val="VerbatimChar"/>
        </w:rPr>
        <w:t xml:space="preserve">scripts/01_download_psa.py</w:t>
      </w:r>
      <w:r>
        <w:t xml:space="preserve"> </w:t>
      </w:r>
      <w:r>
        <w:t xml:space="preserve">sends the query that returns the data, one geography at a time. The same tables can be viewed by hand on the OpenSTAT website (</w:t>
      </w:r>
      <w:hyperlink r:id="rId158">
        <w:r>
          <w:rPr>
            <w:rStyle w:val="Hyperlink"/>
          </w:rPr>
          <w:t xml:space="preserve">https://openstat.psa.gov.ph</w:t>
        </w:r>
      </w:hyperlink>
      <w:r>
        <w:t xml:space="preserve">), under</w:t>
      </w:r>
      <w:r>
        <w:t xml:space="preserve"> </w:t>
      </w:r>
      <w:r>
        <w:rPr>
          <w:i/>
          <w:iCs/>
        </w:rPr>
        <w:t xml:space="preserve">Economic Indices → Prices → Consumer Price Index</w:t>
      </w:r>
      <w:r>
        <w:t xml:space="preserve">.</w:t>
      </w:r>
    </w:p>
    <w:bookmarkEnd w:id="189"/>
    <w:bookmarkStart w:id="212" w:name="a.2-data-sources"/>
    <w:p>
      <w:pPr>
        <w:pStyle w:val="Heading2"/>
      </w:pPr>
      <w:r>
        <w:t xml:space="preserve">A.2 Data sources</w:t>
      </w:r>
    </w:p>
    <w:p>
      <w:pPr>
        <w:pStyle w:val="FirstParagraph"/>
      </w:pPr>
      <w:r>
        <w:rPr>
          <w:b/>
          <w:bCs/>
        </w:rPr>
        <w:t xml:space="preserve">S1. PSA, CPI for all income households, 2018 = 100, old geographic code (17 regions).</w:t>
      </w:r>
      <w:r>
        <w:t xml:space="preserve"> </w:t>
      </w:r>
      <w:r>
        <w:t xml:space="preserve">We use this source for all items and all commodity groups, national and regional; the fuel price index, sub-index 07.2.2 (fuels and lubricants for personal transport equipment); and the basket weights.</w:t>
      </w:r>
      <w:r>
        <w:t xml:space="preserve"> </w:t>
      </w:r>
      <w:r>
        <w:t xml:space="preserve">The tables are listed below.</w:t>
      </w:r>
    </w:p>
    <w:p>
      <w:pPr>
        <w:pStyle w:val="BodyText"/>
      </w:pPr>
      <w:r>
        <w:rPr>
          <w:i/>
          <w:iCs/>
        </w:rPr>
        <w:t xml:space="preserve">Backcast, Jan 1994–Dec 2017:</w:t>
      </w:r>
      <w:r>
        <w:t xml:space="preserve"> </w:t>
      </w:r>
      <w:hyperlink r:id="rId190">
        <w:r>
          <w:rPr>
            <w:rStyle w:val="Hyperlink"/>
          </w:rPr>
          <w:t xml:space="preserve">https://openstat.psa.gov.ph/PXWeb/api/v1/en/DB/2M/PI/CPI/2018/0012M4ACP15.px</w:t>
        </w:r>
      </w:hyperlink>
    </w:p>
    <w:p>
      <w:pPr>
        <w:pStyle w:val="BodyText"/>
      </w:pPr>
      <w:r>
        <w:rPr>
          <w:i/>
          <w:iCs/>
        </w:rPr>
        <w:t xml:space="preserve">Jan 2018–Dec 2025:</w:t>
      </w:r>
      <w:r>
        <w:t xml:space="preserve"> </w:t>
      </w:r>
      <w:hyperlink r:id="rId191">
        <w:r>
          <w:rPr>
            <w:rStyle w:val="Hyperlink"/>
          </w:rPr>
          <w:t xml:space="preserve">https://openstat.psa.gov.ph/PXWeb/api/v1/en/DB/2M/PI/CPI/2018/0012M4ACP09.px</w:t>
        </w:r>
      </w:hyperlink>
    </w:p>
    <w:p>
      <w:pPr>
        <w:pStyle w:val="BodyText"/>
      </w:pPr>
      <w:r>
        <w:rPr>
          <w:i/>
          <w:iCs/>
        </w:rPr>
        <w:t xml:space="preserve">2018 weights:</w:t>
      </w:r>
      <w:r>
        <w:t xml:space="preserve"> </w:t>
      </w:r>
      <w:hyperlink r:id="rId192">
        <w:r>
          <w:rPr>
            <w:rStyle w:val="Hyperlink"/>
          </w:rPr>
          <w:t xml:space="preserve">https://openstat.psa.gov.ph/PXWeb/api/v1/en/DB/2M/PI/CPI/2018/0012M4ACP12.px</w:t>
        </w:r>
      </w:hyperlink>
    </w:p>
    <w:p>
      <w:pPr>
        <w:pStyle w:val="BodyText"/>
      </w:pPr>
      <w:r>
        <w:rPr>
          <w:b/>
          <w:bCs/>
        </w:rPr>
        <w:t xml:space="preserve">S2. PSA, CPI for all income households, 2018 = 100, new geographic code (Negros Island Region separate).</w:t>
      </w:r>
      <w:r>
        <w:t xml:space="preserve"> </w:t>
      </w:r>
      <w:r>
        <w:t xml:space="preserve">We use this source for the January–August 2026 months, chained onto S1 (decision D6); the gasoline sub-index 07.2.2.2; and the 2018 weights used in the 2026 decomposition.</w:t>
      </w:r>
      <w:r>
        <w:t xml:space="preserve"> </w:t>
      </w:r>
      <w:r>
        <w:t xml:space="preserve">The tables are listed below.</w:t>
      </w:r>
    </w:p>
    <w:p>
      <w:pPr>
        <w:pStyle w:val="BodyText"/>
      </w:pPr>
      <w:r>
        <w:rPr>
          <w:i/>
          <w:iCs/>
        </w:rPr>
        <w:t xml:space="preserve">Jan 2018–Aug 2026:</w:t>
      </w:r>
      <w:r>
        <w:t xml:space="preserve"> </w:t>
      </w:r>
      <w:hyperlink r:id="rId193">
        <w:r>
          <w:rPr>
            <w:rStyle w:val="Hyperlink"/>
          </w:rPr>
          <w:t xml:space="preserve">https://openstat.psa.gov.ph/PXWeb/api/v1/en/DB/2M/PI/CPI/2018NEW/0012M4ACP22.px</w:t>
        </w:r>
      </w:hyperlink>
    </w:p>
    <w:p>
      <w:pPr>
        <w:pStyle w:val="BodyText"/>
      </w:pPr>
      <w:r>
        <w:rPr>
          <w:i/>
          <w:iCs/>
        </w:rPr>
        <w:t xml:space="preserve">Backcast, 1994–2017:</w:t>
      </w:r>
      <w:r>
        <w:t xml:space="preserve"> </w:t>
      </w:r>
      <w:hyperlink r:id="rId194">
        <w:r>
          <w:rPr>
            <w:rStyle w:val="Hyperlink"/>
          </w:rPr>
          <w:t xml:space="preserve">https://openstat.psa.gov.ph/PXWeb/api/v1/en/DB/2M/PI/CPI/2018NEW/0012M4ACP28.px</w:t>
        </w:r>
      </w:hyperlink>
    </w:p>
    <w:p>
      <w:pPr>
        <w:pStyle w:val="BodyText"/>
      </w:pPr>
      <w:r>
        <w:rPr>
          <w:i/>
          <w:iCs/>
        </w:rPr>
        <w:t xml:space="preserve">Weights:</w:t>
      </w:r>
      <w:r>
        <w:t xml:space="preserve"> </w:t>
      </w:r>
      <w:hyperlink r:id="rId195">
        <w:r>
          <w:rPr>
            <w:rStyle w:val="Hyperlink"/>
          </w:rPr>
          <w:t xml:space="preserve">https://openstat.psa.gov.ph/PXWeb/api/v1/en/DB/2M/PI/CPI/2018NEW/0012M4ACP25.px</w:t>
        </w:r>
      </w:hyperlink>
    </w:p>
    <w:p>
      <w:pPr>
        <w:pStyle w:val="BodyText"/>
      </w:pPr>
      <w:r>
        <w:rPr>
          <w:b/>
          <w:bCs/>
        </w:rPr>
        <w:t xml:space="preserve">S3. PSA, CPI for the bottom 30% income households, 2018 = 100, old geographic code.</w:t>
      </w:r>
      <w:r>
        <w:t xml:space="preserve"> </w:t>
      </w:r>
      <w:r>
        <w:t xml:space="preserve">The tables are listed below.</w:t>
      </w:r>
    </w:p>
    <w:p>
      <w:pPr>
        <w:pStyle w:val="BodyText"/>
      </w:pPr>
      <w:r>
        <w:rPr>
          <w:i/>
          <w:iCs/>
        </w:rPr>
        <w:t xml:space="preserve">All-items backcast, Jan 2000–Dec 2011:</w:t>
      </w:r>
      <w:r>
        <w:t xml:space="preserve"> </w:t>
      </w:r>
      <w:hyperlink r:id="rId196">
        <w:r>
          <w:rPr>
            <w:rStyle w:val="Hyperlink"/>
          </w:rPr>
          <w:t xml:space="preserve">https://openstat.psa.gov.ph/PXWeb/api/v1/en/DB/2M/PI/BIH/2018/0022M4ABOT5.px</w:t>
        </w:r>
      </w:hyperlink>
    </w:p>
    <w:p>
      <w:pPr>
        <w:pStyle w:val="BodyText"/>
      </w:pPr>
      <w:r>
        <w:rPr>
          <w:i/>
          <w:iCs/>
        </w:rPr>
        <w:t xml:space="preserve">Commodity-group backcast, Jan 2012–Dec 2017:</w:t>
      </w:r>
      <w:r>
        <w:t xml:space="preserve"> </w:t>
      </w:r>
      <w:hyperlink r:id="rId197">
        <w:r>
          <w:rPr>
            <w:rStyle w:val="Hyperlink"/>
          </w:rPr>
          <w:t xml:space="preserve">https://openstat.psa.gov.ph/PXWeb/api/v1/en/DB/2M/PI/BIH/2018/0022M4ABOT4.px</w:t>
        </w:r>
      </w:hyperlink>
    </w:p>
    <w:p>
      <w:pPr>
        <w:pStyle w:val="BodyText"/>
      </w:pPr>
      <w:r>
        <w:rPr>
          <w:i/>
          <w:iCs/>
        </w:rPr>
        <w:t xml:space="preserve">Jan 2018–Dec 2025:</w:t>
      </w:r>
      <w:r>
        <w:t xml:space="preserve"> </w:t>
      </w:r>
      <w:hyperlink r:id="rId198">
        <w:r>
          <w:rPr>
            <w:rStyle w:val="Hyperlink"/>
          </w:rPr>
          <w:t xml:space="preserve">https://openstat.psa.gov.ph/PXWeb/api/v1/en/DB/2M/PI/BIH/2018/0022M4ABOT1.px</w:t>
        </w:r>
      </w:hyperlink>
    </w:p>
    <w:p>
      <w:pPr>
        <w:pStyle w:val="BodyText"/>
      </w:pPr>
      <w:r>
        <w:rPr>
          <w:i/>
          <w:iCs/>
        </w:rPr>
        <w:t xml:space="preserve">2018 weights:</w:t>
      </w:r>
      <w:r>
        <w:t xml:space="preserve"> </w:t>
      </w:r>
      <w:hyperlink r:id="rId199">
        <w:r>
          <w:rPr>
            <w:rStyle w:val="Hyperlink"/>
          </w:rPr>
          <w:t xml:space="preserve">https://openstat.psa.gov.ph/PXWeb/api/v1/en/DB/2M/PI/BIH/2018/0022M4ABOT3.px</w:t>
        </w:r>
      </w:hyperlink>
    </w:p>
    <w:p>
      <w:pPr>
        <w:pStyle w:val="BodyText"/>
      </w:pPr>
      <w:r>
        <w:rPr>
          <w:b/>
          <w:bCs/>
        </w:rPr>
        <w:t xml:space="preserve">S4. PSA, CPI for the bottom 30% income households, 2018 = 100, new geographic code.</w:t>
      </w:r>
      <w:r>
        <w:t xml:space="preserve"> </w:t>
      </w:r>
      <w:r>
        <w:t xml:space="preserve">We use this source for the January–August 2026 months, chained onto S3, and for the weights used in the 2026 decomposition. The tables are listed below.</w:t>
      </w:r>
    </w:p>
    <w:p>
      <w:pPr>
        <w:pStyle w:val="BodyText"/>
      </w:pPr>
      <w:r>
        <w:rPr>
          <w:i/>
          <w:iCs/>
        </w:rPr>
        <w:t xml:space="preserve">Jan 2018–Aug 2026:</w:t>
      </w:r>
      <w:r>
        <w:t xml:space="preserve"> </w:t>
      </w:r>
      <w:hyperlink r:id="rId200">
        <w:r>
          <w:rPr>
            <w:rStyle w:val="Hyperlink"/>
          </w:rPr>
          <w:t xml:space="preserve">https://openstat.psa.gov.ph/PXWeb/api/v1/en/DB/2M/PI/BIH/2018NEW/0022M4ABIR1.px</w:t>
        </w:r>
      </w:hyperlink>
    </w:p>
    <w:p>
      <w:pPr>
        <w:pStyle w:val="BodyText"/>
      </w:pPr>
      <w:r>
        <w:rPr>
          <w:i/>
          <w:iCs/>
        </w:rPr>
        <w:t xml:space="preserve">Weights:</w:t>
      </w:r>
      <w:r>
        <w:t xml:space="preserve"> </w:t>
      </w:r>
      <w:hyperlink r:id="rId201">
        <w:r>
          <w:rPr>
            <w:rStyle w:val="Hyperlink"/>
          </w:rPr>
          <w:t xml:space="preserve">https://openstat.psa.gov.ph/PXWeb/api/v1/en/DB/2M/PI/BIH/2018NEW/0022M4ABIR3.px</w:t>
        </w:r>
      </w:hyperlink>
    </w:p>
    <w:p>
      <w:pPr>
        <w:pStyle w:val="BodyText"/>
      </w:pPr>
      <w:r>
        <w:rPr>
          <w:b/>
          <w:bCs/>
        </w:rPr>
        <w:t xml:space="preserve">S5. PSA, official poverty statistics by region, 2018, 2021 and 2023.</w:t>
      </w:r>
      <w:r>
        <w:t xml:space="preserve"> </w:t>
      </w:r>
      <w:r>
        <w:t xml:space="preserve">We use poverty incidence among the population and the annual per-capita poverty threshold. Table:</w:t>
      </w:r>
      <w:r>
        <w:t xml:space="preserve"> </w:t>
      </w:r>
      <w:hyperlink r:id="rId202">
        <w:r>
          <w:rPr>
            <w:rStyle w:val="Hyperlink"/>
          </w:rPr>
          <w:t xml:space="preserve">https://openstat.psa.gov.ph/PXWeb/api/v1/en/DB/1F/FY/0031F3DF020.px</w:t>
        </w:r>
      </w:hyperlink>
      <w:r>
        <w:t xml:space="preserve">.</w:t>
      </w:r>
    </w:p>
    <w:p>
      <w:pPr>
        <w:pStyle w:val="BodyText"/>
      </w:pPr>
      <w:r>
        <w:rPr>
          <w:b/>
          <w:bCs/>
        </w:rPr>
        <w:t xml:space="preserve">S6. World Bank, Commodity Price Data (Pink Sheet), monthly.</w:t>
      </w:r>
      <w:r>
        <w:t xml:space="preserve"> </w:t>
      </w:r>
      <w:r>
        <w:t xml:space="preserve">We use Dubai and Brent crude oil prices in US dollars per barrel. File:</w:t>
      </w:r>
      <w:r>
        <w:t xml:space="preserve"> </w:t>
      </w:r>
      <w:hyperlink r:id="rId203">
        <w:r>
          <w:rPr>
            <w:rStyle w:val="Hyperlink"/>
          </w:rPr>
          <w:t xml:space="preserve">https://thedocs.worldbank.org/en/doc/74e8be41ceb20fa0da750cda2f6b9e4e-0050012026/related/CMO-Historical-Data-Monthly.xlsx</w:t>
        </w:r>
      </w:hyperlink>
      <w:r>
        <w:t xml:space="preserve">.</w:t>
      </w:r>
    </w:p>
    <w:p>
      <w:pPr>
        <w:pStyle w:val="BodyText"/>
      </w:pPr>
      <w:r>
        <w:rPr>
          <w:b/>
          <w:bCs/>
        </w:rPr>
        <w:t xml:space="preserve">S7. World Bank, Global Fuel Prices Database (April 2025 version).</w:t>
      </w:r>
      <w:r>
        <w:t xml:space="preserve"> </w:t>
      </w:r>
      <w:r>
        <w:t xml:space="preserve">We use the Philippine row, the Manila regular gasoline (RON 91) pump price in pesos per litre. File:</w:t>
      </w:r>
      <w:r>
        <w:t xml:space="preserve"> </w:t>
      </w:r>
      <w:hyperlink r:id="rId204">
        <w:r>
          <w:rPr>
            <w:rStyle w:val="Hyperlink"/>
          </w:rPr>
          <w:t xml:space="preserve">https://datacatalogfiles.worldbank.org/ddh-published/0066829/DR0095290/Global_Fuel_Prices_Database.xlsx</w:t>
        </w:r>
      </w:hyperlink>
      <w:r>
        <w:t xml:space="preserve">.</w:t>
      </w:r>
    </w:p>
    <w:p>
      <w:pPr>
        <w:pStyle w:val="BodyText"/>
      </w:pPr>
      <w:r>
        <w:rPr>
          <w:b/>
          <w:bCs/>
        </w:rPr>
        <w:t xml:space="preserve">S8. Bangko Sentral ng Pilipinas, peso–dollar exchange rate, monthly average.</w:t>
      </w:r>
      <w:r>
        <w:t xml:space="preserve"> </w:t>
      </w:r>
      <w:r>
        <w:t xml:space="preserve">File:</w:t>
      </w:r>
      <w:r>
        <w:t xml:space="preserve"> </w:t>
      </w:r>
      <w:hyperlink r:id="rId205">
        <w:r>
          <w:rPr>
            <w:rStyle w:val="Hyperlink"/>
          </w:rPr>
          <w:t xml:space="preserve">https://www.bsp.gov.ph/Statistics/External/pesodollar.xlsx</w:t>
        </w:r>
      </w:hyperlink>
      <w:r>
        <w:t xml:space="preserve">.</w:t>
      </w:r>
    </w:p>
    <w:p>
      <w:pPr>
        <w:pStyle w:val="BodyText"/>
      </w:pPr>
      <w:r>
        <w:rPr>
          <w:b/>
          <w:bCs/>
        </w:rPr>
        <w:t xml:space="preserve">S9. Bank for International Settlements, central bank policy rates, Philippines.</w:t>
      </w:r>
      <w:r>
        <w:t xml:space="preserve"> </w:t>
      </w:r>
      <w:r>
        <w:t xml:space="preserve">Data:</w:t>
      </w:r>
      <w:r>
        <w:t xml:space="preserve"> </w:t>
      </w:r>
      <w:hyperlink r:id="rId206">
        <w:r>
          <w:rPr>
            <w:rStyle w:val="Hyperlink"/>
          </w:rPr>
          <w:t xml:space="preserve">https://stats.bis.org/api/v1/data/WS_CBPOL/M.PH?format=csv</w:t>
        </w:r>
      </w:hyperlink>
      <w:r>
        <w:t xml:space="preserve">.</w:t>
      </w:r>
    </w:p>
    <w:p>
      <w:pPr>
        <w:pStyle w:val="BodyText"/>
      </w:pPr>
      <w:r>
        <w:rPr>
          <w:b/>
          <w:bCs/>
        </w:rPr>
        <w:t xml:space="preserve">S10. FAO Food Price Index, nominal, 2014–2016 = 100.</w:t>
      </w:r>
      <w:r>
        <w:t xml:space="preserve"> </w:t>
      </w:r>
      <w:r>
        <w:t xml:space="preserve">File:</w:t>
      </w:r>
      <w:r>
        <w:t xml:space="preserve"> </w:t>
      </w:r>
      <w:hyperlink r:id="rId207">
        <w:r>
          <w:rPr>
            <w:rStyle w:val="Hyperlink"/>
          </w:rPr>
          <w:t xml:space="preserve">https://www.fao.org/media/docs/worldfoodsituationlibraries/wfs-library/food_price_indices_data.csv</w:t>
        </w:r>
      </w:hyperlink>
      <w:r>
        <w:t xml:space="preserve">.</w:t>
      </w:r>
    </w:p>
    <w:p>
      <w:pPr>
        <w:pStyle w:val="BodyText"/>
      </w:pPr>
      <w:r>
        <w:rPr>
          <w:b/>
          <w:bCs/>
        </w:rPr>
        <w:t xml:space="preserve">S11. Eurostat, harmonised index of consumer prices (HICP), all items and fuels and lubricants (CP0722), 2015 = 100.</w:t>
      </w:r>
      <w:r>
        <w:t xml:space="preserve"> </w:t>
      </w:r>
      <w:r>
        <w:t xml:space="preserve">Data:</w:t>
      </w:r>
      <w:r>
        <w:t xml:space="preserve"> </w:t>
      </w:r>
      <w:hyperlink r:id="rId208">
        <w:r>
          <w:rPr>
            <w:rStyle w:val="Hyperlink"/>
          </w:rPr>
          <w:t xml:space="preserve">https://ec.europa.eu/eurostat/api/dissemination/sdmx/2.1/data/prc_hicp_midx/M.I15.CP00+CP0722.?format=TSV</w:t>
        </w:r>
      </w:hyperlink>
      <w:r>
        <w:t xml:space="preserve">.</w:t>
      </w:r>
    </w:p>
    <w:p>
      <w:pPr>
        <w:pStyle w:val="BodyText"/>
      </w:pPr>
      <w:r>
        <w:rPr>
          <w:b/>
          <w:bCs/>
        </w:rPr>
        <w:t xml:space="preserve">S12. European Commission, Weekly Oil Bulletin, price history with and without taxes.</w:t>
      </w:r>
      <w:r>
        <w:t xml:space="preserve"> </w:t>
      </w:r>
      <w:r>
        <w:t xml:space="preserve">File:</w:t>
      </w:r>
      <w:r>
        <w:t xml:space="preserve"> </w:t>
      </w:r>
      <w:hyperlink r:id="rId209">
        <w:r>
          <w:rPr>
            <w:rStyle w:val="Hyperlink"/>
          </w:rPr>
          <w:t xml:space="preserve">https://energy.ec.europa.eu/document/download/906e60ca-8b6a-44e7-8589-652854d2fd3f_en?filename=Weekly_Oil_Bulletin_Prices_History_maticni_4web.xlsx</w:t>
        </w:r>
      </w:hyperlink>
      <w:r>
        <w:t xml:space="preserve">.</w:t>
      </w:r>
    </w:p>
    <w:p>
      <w:pPr>
        <w:pStyle w:val="BodyText"/>
      </w:pPr>
      <w:r>
        <w:rPr>
          <w:b/>
          <w:bCs/>
        </w:rPr>
        <w:t xml:space="preserve">S13. Eurostat, euro–dollar exchange rate, monthly average.</w:t>
      </w:r>
      <w:r>
        <w:t xml:space="preserve"> </w:t>
      </w:r>
      <w:r>
        <w:t xml:space="preserve">We use it to convert Brent crude to euros. Data:</w:t>
      </w:r>
      <w:r>
        <w:t xml:space="preserve"> </w:t>
      </w:r>
      <w:hyperlink r:id="rId210">
        <w:r>
          <w:rPr>
            <w:rStyle w:val="Hyperlink"/>
          </w:rPr>
          <w:t xml:space="preserve">https://ec.europa.eu/eurostat/api/dissemination/sdmx/2.1/data/ert_bil_eur_m/M.AVG.NAC.USD?format=TSV</w:t>
        </w:r>
      </w:hyperlink>
      <w:r>
        <w:t xml:space="preserve">.</w:t>
      </w:r>
    </w:p>
    <w:p>
      <w:pPr>
        <w:pStyle w:val="BodyText"/>
      </w:pPr>
      <w:r>
        <w:rPr>
          <w:b/>
          <w:bCs/>
        </w:rPr>
        <w:t xml:space="preserve">S14. Reference coefficients.</w:t>
      </w:r>
      <w:r>
        <w:t xml:space="preserve"> </w:t>
      </w:r>
      <w:r>
        <w:t xml:space="preserve">These are the published estimates of Kpodar and Liu (2021, IMF Working Paper WP/21/271), typed from the paper’s figures and annex tables into</w:t>
      </w:r>
      <w:r>
        <w:t xml:space="preserve"> </w:t>
      </w:r>
      <w:r>
        <w:rPr>
          <w:rStyle w:val="VerbatimChar"/>
        </w:rPr>
        <w:t xml:space="preserve">replication/kpodar_liu_2021_targets.csv</w:t>
      </w:r>
      <w:r>
        <w:t xml:space="preserve">. Paper:</w:t>
      </w:r>
      <w:r>
        <w:t xml:space="preserve"> </w:t>
      </w:r>
      <w:hyperlink r:id="rId211">
        <w:r>
          <w:rPr>
            <w:rStyle w:val="Hyperlink"/>
          </w:rPr>
          <w:t xml:space="preserve">https://www.imf.org/en/publications/wp/issues/2021/11/12/the-distributional-implications-of-the-impact-of-fuel-price-increases-on-inflation-506822</w:t>
        </w:r>
      </w:hyperlink>
      <w:r>
        <w:t xml:space="preserve">.</w:t>
      </w:r>
    </w:p>
    <w:p>
      <w:pPr>
        <w:pStyle w:val="BodyText"/>
      </w:pPr>
      <w:r>
        <w:rPr>
          <w:b/>
          <w:bCs/>
        </w:rPr>
        <w:t xml:space="preserve">S15. 2026 policy facts.</w:t>
      </w:r>
      <w:r>
        <w:t xml:space="preserve"> </w:t>
      </w:r>
      <w:r>
        <w:t xml:space="preserve">These are the laws, executive orders and agency issuances cited in Chapter 5. Each one is listed with its source link and verification status in</w:t>
      </w:r>
      <w:r>
        <w:t xml:space="preserve"> </w:t>
      </w:r>
      <w:r>
        <w:rPr>
          <w:rStyle w:val="VerbatimChar"/>
        </w:rPr>
        <w:t xml:space="preserve">paper/policy_context_2026.md</w:t>
      </w:r>
      <w:r>
        <w:t xml:space="preserve">.</w:t>
      </w:r>
    </w:p>
    <w:bookmarkEnd w:id="212"/>
    <w:bookmarkStart w:id="213" w:name="X66672ab95d40962c96d227f39a50606d25e8d6c"/>
    <w:p>
      <w:pPr>
        <w:pStyle w:val="Heading2"/>
      </w:pPr>
      <w:r>
        <w:t xml:space="preserve">A.3 Sources, scripts and output files for each figure and table</w:t>
      </w:r>
    </w:p>
    <w:p>
      <w:pPr>
        <w:pStyle w:val="FirstParagraph"/>
      </w:pPr>
      <w:r>
        <w:t xml:space="preserve">Scripts are in</w:t>
      </w:r>
      <w:r>
        <w:t xml:space="preserve"> </w:t>
      </w:r>
      <w:r>
        <w:rPr>
          <w:rStyle w:val="VerbatimChar"/>
        </w:rPr>
        <w:t xml:space="preserve">scripts/</w:t>
      </w:r>
      <w:r>
        <w:t xml:space="preserve">, output tables in</w:t>
      </w:r>
      <w:r>
        <w:t xml:space="preserve"> </w:t>
      </w:r>
      <w:r>
        <w:rPr>
          <w:rStyle w:val="VerbatimChar"/>
        </w:rPr>
        <w:t xml:space="preserve">output/tables/</w:t>
      </w:r>
      <w:r>
        <w:t xml:space="preserve"> </w:t>
      </w:r>
      <w:r>
        <w:t xml:space="preserve">and figures in</w:t>
      </w:r>
      <w:r>
        <w:t xml:space="preserve"> </w:t>
      </w:r>
      <w:r>
        <w:rPr>
          <w:rStyle w:val="VerbatimChar"/>
        </w:rPr>
        <w:t xml:space="preserve">output/figures/</w:t>
      </w:r>
      <w:r>
        <w:t xml:space="preserve">. Every script after the first two reads the processed files written by</w:t>
      </w:r>
      <w:r>
        <w:t xml:space="preserve"> </w:t>
      </w:r>
      <w:r>
        <w:rPr>
          <w:rStyle w:val="VerbatimChar"/>
        </w:rPr>
        <w:t xml:space="preserve">02_clean_psa.py</w:t>
      </w:r>
      <w:r>
        <w:t xml:space="preserve"> </w:t>
      </w:r>
      <w:r>
        <w:t xml:space="preserve">and</w:t>
      </w:r>
      <w:r>
        <w:t xml:space="preserve"> </w:t>
      </w:r>
      <w:r>
        <w:rPr>
          <w:rStyle w:val="VerbatimChar"/>
        </w:rPr>
        <w:t xml:space="preserve">03_build_panel.py</w:t>
      </w:r>
      <w:r>
        <w:t xml:space="preserve">. The figures are written by</w:t>
      </w:r>
      <w:r>
        <w:t xml:space="preserve"> </w:t>
      </w:r>
      <w:r>
        <w:rPr>
          <w:rStyle w:val="VerbatimChar"/>
        </w:rPr>
        <w:t xml:space="preserve">06_figures.py</w:t>
      </w:r>
      <w:r>
        <w:t xml:space="preserve">, and the tables are inserted into this document by</w:t>
      </w:r>
      <w:r>
        <w:t xml:space="preserve"> </w:t>
      </w:r>
      <w:r>
        <w:rPr>
          <w:rStyle w:val="VerbatimChar"/>
        </w:rPr>
        <w:t xml:space="preserve">08_paper.py</w:t>
      </w:r>
      <w:r>
        <w:t xml:space="preserve">.</w:t>
      </w:r>
    </w:p>
    <w:p>
      <w:pPr>
        <w:pStyle w:val="BodyText"/>
      </w:pPr>
      <w:r>
        <w:rPr>
          <w:b/>
          <w:bCs/>
        </w:rPr>
        <w:t xml:space="preserve">Table A1. Sources, scripts and output files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Content</w:t>
            </w:r>
          </w:p>
        </w:tc>
        <w:tc>
          <w:tcPr/>
          <w:p>
            <w:pPr>
              <w:pStyle w:val="Compact"/>
            </w:pPr>
            <w:r>
              <w:t xml:space="preserve">Sources</w:t>
            </w:r>
          </w:p>
        </w:tc>
        <w:tc>
          <w:tcPr/>
          <w:p>
            <w:pPr>
              <w:pStyle w:val="Compact"/>
            </w:pPr>
            <w:r>
              <w:t xml:space="preserve">Computed by</w:t>
            </w:r>
          </w:p>
        </w:tc>
        <w:tc>
          <w:tcPr/>
          <w:p>
            <w:pPr>
              <w:pStyle w:val="Compact"/>
            </w:pPr>
            <w:r>
              <w:t xml:space="preserve">Output file</w:t>
            </w:r>
          </w:p>
        </w:tc>
      </w:tr>
      <w:tr>
        <w:tc>
          <w:tcPr/>
          <w:p>
            <w:pPr>
              <w:pStyle w:val="Compact"/>
            </w:pPr>
            <w:r>
              <w:t xml:space="preserve">Figure 1</w:t>
            </w:r>
          </w:p>
        </w:tc>
        <w:tc>
          <w:tcPr/>
          <w:p>
            <w:pPr>
              <w:pStyle w:val="Compact"/>
            </w:pPr>
            <w:r>
              <w:t xml:space="preserve">Conceptual framework</w:t>
            </w:r>
          </w:p>
        </w:tc>
        <w:tc>
          <w:tcPr/>
          <w:p>
            <w:pPr>
              <w:pStyle w:val="Compact"/>
            </w:pPr>
            <w:r>
              <w:t xml:space="preserve">—</w:t>
            </w:r>
          </w:p>
        </w:tc>
        <w:tc>
          <w:tcPr/>
          <w:p>
            <w:pPr>
              <w:pStyle w:val="Compact"/>
            </w:pPr>
            <w:r>
              <w:t xml:space="preserve">06_figures.py</w:t>
            </w:r>
          </w:p>
        </w:tc>
        <w:tc>
          <w:tcPr/>
          <w:p>
            <w:pPr>
              <w:pStyle w:val="Compact"/>
            </w:pPr>
            <w:r>
              <w:t xml:space="preserve">figw0_framework.png</w:t>
            </w:r>
          </w:p>
        </w:tc>
      </w:tr>
      <w:tr>
        <w:tc>
          <w:tcPr/>
          <w:p>
            <w:pPr>
              <w:pStyle w:val="Compact"/>
            </w:pPr>
            <w:r>
              <w:t xml:space="preserve">Table 1</w:t>
            </w:r>
          </w:p>
        </w:tc>
        <w:tc>
          <w:tcPr/>
          <w:p>
            <w:pPr>
              <w:pStyle w:val="Compact"/>
            </w:pPr>
            <w:r>
              <w:t xml:space="preserve">Data sources and variables</w:t>
            </w:r>
          </w:p>
        </w:tc>
        <w:tc>
          <w:tcPr/>
          <w:p>
            <w:pPr>
              <w:pStyle w:val="Compact"/>
            </w:pPr>
            <w:r>
              <w:t xml:space="preserve">S1–S13</w:t>
            </w:r>
          </w:p>
        </w:tc>
        <w:tc>
          <w:tcPr/>
          <w:p>
            <w:pPr>
              <w:pStyle w:val="Compact"/>
            </w:pPr>
            <w:r>
              <w:t xml:space="preserve">—</w:t>
            </w:r>
          </w:p>
        </w:tc>
        <w:tc>
          <w:tcPr/>
          <w:p>
            <w:pPr>
              <w:pStyle w:val="Compact"/>
            </w:pPr>
            <w:r>
              <w:t xml:space="preserve">—</w:t>
            </w:r>
          </w:p>
        </w:tc>
      </w:tr>
      <w:tr>
        <w:tc>
          <w:tcPr/>
          <w:p>
            <w:pPr>
              <w:pStyle w:val="Compact"/>
            </w:pPr>
            <w:r>
              <w:t xml:space="preserve">Table 2</w:t>
            </w:r>
          </w:p>
        </w:tc>
        <w:tc>
          <w:tcPr/>
          <w:p>
            <w:pPr>
              <w:pStyle w:val="Compact"/>
            </w:pPr>
            <w:r>
              <w:t xml:space="preserve">Summary statistics</w:t>
            </w:r>
          </w:p>
        </w:tc>
        <w:tc>
          <w:tcPr/>
          <w:p>
            <w:pPr>
              <w:pStyle w:val="Compact"/>
            </w:pPr>
            <w:r>
              <w:t xml:space="preserve">S1–S4</w:t>
            </w:r>
          </w:p>
        </w:tc>
        <w:tc>
          <w:tcPr/>
          <w:p>
            <w:pPr>
              <w:pStyle w:val="Compact"/>
            </w:pPr>
            <w:r>
              <w:t xml:space="preserve">09_descriptive.py</w:t>
            </w:r>
          </w:p>
        </w:tc>
        <w:tc>
          <w:tcPr/>
          <w:p>
            <w:pPr>
              <w:pStyle w:val="Compact"/>
            </w:pPr>
            <w:r>
              <w:t xml:space="preserve">desc_summary.csv</w:t>
            </w:r>
          </w:p>
        </w:tc>
      </w:tr>
      <w:tr>
        <w:tc>
          <w:tcPr/>
          <w:p>
            <w:pPr>
              <w:pStyle w:val="Compact"/>
            </w:pPr>
            <w:r>
              <w:t xml:space="preserve">Figure 2</w:t>
            </w:r>
          </w:p>
        </w:tc>
        <w:tc>
          <w:tcPr/>
          <w:p>
            <w:pPr>
              <w:pStyle w:val="Compact"/>
            </w:pPr>
            <w:r>
              <w:t xml:space="preserve">Inflation trends and the gap</w:t>
            </w:r>
          </w:p>
        </w:tc>
        <w:tc>
          <w:tcPr/>
          <w:p>
            <w:pPr>
              <w:pStyle w:val="Compact"/>
            </w:pPr>
            <w:r>
              <w:t xml:space="preserve">S1–S4</w:t>
            </w:r>
          </w:p>
        </w:tc>
        <w:tc>
          <w:tcPr/>
          <w:p>
            <w:pPr>
              <w:pStyle w:val="Compact"/>
            </w:pPr>
            <w:r>
              <w:t xml:space="preserve">09_descriptive.py</w:t>
            </w:r>
          </w:p>
        </w:tc>
        <w:tc>
          <w:tcPr/>
          <w:p>
            <w:pPr>
              <w:pStyle w:val="Compact"/>
            </w:pPr>
            <w:r>
              <w:t xml:space="preserve">desc_yoy_national.csv; figd1_trends.png</w:t>
            </w:r>
          </w:p>
        </w:tc>
      </w:tr>
      <w:tr>
        <w:tc>
          <w:tcPr/>
          <w:p>
            <w:pPr>
              <w:pStyle w:val="Compact"/>
            </w:pPr>
            <w:r>
              <w:t xml:space="preserve">Table 3</w:t>
            </w:r>
          </w:p>
        </w:tc>
        <w:tc>
          <w:tcPr/>
          <w:p>
            <w:pPr>
              <w:pStyle w:val="Compact"/>
            </w:pPr>
            <w:r>
              <w:t xml:space="preserve">Annual inflation</w:t>
            </w:r>
          </w:p>
        </w:tc>
        <w:tc>
          <w:tcPr/>
          <w:p>
            <w:pPr>
              <w:pStyle w:val="Compact"/>
            </w:pPr>
            <w:r>
              <w:t xml:space="preserve">S1–S4</w:t>
            </w:r>
          </w:p>
        </w:tc>
        <w:tc>
          <w:tcPr/>
          <w:p>
            <w:pPr>
              <w:pStyle w:val="Compact"/>
            </w:pPr>
            <w:r>
              <w:t xml:space="preserve">09_descriptive.py</w:t>
            </w:r>
          </w:p>
        </w:tc>
        <w:tc>
          <w:tcPr/>
          <w:p>
            <w:pPr>
              <w:pStyle w:val="Compact"/>
            </w:pPr>
            <w:r>
              <w:t xml:space="preserve">desc_annual.csv</w:t>
            </w:r>
          </w:p>
        </w:tc>
      </w:tr>
      <w:tr>
        <w:tc>
          <w:tcPr/>
          <w:p>
            <w:pPr>
              <w:pStyle w:val="Compact"/>
            </w:pPr>
            <w:r>
              <w:t xml:space="preserve">Table 4</w:t>
            </w:r>
          </w:p>
        </w:tc>
        <w:tc>
          <w:tcPr/>
          <w:p>
            <w:pPr>
              <w:pStyle w:val="Compact"/>
            </w:pPr>
            <w:r>
              <w:t xml:space="preserve">Fuel-shock episodes</w:t>
            </w:r>
          </w:p>
        </w:tc>
        <w:tc>
          <w:tcPr/>
          <w:p>
            <w:pPr>
              <w:pStyle w:val="Compact"/>
            </w:pPr>
            <w:r>
              <w:t xml:space="preserve">S1–S4</w:t>
            </w:r>
          </w:p>
        </w:tc>
        <w:tc>
          <w:tcPr/>
          <w:p>
            <w:pPr>
              <w:pStyle w:val="Compact"/>
            </w:pPr>
            <w:r>
              <w:t xml:space="preserve">09_descriptive.py</w:t>
            </w:r>
          </w:p>
        </w:tc>
        <w:tc>
          <w:tcPr/>
          <w:p>
            <w:pPr>
              <w:pStyle w:val="Compact"/>
            </w:pPr>
            <w:r>
              <w:t xml:space="preserve">desc_episodes.csv</w:t>
            </w:r>
          </w:p>
        </w:tc>
      </w:tr>
      <w:tr>
        <w:tc>
          <w:tcPr/>
          <w:p>
            <w:pPr>
              <w:pStyle w:val="Compact"/>
            </w:pPr>
            <w:r>
              <w:t xml:space="preserve">Table 5</w:t>
            </w:r>
          </w:p>
        </w:tc>
        <w:tc>
          <w:tcPr/>
          <w:p>
            <w:pPr>
              <w:pStyle w:val="Compact"/>
            </w:pPr>
            <w:r>
              <w:t xml:space="preserve">Cross-correlations</w:t>
            </w:r>
          </w:p>
        </w:tc>
        <w:tc>
          <w:tcPr/>
          <w:p>
            <w:pPr>
              <w:pStyle w:val="Compact"/>
            </w:pPr>
            <w:r>
              <w:t xml:space="preserve">S1–S4</w:t>
            </w:r>
          </w:p>
        </w:tc>
        <w:tc>
          <w:tcPr/>
          <w:p>
            <w:pPr>
              <w:pStyle w:val="Compact"/>
            </w:pPr>
            <w:r>
              <w:t xml:space="preserve">09_descriptive.py</w:t>
            </w:r>
          </w:p>
        </w:tc>
        <w:tc>
          <w:tcPr/>
          <w:p>
            <w:pPr>
              <w:pStyle w:val="Compact"/>
            </w:pPr>
            <w:r>
              <w:t xml:space="preserve">desc_crosscorr.csv</w:t>
            </w:r>
          </w:p>
        </w:tc>
      </w:tr>
      <w:tr>
        <w:tc>
          <w:tcPr/>
          <w:p>
            <w:pPr>
              <w:pStyle w:val="Compact"/>
            </w:pPr>
            <w:r>
              <w:t xml:space="preserve">Figure 3</w:t>
            </w:r>
          </w:p>
        </w:tc>
        <w:tc>
          <w:tcPr/>
          <w:p>
            <w:pPr>
              <w:pStyle w:val="Compact"/>
            </w:pPr>
            <w:r>
              <w:t xml:space="preserve">Regional inflation and gap</w:t>
            </w:r>
          </w:p>
        </w:tc>
        <w:tc>
          <w:tcPr/>
          <w:p>
            <w:pPr>
              <w:pStyle w:val="Compact"/>
            </w:pPr>
            <w:r>
              <w:t xml:space="preserve">S1–S5</w:t>
            </w:r>
          </w:p>
        </w:tc>
        <w:tc>
          <w:tcPr/>
          <w:p>
            <w:pPr>
              <w:pStyle w:val="Compact"/>
            </w:pPr>
            <w:r>
              <w:t xml:space="preserve">09_descriptive.py</w:t>
            </w:r>
          </w:p>
        </w:tc>
        <w:tc>
          <w:tcPr/>
          <w:p>
            <w:pPr>
              <w:pStyle w:val="Compact"/>
            </w:pPr>
            <w:r>
              <w:t xml:space="preserve">desc_regional.csv; figd2_regional.png</w:t>
            </w:r>
          </w:p>
        </w:tc>
      </w:tr>
      <w:tr>
        <w:tc>
          <w:tcPr/>
          <w:p>
            <w:pPr>
              <w:pStyle w:val="Compact"/>
            </w:pPr>
            <w:r>
              <w:t xml:space="preserve">Table 6</w:t>
            </w:r>
          </w:p>
        </w:tc>
        <w:tc>
          <w:tcPr/>
          <w:p>
            <w:pPr>
              <w:pStyle w:val="Compact"/>
            </w:pPr>
            <w:r>
              <w:t xml:space="preserve">Regional summary</w:t>
            </w:r>
          </w:p>
        </w:tc>
        <w:tc>
          <w:tcPr/>
          <w:p>
            <w:pPr>
              <w:pStyle w:val="Compact"/>
            </w:pPr>
            <w:r>
              <w:t xml:space="preserve">S1–S5</w:t>
            </w:r>
          </w:p>
        </w:tc>
        <w:tc>
          <w:tcPr/>
          <w:p>
            <w:pPr>
              <w:pStyle w:val="Compact"/>
            </w:pPr>
            <w:r>
              <w:t xml:space="preserve">09_descriptive.py</w:t>
            </w:r>
          </w:p>
        </w:tc>
        <w:tc>
          <w:tcPr/>
          <w:p>
            <w:pPr>
              <w:pStyle w:val="Compact"/>
            </w:pPr>
            <w:r>
              <w:t xml:space="preserve">desc_regional.csv</w:t>
            </w:r>
          </w:p>
        </w:tc>
      </w:tr>
      <w:tr>
        <w:tc>
          <w:tcPr/>
          <w:p>
            <w:pPr>
              <w:pStyle w:val="Compact"/>
            </w:pPr>
            <w:r>
              <w:t xml:space="preserve">Table 7</w:t>
            </w:r>
          </w:p>
        </w:tc>
        <w:tc>
          <w:tcPr/>
          <w:p>
            <w:pPr>
              <w:pStyle w:val="Compact"/>
            </w:pPr>
            <w:r>
              <w:t xml:space="preserve">Unit-root tests</w:t>
            </w:r>
          </w:p>
        </w:tc>
        <w:tc>
          <w:tcPr/>
          <w:p>
            <w:pPr>
              <w:pStyle w:val="Compact"/>
            </w:pPr>
            <w:r>
              <w:t xml:space="preserve">S1–S4</w:t>
            </w:r>
          </w:p>
        </w:tc>
        <w:tc>
          <w:tcPr/>
          <w:p>
            <w:pPr>
              <w:pStyle w:val="Compact"/>
            </w:pPr>
            <w:r>
              <w:t xml:space="preserve">09_descriptive.py</w:t>
            </w:r>
          </w:p>
        </w:tc>
        <w:tc>
          <w:tcPr/>
          <w:p>
            <w:pPr>
              <w:pStyle w:val="Compact"/>
            </w:pPr>
            <w:r>
              <w:t xml:space="preserve">desc_adf.csv</w:t>
            </w:r>
          </w:p>
        </w:tc>
      </w:tr>
      <w:tr>
        <w:tc>
          <w:tcPr/>
          <w:p>
            <w:pPr>
              <w:pStyle w:val="Compact"/>
            </w:pPr>
            <w:r>
              <w:t xml:space="preserve">Table 8</w:t>
            </w:r>
          </w:p>
        </w:tc>
        <w:tc>
          <w:tcPr/>
          <w:p>
            <w:pPr>
              <w:pStyle w:val="Compact"/>
            </w:pPr>
            <w:r>
              <w:t xml:space="preserve">Validation against the reference study</w:t>
            </w:r>
          </w:p>
        </w:tc>
        <w:tc>
          <w:tcPr/>
          <w:p>
            <w:pPr>
              <w:pStyle w:val="Compact"/>
            </w:pPr>
            <w:r>
              <w:t xml:space="preserve">S1, S3, S6, S11–S14</w:t>
            </w:r>
          </w:p>
        </w:tc>
        <w:tc>
          <w:tcPr/>
          <w:p>
            <w:pPr>
              <w:pStyle w:val="Compact"/>
            </w:pPr>
            <w:r>
              <w:t xml:space="preserve">04_replicate.py</w:t>
            </w:r>
          </w:p>
        </w:tc>
        <w:tc>
          <w:tcPr/>
          <w:p>
            <w:pPr>
              <w:pStyle w:val="Compact"/>
            </w:pPr>
            <w:r>
              <w:t xml:space="preserve">replication_eu_ph.csv; replication_gate.csv</w:t>
            </w:r>
          </w:p>
        </w:tc>
      </w:tr>
      <w:tr>
        <w:tc>
          <w:tcPr/>
          <w:p>
            <w:pPr>
              <w:pStyle w:val="Compact"/>
            </w:pPr>
            <w:r>
              <w:t xml:space="preserve">Figure 4, Table 9</w:t>
            </w:r>
          </w:p>
        </w:tc>
        <w:tc>
          <w:tcPr/>
          <w:p>
            <w:pPr>
              <w:pStyle w:val="Compact"/>
            </w:pPr>
            <w:r>
              <w:t xml:space="preserve">Pass-through to the price level and the gap</w:t>
            </w:r>
          </w:p>
        </w:tc>
        <w:tc>
          <w:tcPr/>
          <w:p>
            <w:pPr>
              <w:pStyle w:val="Compact"/>
            </w:pPr>
            <w:r>
              <w:t xml:space="preserve">S1–S4</w:t>
            </w:r>
          </w:p>
        </w:tc>
        <w:tc>
          <w:tcPr/>
          <w:p>
            <w:pPr>
              <w:pStyle w:val="Compact"/>
            </w:pPr>
            <w:r>
              <w:t xml:space="preserve">05_estimate.py</w:t>
            </w:r>
          </w:p>
        </w:tc>
        <w:tc>
          <w:tcPr/>
          <w:p>
            <w:pPr>
              <w:pStyle w:val="Compact"/>
            </w:pPr>
            <w:r>
              <w:t xml:space="preserve">estimates.csv; fig1_rq1_passthrough.png</w:t>
            </w:r>
          </w:p>
        </w:tc>
      </w:tr>
      <w:tr>
        <w:tc>
          <w:tcPr/>
          <w:p>
            <w:pPr>
              <w:pStyle w:val="Compact"/>
            </w:pPr>
            <w:r>
              <w:t xml:space="preserve">Figure 5</w:t>
            </w:r>
          </w:p>
        </w:tc>
        <w:tc>
          <w:tcPr/>
          <w:p>
            <w:pPr>
              <w:pStyle w:val="Compact"/>
            </w:pPr>
            <w:r>
              <w:t xml:space="preserve">Response of the gap, national and panel</w:t>
            </w:r>
          </w:p>
        </w:tc>
        <w:tc>
          <w:tcPr/>
          <w:p>
            <w:pPr>
              <w:pStyle w:val="Compact"/>
            </w:pPr>
            <w:r>
              <w:t xml:space="preserve">S1–S4</w:t>
            </w:r>
          </w:p>
        </w:tc>
        <w:tc>
          <w:tcPr/>
          <w:p>
            <w:pPr>
              <w:pStyle w:val="Compact"/>
            </w:pPr>
            <w:r>
              <w:t xml:space="preserve">05_estimate.py</w:t>
            </w:r>
          </w:p>
        </w:tc>
        <w:tc>
          <w:tcPr/>
          <w:p>
            <w:pPr>
              <w:pStyle w:val="Compact"/>
            </w:pPr>
            <w:r>
              <w:t xml:space="preserve">estimates.csv; fig2_rq2_rq4_ratio.png</w:t>
            </w:r>
          </w:p>
        </w:tc>
      </w:tr>
      <w:tr>
        <w:tc>
          <w:tcPr/>
          <w:p>
            <w:pPr>
              <w:pStyle w:val="Compact"/>
            </w:pPr>
            <w:r>
              <w:t xml:space="preserve">Figure 6, Table 10</w:t>
            </w:r>
          </w:p>
        </w:tc>
        <w:tc>
          <w:tcPr/>
          <w:p>
            <w:pPr>
              <w:pStyle w:val="Compact"/>
            </w:pPr>
            <w:r>
              <w:t xml:space="preserve">Pass-through by CPI division</w:t>
            </w:r>
          </w:p>
        </w:tc>
        <w:tc>
          <w:tcPr/>
          <w:p>
            <w:pPr>
              <w:pStyle w:val="Compact"/>
            </w:pPr>
            <w:r>
              <w:t xml:space="preserve">S1, S3</w:t>
            </w:r>
          </w:p>
        </w:tc>
        <w:tc>
          <w:tcPr/>
          <w:p>
            <w:pPr>
              <w:pStyle w:val="Compact"/>
            </w:pPr>
            <w:r>
              <w:t xml:space="preserve">05_estimate.py</w:t>
            </w:r>
          </w:p>
        </w:tc>
        <w:tc>
          <w:tcPr/>
          <w:p>
            <w:pPr>
              <w:pStyle w:val="Compact"/>
            </w:pPr>
            <w:r>
              <w:t xml:space="preserve">estimates.csv; rq3_gap_decomposition.csv; fig3_rq3_components.png</w:t>
            </w:r>
          </w:p>
        </w:tc>
      </w:tr>
      <w:tr>
        <w:tc>
          <w:tcPr/>
          <w:p>
            <w:pPr>
              <w:pStyle w:val="Compact"/>
            </w:pPr>
            <w:r>
              <w:t xml:space="preserve">Figure 7, Table 11</w:t>
            </w:r>
          </w:p>
        </w:tc>
        <w:tc>
          <w:tcPr/>
          <w:p>
            <w:pPr>
              <w:pStyle w:val="Compact"/>
            </w:pPr>
            <w:r>
              <w:t xml:space="preserve">Regional groups</w:t>
            </w:r>
          </w:p>
        </w:tc>
        <w:tc>
          <w:tcPr/>
          <w:p>
            <w:pPr>
              <w:pStyle w:val="Compact"/>
            </w:pPr>
            <w:r>
              <w:t xml:space="preserve">S1–S5</w:t>
            </w:r>
          </w:p>
        </w:tc>
        <w:tc>
          <w:tcPr/>
          <w:p>
            <w:pPr>
              <w:pStyle w:val="Compact"/>
            </w:pPr>
            <w:r>
              <w:t xml:space="preserve">05_estimate.py</w:t>
            </w:r>
          </w:p>
        </w:tc>
        <w:tc>
          <w:tcPr/>
          <w:p>
            <w:pPr>
              <w:pStyle w:val="Compact"/>
            </w:pPr>
            <w:r>
              <w:t xml:space="preserve">estimates.csv; region_groups.csv; fig4_rq4_groups.png</w:t>
            </w:r>
          </w:p>
        </w:tc>
      </w:tr>
      <w:tr>
        <w:tc>
          <w:tcPr/>
          <w:p>
            <w:pPr>
              <w:pStyle w:val="Compact"/>
            </w:pPr>
            <w:r>
              <w:t xml:space="preserve">Figure 8, Table 12</w:t>
            </w:r>
          </w:p>
        </w:tc>
        <w:tc>
          <w:tcPr/>
          <w:p>
            <w:pPr>
              <w:pStyle w:val="Compact"/>
            </w:pPr>
            <w:r>
              <w:t xml:space="preserve">Robustness</w:t>
            </w:r>
          </w:p>
        </w:tc>
        <w:tc>
          <w:tcPr/>
          <w:p>
            <w:pPr>
              <w:pStyle w:val="Compact"/>
            </w:pPr>
            <w:r>
              <w:t xml:space="preserve">S1–S10</w:t>
            </w:r>
          </w:p>
        </w:tc>
        <w:tc>
          <w:tcPr/>
          <w:p>
            <w:pPr>
              <w:pStyle w:val="Compact"/>
            </w:pPr>
            <w:r>
              <w:t xml:space="preserve">05_estimate.py</w:t>
            </w:r>
          </w:p>
        </w:tc>
        <w:tc>
          <w:tcPr/>
          <w:p>
            <w:pPr>
              <w:pStyle w:val="Compact"/>
            </w:pPr>
            <w:r>
              <w:t xml:space="preserve">estimates.csv; fig5_robustness.png</w:t>
            </w:r>
          </w:p>
        </w:tc>
      </w:tr>
      <w:tr>
        <w:tc>
          <w:tcPr/>
          <w:p>
            <w:pPr>
              <w:pStyle w:val="Compact"/>
            </w:pPr>
            <w:r>
              <w:t xml:space="preserve">Figure 9</w:t>
            </w:r>
          </w:p>
        </w:tc>
        <w:tc>
          <w:tcPr/>
          <w:p>
            <w:pPr>
              <w:pStyle w:val="Compact"/>
            </w:pPr>
            <w:r>
              <w:t xml:space="preserve">2026: actual and predicted</w:t>
            </w:r>
          </w:p>
        </w:tc>
        <w:tc>
          <w:tcPr/>
          <w:p>
            <w:pPr>
              <w:pStyle w:val="Compact"/>
            </w:pPr>
            <w:r>
              <w:t xml:space="preserve">S1–S4</w:t>
            </w:r>
          </w:p>
        </w:tc>
        <w:tc>
          <w:tcPr/>
          <w:p>
            <w:pPr>
              <w:pStyle w:val="Compact"/>
            </w:pPr>
            <w:r>
              <w:t xml:space="preserve">07_episode_2026.py</w:t>
            </w:r>
          </w:p>
        </w:tc>
        <w:tc>
          <w:tcPr/>
          <w:p>
            <w:pPr>
              <w:pStyle w:val="Compact"/>
            </w:pPr>
            <w:r>
              <w:t xml:space="preserve">e1_national_2026.csv; fig6_2026_out_of_sample.png</w:t>
            </w:r>
          </w:p>
        </w:tc>
      </w:tr>
      <w:tr>
        <w:tc>
          <w:tcPr/>
          <w:p>
            <w:pPr>
              <w:pStyle w:val="Compact"/>
            </w:pPr>
            <w:r>
              <w:t xml:space="preserve">Table 13</w:t>
            </w:r>
          </w:p>
        </w:tc>
        <w:tc>
          <w:tcPr/>
          <w:p>
            <w:pPr>
              <w:pStyle w:val="Compact"/>
            </w:pPr>
            <w:r>
              <w:t xml:space="preserve">2026 by region; peso cost</w:t>
            </w:r>
          </w:p>
        </w:tc>
        <w:tc>
          <w:tcPr/>
          <w:p>
            <w:pPr>
              <w:pStyle w:val="Compact"/>
            </w:pPr>
            <w:r>
              <w:t xml:space="preserve">S1–S5</w:t>
            </w:r>
          </w:p>
        </w:tc>
        <w:tc>
          <w:tcPr/>
          <w:p>
            <w:pPr>
              <w:pStyle w:val="Compact"/>
            </w:pPr>
            <w:r>
              <w:t xml:space="preserve">07_episode_2026.py</w:t>
            </w:r>
          </w:p>
        </w:tc>
        <w:tc>
          <w:tcPr/>
          <w:p>
            <w:pPr>
              <w:pStyle w:val="Compact"/>
            </w:pPr>
            <w:r>
              <w:t xml:space="preserve">e2_regional_2026.csv</w:t>
            </w:r>
          </w:p>
        </w:tc>
      </w:tr>
      <w:tr>
        <w:tc>
          <w:tcPr/>
          <w:p>
            <w:pPr>
              <w:pStyle w:val="Compact"/>
            </w:pPr>
            <w:r>
              <w:t xml:space="preserve">Figure 10</w:t>
            </w:r>
          </w:p>
        </w:tc>
        <w:tc>
          <w:tcPr/>
          <w:p>
            <w:pPr>
              <w:pStyle w:val="Compact"/>
            </w:pPr>
            <w:r>
              <w:t xml:space="preserve">2026 gap by item</w:t>
            </w:r>
          </w:p>
        </w:tc>
        <w:tc>
          <w:tcPr/>
          <w:p>
            <w:pPr>
              <w:pStyle w:val="Compact"/>
            </w:pPr>
            <w:r>
              <w:t xml:space="preserve">S2, S4</w:t>
            </w:r>
          </w:p>
        </w:tc>
        <w:tc>
          <w:tcPr/>
          <w:p>
            <w:pPr>
              <w:pStyle w:val="Compact"/>
            </w:pPr>
            <w:r>
              <w:t xml:space="preserve">07_episode_2026.py</w:t>
            </w:r>
          </w:p>
        </w:tc>
        <w:tc>
          <w:tcPr/>
          <w:p>
            <w:pPr>
              <w:pStyle w:val="Compact"/>
            </w:pPr>
            <w:r>
              <w:t xml:space="preserve">e5_decomposition_2026.csv; fig7_2026_gap_decomposition.png</w:t>
            </w:r>
          </w:p>
        </w:tc>
      </w:tr>
      <w:tr>
        <w:tc>
          <w:tcPr/>
          <w:p>
            <w:pPr>
              <w:pStyle w:val="Compact"/>
            </w:pPr>
            <w:r>
              <w:t xml:space="preserve">Table 14</w:t>
            </w:r>
          </w:p>
        </w:tc>
        <w:tc>
          <w:tcPr/>
          <w:p>
            <w:pPr>
              <w:pStyle w:val="Compact"/>
            </w:pPr>
            <w:r>
              <w:t xml:space="preserve">Household fuels, fares, cereals</w:t>
            </w:r>
          </w:p>
        </w:tc>
        <w:tc>
          <w:tcPr/>
          <w:p>
            <w:pPr>
              <w:pStyle w:val="Compact"/>
            </w:pPr>
            <w:r>
              <w:t xml:space="preserve">S1, S3</w:t>
            </w:r>
          </w:p>
        </w:tc>
        <w:tc>
          <w:tcPr/>
          <w:p>
            <w:pPr>
              <w:pStyle w:val="Compact"/>
            </w:pPr>
            <w:r>
              <w:t xml:space="preserve">07_episode_2026.py</w:t>
            </w:r>
          </w:p>
        </w:tc>
        <w:tc>
          <w:tcPr/>
          <w:p>
            <w:pPr>
              <w:pStyle w:val="Compact"/>
            </w:pPr>
            <w:r>
              <w:t xml:space="preserve">e4_mechanism.csv</w:t>
            </w:r>
          </w:p>
        </w:tc>
      </w:tr>
      <w:tr>
        <w:tc>
          <w:tcPr/>
          <w:p>
            <w:pPr>
              <w:pStyle w:val="Compact"/>
            </w:pPr>
            <w:r>
              <w:t xml:space="preserve">Table 15</w:t>
            </w:r>
          </w:p>
        </w:tc>
        <w:tc>
          <w:tcPr/>
          <w:p>
            <w:pPr>
              <w:pStyle w:val="Compact"/>
            </w:pPr>
            <w:r>
              <w:t xml:space="preserve">Policy instruments</w:t>
            </w:r>
          </w:p>
        </w:tc>
        <w:tc>
          <w:tcPr/>
          <w:p>
            <w:pPr>
              <w:pStyle w:val="Compact"/>
            </w:pPr>
            <w:r>
              <w:t xml:space="preserve">S15; Tables 9–14</w:t>
            </w:r>
          </w:p>
        </w:tc>
        <w:tc>
          <w:tcPr/>
          <w:p>
            <w:pPr>
              <w:pStyle w:val="Compact"/>
            </w:pPr>
            <w:r>
              <w:t xml:space="preserve">—</w:t>
            </w:r>
          </w:p>
        </w:tc>
        <w:tc>
          <w:tcPr/>
          <w:p>
            <w:pPr>
              <w:pStyle w:val="Compact"/>
            </w:pPr>
            <w:r>
              <w:t xml:space="preserve">—</w:t>
            </w:r>
          </w:p>
        </w:tc>
      </w:tr>
    </w:tbl>
    <w:p>
      <w:pPr>
        <w:pStyle w:val="BodyText"/>
      </w:pPr>
      <w:r>
        <w:rPr>
          <w:i/>
          <w:iCs/>
        </w:rPr>
        <w:t xml:space="preserve">Notes:</w:t>
      </w:r>
      <w:r>
        <w:t xml:space="preserve"> </w:t>
      </w:r>
      <w:r>
        <w:t xml:space="preserve">S1–S4 enter as the national and regional all-income CPI, the bottom-30% CPI and the fuel index (07.2.2), spliced and chained by</w:t>
      </w:r>
      <w:r>
        <w:t xml:space="preserve"> </w:t>
      </w:r>
      <w:r>
        <w:rPr>
          <w:rStyle w:val="VerbatimChar"/>
        </w:rPr>
        <w:t xml:space="preserve">03_build_panel.py</w:t>
      </w:r>
      <w:r>
        <w:t xml:space="preserve"> </w:t>
      </w:r>
      <w:r>
        <w:t xml:space="preserve">(decisions D6 and D7). Robustness (Table 12) also uses S6 and S8 (Dubai crude in pesos), S7 (pump price), S9 (policy rate) and S10 (world food prices). Every number in the text comes from</w:t>
      </w:r>
      <w:r>
        <w:t xml:space="preserve"> </w:t>
      </w:r>
      <w:r>
        <w:rPr>
          <w:rStyle w:val="VerbatimChar"/>
        </w:rPr>
        <w:t xml:space="preserve">output/tables/paper_numbers.json</w:t>
      </w:r>
      <w:r>
        <w:t xml:space="preserve">, which</w:t>
      </w:r>
      <w:r>
        <w:t xml:space="preserve"> </w:t>
      </w:r>
      <w:r>
        <w:rPr>
          <w:rStyle w:val="VerbatimChar"/>
        </w:rPr>
        <w:t xml:space="preserve">08_paper.py</w:t>
      </w:r>
      <w:r>
        <w:t xml:space="preserve"> </w:t>
      </w:r>
      <w:r>
        <w:t xml:space="preserve">writes from the files above.</w:t>
      </w:r>
    </w:p>
    <w:bookmarkEnd w:id="213"/>
    <w:bookmarkEnd w:id="214"/>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480" w:lineRule="auto"/>
      <w:ind w:firstLine="720" w:left="0" w:right="0"/>
      <w:jc w:val="left"/>
    </w:pPr>
    <w:rPr>
      <w:rFonts w:ascii="Times New Roman" w:cs="Times New Roman" w:eastAsia="Times New Roman" w:hAnsi="Times New Roman"/>
      <w:b w:val="0"/>
      <w:i w:val="0"/>
      <w:color w:val="000000"/>
      <w:sz w:val="24"/>
    </w:rPr>
  </w:style>
  <w:style w:styleId="BodyText" w:type="paragraph">
    <w:name w:val="Body Text"/>
    <w:basedOn w:val="Normal"/>
    <w:link w:val="BodyTextChar"/>
    <w:pPr>
      <w:keepNext w:val="0"/>
      <w:widowControl/>
      <w:spacing w:after="0" w:before="0" w:line="480" w:lineRule="auto"/>
      <w:ind w:firstLine="720" w:left="0" w:right="0"/>
      <w:jc w:val="left"/>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keepNext w:val="0"/>
      <w:widowControl/>
      <w:spacing w:after="0" w:before="0" w:line="480" w:lineRule="auto"/>
      <w:ind w:firstLine="0" w:left="0" w:right="0"/>
      <w:jc w:val="left"/>
    </w:pPr>
    <w:rPr>
      <w:rFonts w:ascii="Times New Roman" w:cs="Times New Roman" w:eastAsia="Times New Roman" w:hAnsi="Times New Roman"/>
      <w:b w:val="0"/>
      <w:i w:val="0"/>
      <w:color w:val="000000"/>
      <w:sz w:val="24"/>
    </w:rPr>
  </w:style>
  <w:style w:customStyle="1" w:styleId="Compact" w:type="paragraph">
    <w:name w:val="Compact"/>
    <w:basedOn w:val="BodyText"/>
    <w:qFormat/>
    <w:pPr>
      <w:keepNext w:val="0"/>
      <w:widowControl/>
      <w:spacing w:after="0" w:before="0" w:line="240" w:lineRule="auto"/>
      <w:ind w:firstLine="0" w:left="0" w:right="0"/>
      <w:jc w:val="left"/>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widowControl/>
      <w:spacing w:after="240" w:before="0" w:line="240" w:lineRule="auto"/>
      <w:ind w:firstLine="0" w:left="0" w:right="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widowControl/>
      <w:spacing w:after="240" w:before="0" w:line="240" w:lineRule="auto"/>
      <w:ind w:firstLine="0" w:left="0" w:right="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widowControl/>
      <w:spacing w:after="0" w:before="0" w:line="240" w:lineRule="auto"/>
      <w:ind w:firstLine="0" w:left="0" w:right="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widowControl/>
      <w:spacing w:after="480" w:before="0" w:line="240" w:lineRule="auto"/>
      <w:ind w:firstLine="0" w:left="0" w:right="0"/>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ind w:firstLine="0" w:left="0" w:right="0"/>
      <w:jc w:val="center"/>
      <w:widowControl/>
      <w:spacing w:after="120" w:before="240" w:line="240" w:lineRule="auto"/>
    </w:pPr>
    <w:rPr>
      <w:color w:val="000000"/>
      <w:sz w:val="24"/>
      <w:szCs w:val="20"/>
      <w:rFonts w:ascii="Times New Roman" w:cs="Times New Roman" w:eastAsia="Times New Roman" w:hAnsi="Times New Roman"/>
      <w:b/>
      <w:i w:val="0"/>
    </w:rPr>
  </w:style>
  <w:style w:customStyle="1" w:styleId="Abstract" w:type="paragraph">
    <w:name w:val="Abstract"/>
    <w:basedOn w:val="Normal"/>
    <w:next w:val="BodyText"/>
    <w:qFormat/>
    <w:pPr>
      <w:keepNext w:val="0"/>
      <w:keepLines/>
      <w:widowControl/>
      <w:spacing w:after="240" w:before="0" w:line="240" w:lineRule="auto"/>
      <w:ind w:firstLine="0" w:left="720" w:right="720"/>
      <w:jc w:val="both"/>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keepNext w:val="0"/>
      <w:widowControl/>
      <w:spacing w:after="120" w:before="0" w:line="240" w:lineRule="auto"/>
      <w:ind w:hanging="720" w:left="720" w:right="0"/>
      <w:jc w:val="left"/>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widowControl/>
      <w:spacing w:after="0" w:before="240" w:line="480" w:lineRule="auto"/>
      <w:ind w:firstLine="0" w:left="0" w:right="0"/>
      <w:jc w:val="left"/>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widowControl/>
      <w:spacing w:after="0" w:before="240" w:line="480" w:lineRule="auto"/>
      <w:ind w:firstLine="0" w:left="0" w:right="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widowControl/>
      <w:spacing w:after="0" w:before="240" w:line="480" w:lineRule="auto"/>
      <w:ind w:firstLine="0" w:left="0" w:right="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widowControl/>
      <w:spacing w:after="0" w:before="240" w:line="480" w:lineRule="auto"/>
      <w:ind w:firstLine="0" w:left="0" w:right="0"/>
      <w:jc w:val="left"/>
      <w:outlineLvl w:val="3"/>
    </w:pPr>
    <w:rPr>
      <w:rFonts w:ascii="Times New Roman" w:cs="Times New Roman" w:eastAsia="Times New Roman" w:hAnsi="Times New Roman"/>
      <w:i/>
      <w:b w:val="0"/>
      <w:bCs/>
      <w:color w:val="000000"/>
      <w:sz w:val="24"/>
      <w:szCs w:val="24"/>
    </w:rPr>
  </w:style>
  <w:style w:styleId="Heading5" w:type="paragraph">
    <w:name w:val="Heading 5"/>
    <w:basedOn w:val="Normal"/>
    <w:next w:val="BodyText"/>
    <w:uiPriority w:val="9"/>
    <w:unhideWhenUsed/>
    <w:qFormat/>
    <w:pPr>
      <w:keepNext/>
      <w:keepLines/>
      <w:widowControl/>
      <w:spacing w:after="0" w:before="240" w:line="480" w:lineRule="auto"/>
      <w:ind w:firstLine="0" w:left="0" w:right="0"/>
      <w:jc w:val="left"/>
      <w:outlineLvl w:val="4"/>
    </w:pPr>
    <w:rPr>
      <w:rFonts w:ascii="Times New Roman" w:cs="Times New Roman" w:eastAsia="Times New Roman" w:hAnsi="Times New Roman"/>
      <w:b w:val="0"/>
      <w:i/>
      <w:iCs/>
      <w:color w:val="000000"/>
      <w:sz w:val="24"/>
      <w:szCs w:val="24"/>
    </w:rPr>
  </w:style>
  <w:style w:styleId="Heading6" w:type="paragraph">
    <w:name w:val="Heading 6"/>
    <w:basedOn w:val="Normal"/>
    <w:next w:val="BodyText"/>
    <w:uiPriority w:val="9"/>
    <w:unhideWhenUsed/>
    <w:qFormat/>
    <w:pPr>
      <w:keepNext/>
      <w:keepLines/>
      <w:widowControl/>
      <w:spacing w:after="0" w:before="240" w:line="480" w:lineRule="auto"/>
      <w:ind w:firstLine="0" w:left="0" w:right="0"/>
      <w:jc w:val="left"/>
      <w:outlineLvl w:val="5"/>
    </w:pPr>
    <w:rPr>
      <w:rFonts w:ascii="Times New Roman" w:cs="Times New Roman" w:eastAsia="Times New Roman" w:hAnsi="Times New Roman"/>
      <w:b w:val="0"/>
      <w:i/>
      <w:color w:val="000000"/>
      <w:sz w:val="24"/>
      <w:szCs w:val="24"/>
    </w:rPr>
  </w:style>
  <w:style w:styleId="Heading7" w:type="paragraph">
    <w:name w:val="Heading 7"/>
    <w:basedOn w:val="Normal"/>
    <w:next w:val="BodyText"/>
    <w:uiPriority w:val="9"/>
    <w:unhideWhenUsed/>
    <w:qFormat/>
    <w:pPr>
      <w:keepNext/>
      <w:keepLines/>
      <w:widowControl/>
      <w:spacing w:after="0" w:before="240" w:line="480" w:lineRule="auto"/>
      <w:ind w:firstLine="0" w:left="0" w:right="0"/>
      <w:jc w:val="left"/>
      <w:outlineLvl w:val="6"/>
    </w:pPr>
    <w:rPr>
      <w:rFonts w:ascii="Times New Roman" w:cs="Times New Roman" w:eastAsia="Times New Roman" w:hAnsi="Times New Roman"/>
      <w:b w:val="0"/>
      <w:i/>
      <w:color w:val="000000"/>
      <w:sz w:val="24"/>
      <w:szCs w:val="24"/>
    </w:rPr>
  </w:style>
  <w:style w:styleId="Heading8" w:type="paragraph">
    <w:name w:val="Heading 8"/>
    <w:basedOn w:val="Normal"/>
    <w:next w:val="BodyText"/>
    <w:uiPriority w:val="9"/>
    <w:unhideWhenUsed/>
    <w:qFormat/>
    <w:pPr>
      <w:keepNext/>
      <w:keepLines/>
      <w:widowControl/>
      <w:spacing w:after="0" w:before="240" w:line="480" w:lineRule="auto"/>
      <w:ind w:firstLine="0" w:left="0" w:right="0"/>
      <w:jc w:val="left"/>
      <w:outlineLvl w:val="7"/>
    </w:pPr>
    <w:rPr>
      <w:rFonts w:ascii="Times New Roman" w:cs="Times New Roman" w:eastAsia="Times New Roman" w:hAnsi="Times New Roman"/>
      <w:b w:val="0"/>
      <w:i/>
      <w:color w:val="000000"/>
      <w:sz w:val="24"/>
      <w:szCs w:val="24"/>
    </w:rPr>
  </w:style>
  <w:style w:styleId="Heading9" w:type="paragraph">
    <w:name w:val="Heading 9"/>
    <w:basedOn w:val="Normal"/>
    <w:next w:val="BodyText"/>
    <w:uiPriority w:val="9"/>
    <w:unhideWhenUsed/>
    <w:qFormat/>
    <w:pPr>
      <w:keepNext/>
      <w:keepLines/>
      <w:widowControl/>
      <w:spacing w:after="0" w:before="240" w:line="480" w:lineRule="auto"/>
      <w:ind w:firstLine="0" w:left="0" w:right="0"/>
      <w:jc w:val="left"/>
      <w:outlineLvl w:val="8"/>
    </w:pPr>
    <w:rPr>
      <w:rFonts w:ascii="Times New Roman" w:cs="Times New Roman" w:eastAsia="Times New Roman" w:hAnsi="Times New Roman"/>
      <w:b w:val="0"/>
      <w:i/>
      <w:color w:val="000000"/>
      <w:sz w:val="24"/>
      <w:szCs w:val="24"/>
    </w:rPr>
  </w:style>
  <w:style w:styleId="BlockText" w:type="paragraph">
    <w:name w:val="Block Text"/>
    <w:basedOn w:val="BodyText"/>
    <w:next w:val="BodyText"/>
    <w:uiPriority w:val="9"/>
    <w:unhideWhenUsed/>
    <w:qFormat/>
    <w:pPr>
      <w:keepNext w:val="0"/>
      <w:widowControl/>
      <w:spacing w:after="240" w:before="120" w:line="240" w:lineRule="auto"/>
      <w:ind w:firstLine="0" w:left="720" w:right="720"/>
      <w:jc w:val="left"/>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pPr>
      <w:keepNext w:val="0"/>
      <w:widowControl/>
      <w:spacing w:after="40" w:before="0" w:line="240" w:lineRule="auto"/>
      <w:ind w:firstLine="0" w:left="0" w:right="0"/>
      <w:jc w:val="left"/>
    </w:pPr>
    <w:rPr>
      <w:rFonts w:ascii="Times New Roman" w:cs="Times New Roman" w:eastAsia="Times New Roman" w:hAnsi="Times New Roman"/>
      <w:b w:val="0"/>
      <w:i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000000" w:space="0" w:sz="12" w:val="single"/>
        <w:left w:val="nil"/>
        <w:bottom w:color="000000" w:space="0" w:sz="12" w:val="single"/>
        <w:right w:val="nil"/>
        <w:insideH w:val="nil"/>
        <w:insideV w:val="nil"/>
      </w:tblBorders>
    </w:tblPr>
    <w:tblStylePr w:type="firstRow">
      <w:tcPr>
        <w:tcBorders>
          <w:bottom w:color="000000" w:space="0" w:sz="6" w:val="single"/>
        </w:tcBorders>
      </w:tcPr>
    </w:tblStylePr>
  </w:style>
  <w:style w:customStyle="1" w:styleId="DefinitionTerm" w:type="paragraph">
    <w:name w:val="Definition Term"/>
    <w:basedOn w:val="Normal"/>
    <w:next w:val="Definition"/>
    <w:pPr>
      <w:keepNext/>
      <w:keepLines/>
      <w:widowControl/>
      <w:spacing w:after="0" w:before="0" w:line="240" w:lineRule="auto"/>
      <w:ind w:firstLine="0" w:left="0" w:right="0"/>
      <w:jc w:val="left"/>
    </w:pPr>
    <w:rPr>
      <w:rFonts w:ascii="Times New Roman" w:cs="Times New Roman" w:eastAsia="Times New Roman" w:hAnsi="Times New Roman"/>
      <w:b/>
      <w:i w:val="0"/>
      <w:color w:val="000000"/>
      <w:sz w:val="24"/>
    </w:rPr>
  </w:style>
  <w:style w:customStyle="1" w:styleId="Definition" w:type="paragraph">
    <w:name w:val="Definition"/>
    <w:basedOn w:val="Normal"/>
    <w:pPr>
      <w:keepNext w:val="0"/>
      <w:widowControl/>
      <w:spacing w:after="120" w:before="0" w:line="240" w:lineRule="auto"/>
      <w:ind w:firstLine="0" w:left="720" w:right="0"/>
      <w:jc w:val="left"/>
    </w:pPr>
    <w:rPr>
      <w:rFonts w:ascii="Times New Roman" w:cs="Times New Roman" w:eastAsia="Times New Roman" w:hAnsi="Times New Roman"/>
      <w:b w:val="0"/>
      <w:i w:val="0"/>
      <w:color w:val="000000"/>
      <w:sz w:val="24"/>
    </w:rPr>
  </w:style>
  <w:style w:styleId="Caption" w:type="paragraph">
    <w:name w:val="Caption"/>
    <w:basedOn w:val="Normal"/>
    <w:link w:val="BodyTextChar"/>
    <w:pPr>
      <w:keepNext w:val="0"/>
      <w:widowControl/>
      <w:spacing w:after="240" w:before="120" w:line="240" w:lineRule="auto"/>
      <w:ind w:firstLine="0" w:left="0" w:right="0"/>
      <w:jc w:val="left"/>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widowControl/>
      <w:spacing w:after="120" w:before="240" w:line="240" w:lineRule="auto"/>
      <w:ind w:firstLine="0" w:left="0" w:right="0"/>
      <w:jc w:val="left"/>
    </w:pPr>
    <w:rPr>
      <w:rFonts w:ascii="Times New Roman" w:cs="Times New Roman" w:eastAsia="Times New Roman" w:hAnsi="Times New Roman"/>
      <w:b w:val="0"/>
      <w:i w:val="0"/>
      <w:color w:val="000000"/>
      <w:sz w:val="24"/>
    </w:rPr>
  </w:style>
  <w:style w:customStyle="1" w:styleId="ImageCaption" w:type="paragraph">
    <w:name w:val="Image Caption"/>
    <w:basedOn w:val="Caption"/>
    <w:pPr>
      <w:keepNext w:val="0"/>
      <w:widowControl/>
      <w:spacing w:after="240" w:before="120" w:line="240" w:lineRule="auto"/>
      <w:ind w:firstLine="0" w:left="0" w:right="0"/>
      <w:jc w:val="left"/>
    </w:pPr>
    <w:rPr>
      <w:rFonts w:ascii="Times New Roman" w:cs="Times New Roman" w:eastAsia="Times New Roman" w:hAnsi="Times New Roman"/>
      <w:b w:val="0"/>
      <w:i w:val="0"/>
      <w:color w:val="000000"/>
      <w:sz w:val="24"/>
    </w:rPr>
  </w:style>
  <w:style w:customStyle="1" w:styleId="Figure" w:type="paragraph">
    <w:name w:val="Figure"/>
    <w:basedOn w:val="Normal"/>
    <w:pPr>
      <w:keepNext/>
      <w:widowControl/>
      <w:spacing w:after="0" w:before="240" w:line="240" w:lineRule="auto"/>
      <w:ind w:firstLine="0" w:left="0" w:right="0"/>
      <w:jc w:val="center"/>
    </w:pPr>
    <w:rPr>
      <w:rFonts w:ascii="Times New Roman" w:cs="Times New Roman" w:eastAsia="Times New Roman" w:hAnsi="Times New Roman"/>
      <w:b w:val="0"/>
      <w:i w:val="0"/>
      <w:color w:val="000000"/>
      <w:sz w:val="24"/>
    </w:rPr>
  </w:style>
  <w:style w:customStyle="1" w:styleId="CaptionedFigure" w:type="paragraph">
    <w:name w:val="Captioned Figure"/>
    <w:basedOn w:val="Figure"/>
    <w:pPr>
      <w:keepNext/>
      <w:widowControl/>
      <w:spacing w:after="0" w:before="240" w:line="240" w:lineRule="auto"/>
      <w:ind w:firstLine="0" w:left="0" w:right="0"/>
      <w:jc w:val="center"/>
    </w:pPr>
    <w:rPr>
      <w:rFonts w:ascii="Times New Roman" w:cs="Times New Roman" w:eastAsia="Times New Roman" w:hAnsi="Times New Roman"/>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i w:val="0"/>
      <w:color w:val="000000"/>
      <w:sz w:val="20"/>
      <w:u w:val="none"/>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b w:val="0"/>
      <w:i w:val="0"/>
      <w:color w:val="000000"/>
      <w:sz w:val="24"/>
      <w:u w:val="none"/>
      <w:vertAlign w:val="superscript"/>
    </w:rPr>
  </w:style>
  <w:style w:styleId="Hyperlink" w:type="character">
    <w:name w:val="Hyperlink"/>
    <w:basedOn w:val="BodyTextChar"/>
    <w:rPr>
      <w:rFonts w:ascii="Times New Roman" w:cs="Times New Roman" w:eastAsia="Times New Roman" w:hAnsi="Times New Roman"/>
      <w:b w:val="0"/>
      <w:i w:val="0"/>
      <w:color w:val="000000"/>
      <w:sz w:val="24"/>
      <w:u w:val="none"/>
    </w:rPr>
  </w:style>
  <w:style w:styleId="TOCHeading" w:type="paragraph">
    <w:name w:val="TOC Heading"/>
    <w:basedOn w:val="Heading1"/>
    <w:next w:val="BodyText"/>
    <w:uiPriority w:val="39"/>
    <w:unhideWhenUsed/>
    <w:qFormat/>
    <w:pPr>
      <w:keepNext w:val="0"/>
      <w:widowControl/>
      <w:spacing w:after="120" w:before="240" w:line="240" w:lineRule="auto"/>
      <w:ind w:firstLine="0" w:left="0" w:right="0"/>
      <w:jc w:val="left"/>
      <w:outlineLvl w:val="9"/>
    </w:pPr>
    <w:rPr>
      <w:rFonts w:ascii="Times New Roman" w:cs="Times New Roman" w:eastAsia="Times New Roman" w:hAnsi="Times New Roman"/>
      <w:b/>
      <w:bCs w:val="0"/>
      <w:i w:val="0"/>
      <w:color w:val="000000"/>
      <w:sz w:val="24"/>
    </w:rPr>
  </w:style>
  <w:style w:customStyle="1" w:styleId="TableNote" w:type="paragraph">
    <w:name w:val="Table Note"/>
    <w:basedOn w:val="Normal"/>
    <w:pPr>
      <w:keepNext w:val="0"/>
      <w:widowControl/>
      <w:spacing w:after="80" w:before="0" w:line="240" w:lineRule="auto"/>
      <w:ind w:firstLine="0" w:left="0" w:right="0"/>
      <w:jc w:val="left"/>
    </w:pPr>
    <w:rPr>
      <w:rFonts w:ascii="Times New Roman" w:cs="Times New Roman" w:eastAsia="Times New Roman" w:hAnsi="Times New Roman"/>
      <w:b w:val="0"/>
      <w:i w:val="0"/>
      <w:color w:val="000000"/>
      <w:sz w:val="20"/>
    </w:rPr>
  </w:style>
  <w:style w:customStyle="1" w:styleId="FigureNote" w:type="paragraph">
    <w:name w:val="Figure Note"/>
    <w:basedOn w:val="Normal"/>
    <w:pPr>
      <w:keepNext w:val="0"/>
      <w:widowControl/>
      <w:spacing w:after="80" w:before="0" w:line="240" w:lineRule="auto"/>
      <w:ind w:firstLine="0" w:left="0" w:right="0"/>
      <w:jc w:val="left"/>
    </w:pPr>
    <w:rPr>
      <w:rFonts w:ascii="Times New Roman" w:cs="Times New Roman" w:eastAsia="Times New Roman" w:hAnsi="Times New Roman"/>
      <w:b w:val="0"/>
      <w:i w:val="0"/>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99" Target="media/rId99.png"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31" Target="media/rId31.png" /><Relationship Type="http://schemas.openxmlformats.org/officeDocument/2006/relationships/hyperlink" Id="rId182" Target="https://datacatalog.worldbank.org/search/dataset/0066829/global-fuel-prices-database" TargetMode="External" /><Relationship Type="http://schemas.openxmlformats.org/officeDocument/2006/relationships/hyperlink" Id="rId204" Target="https://datacatalogfiles.worldbank.org/ddh-published/0066829/DR0095290/Global_Fuel_Prices_Database.xlsx" TargetMode="External" /><Relationship Type="http://schemas.openxmlformats.org/officeDocument/2006/relationships/hyperlink" Id="rId172" Target="https://doi.org/10.1002/jae.2333" TargetMode="External" /><Relationship Type="http://schemas.openxmlformats.org/officeDocument/2006/relationships/hyperlink" Id="rId144" Target="https://doi.org/10.1016/j.eneco.2017.06.017" TargetMode="External" /><Relationship Type="http://schemas.openxmlformats.org/officeDocument/2006/relationships/hyperlink" Id="rId148" Target="https://doi.org/10.1016/j.eneco.2022.105909" TargetMode="External" /><Relationship Type="http://schemas.openxmlformats.org/officeDocument/2006/relationships/hyperlink" Id="rId166" Target="https://doi.org/10.1016/j.enpol.2014.02.006" TargetMode="External" /><Relationship Type="http://schemas.openxmlformats.org/officeDocument/2006/relationships/hyperlink" Id="rId168" Target="https://doi.org/10.1016/j.enpol.2015.09.018" TargetMode="External" /><Relationship Type="http://schemas.openxmlformats.org/officeDocument/2006/relationships/hyperlink" Id="rId146" Target="https://doi.org/10.1016/j.enpol.2020.111999" TargetMode="External" /><Relationship Type="http://schemas.openxmlformats.org/officeDocument/2006/relationships/hyperlink" Id="rId130" Target="https://doi.org/10.1016/j.jimonfin.2016.10.001" TargetMode="External" /><Relationship Type="http://schemas.openxmlformats.org/officeDocument/2006/relationships/hyperlink" Id="rId118" Target="https://doi.org/10.1016/j.jimonfin.2017.12.004" TargetMode="External" /><Relationship Type="http://schemas.openxmlformats.org/officeDocument/2006/relationships/hyperlink" Id="rId138" Target="https://doi.org/10.1016/j.jmoneco.2017.08.002" TargetMode="External" /><Relationship Type="http://schemas.openxmlformats.org/officeDocument/2006/relationships/hyperlink" Id="rId111" Target="https://doi.org/10.1016/j.latcb.2025.100180" TargetMode="External" /><Relationship Type="http://schemas.openxmlformats.org/officeDocument/2006/relationships/hyperlink" Id="rId122" Target="https://doi.org/10.1016/j.worlddev.2018.11.015" TargetMode="External" /><Relationship Type="http://schemas.openxmlformats.org/officeDocument/2006/relationships/hyperlink" Id="rId170" Target="https://doi.org/10.1111/asej.12029" TargetMode="External" /><Relationship Type="http://schemas.openxmlformats.org/officeDocument/2006/relationships/hyperlink" Id="rId178" Target="https://doi.org/10.1111/asej.12147" TargetMode="External" /><Relationship Type="http://schemas.openxmlformats.org/officeDocument/2006/relationships/hyperlink" Id="rId164" Target="https://doi.org/10.1111/asej.12164" TargetMode="External" /><Relationship Type="http://schemas.openxmlformats.org/officeDocument/2006/relationships/hyperlink" Id="rId113" Target="https://doi.org/10.1111/asej.12249" TargetMode="External" /><Relationship Type="http://schemas.openxmlformats.org/officeDocument/2006/relationships/hyperlink" Id="rId140" Target="https://doi.org/10.1111/asej.12277" TargetMode="External" /><Relationship Type="http://schemas.openxmlformats.org/officeDocument/2006/relationships/hyperlink" Id="rId156" Target="https://doi.org/10.1111/asej.12278" TargetMode="External" /><Relationship Type="http://schemas.openxmlformats.org/officeDocument/2006/relationships/hyperlink" Id="rId180" Target="https://doi.org/10.1111/asej.12332" TargetMode="External" /><Relationship Type="http://schemas.openxmlformats.org/officeDocument/2006/relationships/hyperlink" Id="rId174" Target="https://doi.org/10.1111/j.1467-8381.2007.00244.x" TargetMode="External" /><Relationship Type="http://schemas.openxmlformats.org/officeDocument/2006/relationships/hyperlink" Id="rId150" Target="https://doi.org/10.1111/j.1467-8381.2011.02046.x" TargetMode="External" /><Relationship Type="http://schemas.openxmlformats.org/officeDocument/2006/relationships/hyperlink" Id="rId132" Target="https://doi.org/10.1146/annurev-economics-091520-082042" TargetMode="External" /><Relationship Type="http://schemas.openxmlformats.org/officeDocument/2006/relationships/hyperlink" Id="rId124" Target="https://doi.org/10.1162/003465398557825" TargetMode="External" /><Relationship Type="http://schemas.openxmlformats.org/officeDocument/2006/relationships/hyperlink" Id="rId134" Target="https://doi.org/10.1257/0002828053828518" TargetMode="External" /><Relationship Type="http://schemas.openxmlformats.org/officeDocument/2006/relationships/hyperlink" Id="rId115" Target="https://doi.org/10.1257/aer.20151569" TargetMode="External" /><Relationship Type="http://schemas.openxmlformats.org/officeDocument/2006/relationships/hyperlink" Id="rId136" Target="https://doi.org/10.1257/aer.20190964" TargetMode="External" /><Relationship Type="http://schemas.openxmlformats.org/officeDocument/2006/relationships/hyperlink" Id="rId142" Target="https://doi.org/10.1257/aer.99.3.1053" TargetMode="External" /><Relationship Type="http://schemas.openxmlformats.org/officeDocument/2006/relationships/hyperlink" Id="rId154" Target="https://doi.org/10.2307/1913610" TargetMode="External" /><Relationship Type="http://schemas.openxmlformats.org/officeDocument/2006/relationships/hyperlink" Id="rId126" Target="https://doi.org/10.2307/2673879" TargetMode="External" /><Relationship Type="http://schemas.openxmlformats.org/officeDocument/2006/relationships/hyperlink" Id="rId160" Target="https://doi.org/10.3982/ECTA17813" TargetMode="External" /><Relationship Type="http://schemas.openxmlformats.org/officeDocument/2006/relationships/hyperlink" Id="rId152" Target="https://doi.org/10.3982/ECTA18756" TargetMode="External" /><Relationship Type="http://schemas.openxmlformats.org/officeDocument/2006/relationships/hyperlink" Id="rId120" Target="https://doi.org/10.5089/9781513501390.001" TargetMode="External" /><Relationship Type="http://schemas.openxmlformats.org/officeDocument/2006/relationships/hyperlink" Id="rId210" Target="https://ec.europa.eu/eurostat/api/dissemination/sdmx/2.1/data/ert_bil_eur_m/M.AVG.NAC.USD?format=TSV" TargetMode="External" /><Relationship Type="http://schemas.openxmlformats.org/officeDocument/2006/relationships/hyperlink" Id="rId208" Target="https://ec.europa.eu/eurostat/api/dissemination/sdmx/2.1/data/prc_hicp_midx/M.I15.CP00+CP0722.?format=TSV" TargetMode="External" /><Relationship Type="http://schemas.openxmlformats.org/officeDocument/2006/relationships/hyperlink" Id="rId128" Target="https://energy.ec.europa.eu/data-and-analysis/weekly-oil-bulletin_en" TargetMode="External" /><Relationship Type="http://schemas.openxmlformats.org/officeDocument/2006/relationships/hyperlink" Id="rId209" Target="https://energy.ec.europa.eu/document/download/906e60ca-8b6a-44e7-8589-652854d2fd3f_en?filename=Weekly_Oil_Bulletin_Prices_History_maticni_4web.xlsx" TargetMode="External" /><Relationship Type="http://schemas.openxmlformats.org/officeDocument/2006/relationships/hyperlink" Id="rId188" Target="https://github.com/liancataytayjk-coder/oil-shock-distribution" TargetMode="External" /><Relationship Type="http://schemas.openxmlformats.org/officeDocument/2006/relationships/hyperlink" Id="rId162" Target="https://lawphil.net/statutes/repacts/ra2026/ra_12316_2026.html" TargetMode="External" /><Relationship Type="http://schemas.openxmlformats.org/officeDocument/2006/relationships/hyperlink" Id="rId158" Target="https://openstat.psa.gov.ph" TargetMode="External" /><Relationship Type="http://schemas.openxmlformats.org/officeDocument/2006/relationships/hyperlink" Id="rId202" Target="https://openstat.psa.gov.ph/PXWeb/api/v1/en/DB/1F/FY/0031F3DF020.px" TargetMode="External" /><Relationship Type="http://schemas.openxmlformats.org/officeDocument/2006/relationships/hyperlink" Id="rId198" Target="https://openstat.psa.gov.ph/PXWeb/api/v1/en/DB/2M/PI/BIH/2018/0022M4ABOT1.px" TargetMode="External" /><Relationship Type="http://schemas.openxmlformats.org/officeDocument/2006/relationships/hyperlink" Id="rId199" Target="https://openstat.psa.gov.ph/PXWeb/api/v1/en/DB/2M/PI/BIH/2018/0022M4ABOT3.px" TargetMode="External" /><Relationship Type="http://schemas.openxmlformats.org/officeDocument/2006/relationships/hyperlink" Id="rId197" Target="https://openstat.psa.gov.ph/PXWeb/api/v1/en/DB/2M/PI/BIH/2018/0022M4ABOT4.px" TargetMode="External" /><Relationship Type="http://schemas.openxmlformats.org/officeDocument/2006/relationships/hyperlink" Id="rId196" Target="https://openstat.psa.gov.ph/PXWeb/api/v1/en/DB/2M/PI/BIH/2018/0022M4ABOT5.px" TargetMode="External" /><Relationship Type="http://schemas.openxmlformats.org/officeDocument/2006/relationships/hyperlink" Id="rId200" Target="https://openstat.psa.gov.ph/PXWeb/api/v1/en/DB/2M/PI/BIH/2018NEW/0022M4ABIR1.px" TargetMode="External" /><Relationship Type="http://schemas.openxmlformats.org/officeDocument/2006/relationships/hyperlink" Id="rId201" Target="https://openstat.psa.gov.ph/PXWeb/api/v1/en/DB/2M/PI/BIH/2018NEW/0022M4ABIR3.px" TargetMode="External" /><Relationship Type="http://schemas.openxmlformats.org/officeDocument/2006/relationships/hyperlink" Id="rId191" Target="https://openstat.psa.gov.ph/PXWeb/api/v1/en/DB/2M/PI/CPI/2018/0012M4ACP09.px" TargetMode="External" /><Relationship Type="http://schemas.openxmlformats.org/officeDocument/2006/relationships/hyperlink" Id="rId192" Target="https://openstat.psa.gov.ph/PXWeb/api/v1/en/DB/2M/PI/CPI/2018/0012M4ACP12.px" TargetMode="External" /><Relationship Type="http://schemas.openxmlformats.org/officeDocument/2006/relationships/hyperlink" Id="rId190" Target="https://openstat.psa.gov.ph/PXWeb/api/v1/en/DB/2M/PI/CPI/2018/0012M4ACP15.px" TargetMode="External" /><Relationship Type="http://schemas.openxmlformats.org/officeDocument/2006/relationships/hyperlink" Id="rId193" Target="https://openstat.psa.gov.ph/PXWeb/api/v1/en/DB/2M/PI/CPI/2018NEW/0012M4ACP22.px" TargetMode="External" /><Relationship Type="http://schemas.openxmlformats.org/officeDocument/2006/relationships/hyperlink" Id="rId195" Target="https://openstat.psa.gov.ph/PXWeb/api/v1/en/DB/2M/PI/CPI/2018NEW/0012M4ACP25.px" TargetMode="External" /><Relationship Type="http://schemas.openxmlformats.org/officeDocument/2006/relationships/hyperlink" Id="rId194" Target="https://openstat.psa.gov.ph/PXWeb/api/v1/en/DB/2M/PI/CPI/2018NEW/0012M4ACP28.px" TargetMode="External" /><Relationship Type="http://schemas.openxmlformats.org/officeDocument/2006/relationships/hyperlink" Id="rId206" Target="https://stats.bis.org/api/v1/data/WS_CBPOL/M.PH?format=csv" TargetMode="External" /><Relationship Type="http://schemas.openxmlformats.org/officeDocument/2006/relationships/hyperlink" Id="rId203" Target="https://thedocs.worldbank.org/en/doc/74e8be41ceb20fa0da750cda2f6b9e4e-0050012026/related/CMO-Historical-Data-Monthly.xlsx" TargetMode="External" /><Relationship Type="http://schemas.openxmlformats.org/officeDocument/2006/relationships/hyperlink" Id="rId205" Target="https://www.bsp.gov.ph/Statistics/External/pesodollar.xlsx" TargetMode="External" /><Relationship Type="http://schemas.openxmlformats.org/officeDocument/2006/relationships/hyperlink" Id="rId207" Target="https://www.fao.org/media/docs/worldfoodsituationlibraries/wfs-library/food_price_indices_data.csv" TargetMode="External" /><Relationship Type="http://schemas.openxmlformats.org/officeDocument/2006/relationships/hyperlink" Id="rId211" Target="https://www.imf.org/en/publications/wp/issues/2021/11/12/the-distributional-implications-of-the-impact-of-fuel-price-increases-on-inflation-506822" TargetMode="External" /><Relationship Type="http://schemas.openxmlformats.org/officeDocument/2006/relationships/hyperlink" Id="rId184" Target="https://www.worldbank.org/en/research/commodity-markets" TargetMode="External" /></Relationships>
</file>

<file path=word/_rels/footnotes.xml.rels><?xml version="1.0" encoding="UTF-8"?><Relationships xmlns="http://schemas.openxmlformats.org/package/2006/relationships"><Relationship Type="http://schemas.openxmlformats.org/officeDocument/2006/relationships/hyperlink" Id="rId182" Target="https://datacatalog.worldbank.org/search/dataset/0066829/global-fuel-prices-database" TargetMode="External" /><Relationship Type="http://schemas.openxmlformats.org/officeDocument/2006/relationships/hyperlink" Id="rId204" Target="https://datacatalogfiles.worldbank.org/ddh-published/0066829/DR0095290/Global_Fuel_Prices_Database.xlsx" TargetMode="External" /><Relationship Type="http://schemas.openxmlformats.org/officeDocument/2006/relationships/hyperlink" Id="rId172" Target="https://doi.org/10.1002/jae.2333" TargetMode="External" /><Relationship Type="http://schemas.openxmlformats.org/officeDocument/2006/relationships/hyperlink" Id="rId144" Target="https://doi.org/10.1016/j.eneco.2017.06.017" TargetMode="External" /><Relationship Type="http://schemas.openxmlformats.org/officeDocument/2006/relationships/hyperlink" Id="rId148" Target="https://doi.org/10.1016/j.eneco.2022.105909" TargetMode="External" /><Relationship Type="http://schemas.openxmlformats.org/officeDocument/2006/relationships/hyperlink" Id="rId166" Target="https://doi.org/10.1016/j.enpol.2014.02.006" TargetMode="External" /><Relationship Type="http://schemas.openxmlformats.org/officeDocument/2006/relationships/hyperlink" Id="rId168" Target="https://doi.org/10.1016/j.enpol.2015.09.018" TargetMode="External" /><Relationship Type="http://schemas.openxmlformats.org/officeDocument/2006/relationships/hyperlink" Id="rId146" Target="https://doi.org/10.1016/j.enpol.2020.111999" TargetMode="External" /><Relationship Type="http://schemas.openxmlformats.org/officeDocument/2006/relationships/hyperlink" Id="rId130" Target="https://doi.org/10.1016/j.jimonfin.2016.10.001" TargetMode="External" /><Relationship Type="http://schemas.openxmlformats.org/officeDocument/2006/relationships/hyperlink" Id="rId118" Target="https://doi.org/10.1016/j.jimonfin.2017.12.004" TargetMode="External" /><Relationship Type="http://schemas.openxmlformats.org/officeDocument/2006/relationships/hyperlink" Id="rId138" Target="https://doi.org/10.1016/j.jmoneco.2017.08.002" TargetMode="External" /><Relationship Type="http://schemas.openxmlformats.org/officeDocument/2006/relationships/hyperlink" Id="rId111" Target="https://doi.org/10.1016/j.latcb.2025.100180" TargetMode="External" /><Relationship Type="http://schemas.openxmlformats.org/officeDocument/2006/relationships/hyperlink" Id="rId122" Target="https://doi.org/10.1016/j.worlddev.2018.11.015" TargetMode="External" /><Relationship Type="http://schemas.openxmlformats.org/officeDocument/2006/relationships/hyperlink" Id="rId170" Target="https://doi.org/10.1111/asej.12029" TargetMode="External" /><Relationship Type="http://schemas.openxmlformats.org/officeDocument/2006/relationships/hyperlink" Id="rId178" Target="https://doi.org/10.1111/asej.12147" TargetMode="External" /><Relationship Type="http://schemas.openxmlformats.org/officeDocument/2006/relationships/hyperlink" Id="rId164" Target="https://doi.org/10.1111/asej.12164" TargetMode="External" /><Relationship Type="http://schemas.openxmlformats.org/officeDocument/2006/relationships/hyperlink" Id="rId113" Target="https://doi.org/10.1111/asej.12249" TargetMode="External" /><Relationship Type="http://schemas.openxmlformats.org/officeDocument/2006/relationships/hyperlink" Id="rId140" Target="https://doi.org/10.1111/asej.12277" TargetMode="External" /><Relationship Type="http://schemas.openxmlformats.org/officeDocument/2006/relationships/hyperlink" Id="rId156" Target="https://doi.org/10.1111/asej.12278" TargetMode="External" /><Relationship Type="http://schemas.openxmlformats.org/officeDocument/2006/relationships/hyperlink" Id="rId180" Target="https://doi.org/10.1111/asej.12332" TargetMode="External" /><Relationship Type="http://schemas.openxmlformats.org/officeDocument/2006/relationships/hyperlink" Id="rId174" Target="https://doi.org/10.1111/j.1467-8381.2007.00244.x" TargetMode="External" /><Relationship Type="http://schemas.openxmlformats.org/officeDocument/2006/relationships/hyperlink" Id="rId150" Target="https://doi.org/10.1111/j.1467-8381.2011.02046.x" TargetMode="External" /><Relationship Type="http://schemas.openxmlformats.org/officeDocument/2006/relationships/hyperlink" Id="rId132" Target="https://doi.org/10.1146/annurev-economics-091520-082042" TargetMode="External" /><Relationship Type="http://schemas.openxmlformats.org/officeDocument/2006/relationships/hyperlink" Id="rId124" Target="https://doi.org/10.1162/003465398557825" TargetMode="External" /><Relationship Type="http://schemas.openxmlformats.org/officeDocument/2006/relationships/hyperlink" Id="rId134" Target="https://doi.org/10.1257/0002828053828518" TargetMode="External" /><Relationship Type="http://schemas.openxmlformats.org/officeDocument/2006/relationships/hyperlink" Id="rId115" Target="https://doi.org/10.1257/aer.20151569" TargetMode="External" /><Relationship Type="http://schemas.openxmlformats.org/officeDocument/2006/relationships/hyperlink" Id="rId136" Target="https://doi.org/10.1257/aer.20190964" TargetMode="External" /><Relationship Type="http://schemas.openxmlformats.org/officeDocument/2006/relationships/hyperlink" Id="rId142" Target="https://doi.org/10.1257/aer.99.3.1053" TargetMode="External" /><Relationship Type="http://schemas.openxmlformats.org/officeDocument/2006/relationships/hyperlink" Id="rId154" Target="https://doi.org/10.2307/1913610" TargetMode="External" /><Relationship Type="http://schemas.openxmlformats.org/officeDocument/2006/relationships/hyperlink" Id="rId126" Target="https://doi.org/10.2307/2673879" TargetMode="External" /><Relationship Type="http://schemas.openxmlformats.org/officeDocument/2006/relationships/hyperlink" Id="rId160" Target="https://doi.org/10.3982/ECTA17813" TargetMode="External" /><Relationship Type="http://schemas.openxmlformats.org/officeDocument/2006/relationships/hyperlink" Id="rId152" Target="https://doi.org/10.3982/ECTA18756" TargetMode="External" /><Relationship Type="http://schemas.openxmlformats.org/officeDocument/2006/relationships/hyperlink" Id="rId120" Target="https://doi.org/10.5089/9781513501390.001" TargetMode="External" /><Relationship Type="http://schemas.openxmlformats.org/officeDocument/2006/relationships/hyperlink" Id="rId210" Target="https://ec.europa.eu/eurostat/api/dissemination/sdmx/2.1/data/ert_bil_eur_m/M.AVG.NAC.USD?format=TSV" TargetMode="External" /><Relationship Type="http://schemas.openxmlformats.org/officeDocument/2006/relationships/hyperlink" Id="rId208" Target="https://ec.europa.eu/eurostat/api/dissemination/sdmx/2.1/data/prc_hicp_midx/M.I15.CP00+CP0722.?format=TSV" TargetMode="External" /><Relationship Type="http://schemas.openxmlformats.org/officeDocument/2006/relationships/hyperlink" Id="rId128" Target="https://energy.ec.europa.eu/data-and-analysis/weekly-oil-bulletin_en" TargetMode="External" /><Relationship Type="http://schemas.openxmlformats.org/officeDocument/2006/relationships/hyperlink" Id="rId209" Target="https://energy.ec.europa.eu/document/download/906e60ca-8b6a-44e7-8589-652854d2fd3f_en?filename=Weekly_Oil_Bulletin_Prices_History_maticni_4web.xlsx" TargetMode="External" /><Relationship Type="http://schemas.openxmlformats.org/officeDocument/2006/relationships/hyperlink" Id="rId188" Target="https://github.com/liancataytayjk-coder/oil-shock-distribution" TargetMode="External" /><Relationship Type="http://schemas.openxmlformats.org/officeDocument/2006/relationships/hyperlink" Id="rId162" Target="https://lawphil.net/statutes/repacts/ra2026/ra_12316_2026.html" TargetMode="External" /><Relationship Type="http://schemas.openxmlformats.org/officeDocument/2006/relationships/hyperlink" Id="rId158" Target="https://openstat.psa.gov.ph" TargetMode="External" /><Relationship Type="http://schemas.openxmlformats.org/officeDocument/2006/relationships/hyperlink" Id="rId202" Target="https://openstat.psa.gov.ph/PXWeb/api/v1/en/DB/1F/FY/0031F3DF020.px" TargetMode="External" /><Relationship Type="http://schemas.openxmlformats.org/officeDocument/2006/relationships/hyperlink" Id="rId198" Target="https://openstat.psa.gov.ph/PXWeb/api/v1/en/DB/2M/PI/BIH/2018/0022M4ABOT1.px" TargetMode="External" /><Relationship Type="http://schemas.openxmlformats.org/officeDocument/2006/relationships/hyperlink" Id="rId199" Target="https://openstat.psa.gov.ph/PXWeb/api/v1/en/DB/2M/PI/BIH/2018/0022M4ABOT3.px" TargetMode="External" /><Relationship Type="http://schemas.openxmlformats.org/officeDocument/2006/relationships/hyperlink" Id="rId197" Target="https://openstat.psa.gov.ph/PXWeb/api/v1/en/DB/2M/PI/BIH/2018/0022M4ABOT4.px" TargetMode="External" /><Relationship Type="http://schemas.openxmlformats.org/officeDocument/2006/relationships/hyperlink" Id="rId196" Target="https://openstat.psa.gov.ph/PXWeb/api/v1/en/DB/2M/PI/BIH/2018/0022M4ABOT5.px" TargetMode="External" /><Relationship Type="http://schemas.openxmlformats.org/officeDocument/2006/relationships/hyperlink" Id="rId200" Target="https://openstat.psa.gov.ph/PXWeb/api/v1/en/DB/2M/PI/BIH/2018NEW/0022M4ABIR1.px" TargetMode="External" /><Relationship Type="http://schemas.openxmlformats.org/officeDocument/2006/relationships/hyperlink" Id="rId201" Target="https://openstat.psa.gov.ph/PXWeb/api/v1/en/DB/2M/PI/BIH/2018NEW/0022M4ABIR3.px" TargetMode="External" /><Relationship Type="http://schemas.openxmlformats.org/officeDocument/2006/relationships/hyperlink" Id="rId191" Target="https://openstat.psa.gov.ph/PXWeb/api/v1/en/DB/2M/PI/CPI/2018/0012M4ACP09.px" TargetMode="External" /><Relationship Type="http://schemas.openxmlformats.org/officeDocument/2006/relationships/hyperlink" Id="rId192" Target="https://openstat.psa.gov.ph/PXWeb/api/v1/en/DB/2M/PI/CPI/2018/0012M4ACP12.px" TargetMode="External" /><Relationship Type="http://schemas.openxmlformats.org/officeDocument/2006/relationships/hyperlink" Id="rId190" Target="https://openstat.psa.gov.ph/PXWeb/api/v1/en/DB/2M/PI/CPI/2018/0012M4ACP15.px" TargetMode="External" /><Relationship Type="http://schemas.openxmlformats.org/officeDocument/2006/relationships/hyperlink" Id="rId193" Target="https://openstat.psa.gov.ph/PXWeb/api/v1/en/DB/2M/PI/CPI/2018NEW/0012M4ACP22.px" TargetMode="External" /><Relationship Type="http://schemas.openxmlformats.org/officeDocument/2006/relationships/hyperlink" Id="rId195" Target="https://openstat.psa.gov.ph/PXWeb/api/v1/en/DB/2M/PI/CPI/2018NEW/0012M4ACP25.px" TargetMode="External" /><Relationship Type="http://schemas.openxmlformats.org/officeDocument/2006/relationships/hyperlink" Id="rId194" Target="https://openstat.psa.gov.ph/PXWeb/api/v1/en/DB/2M/PI/CPI/2018NEW/0012M4ACP28.px" TargetMode="External" /><Relationship Type="http://schemas.openxmlformats.org/officeDocument/2006/relationships/hyperlink" Id="rId206" Target="https://stats.bis.org/api/v1/data/WS_CBPOL/M.PH?format=csv" TargetMode="External" /><Relationship Type="http://schemas.openxmlformats.org/officeDocument/2006/relationships/hyperlink" Id="rId203" Target="https://thedocs.worldbank.org/en/doc/74e8be41ceb20fa0da750cda2f6b9e4e-0050012026/related/CMO-Historical-Data-Monthly.xlsx" TargetMode="External" /><Relationship Type="http://schemas.openxmlformats.org/officeDocument/2006/relationships/hyperlink" Id="rId205" Target="https://www.bsp.gov.ph/Statistics/External/pesodollar.xlsx" TargetMode="External" /><Relationship Type="http://schemas.openxmlformats.org/officeDocument/2006/relationships/hyperlink" Id="rId207" Target="https://www.fao.org/media/docs/worldfoodsituationlibraries/wfs-library/food_price_indices_data.csv" TargetMode="External" /><Relationship Type="http://schemas.openxmlformats.org/officeDocument/2006/relationships/hyperlink" Id="rId211" Target="https://www.imf.org/en/publications/wp/issues/2021/11/12/the-distributional-implications-of-the-impact-of-fuel-price-increases-on-inflation-506822" TargetMode="External" /><Relationship Type="http://schemas.openxmlformats.org/officeDocument/2006/relationships/hyperlink" Id="rId184" Target="https://www.worldbank.org/en/research/commodity-mark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Oil Shocks? Fuel Price Pass-Through to the Inflation of Poor Households across Philippine Regions, 2001–2026</dc:title>
  <dc:creator>[Author name], Master of Arts in Economics (Applied Economics), Graduate School of Applied Economics, University of Southeastern Philippines, Davao City</dc:creator>
  <cp:keywords/>
  <dcterms:created xsi:type="dcterms:W3CDTF">2026-10-21T18:19:15Z</dcterms:created>
  <dcterms:modified xsi:type="dcterms:W3CDTF">2026-10-21T18:19:15Z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working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response.Keywords: oil price shock; inflation inequality; fuel price pass-through; local projections; bottom 30% CPI; regional inflation; PhilippinesJEL classification: E31, Q41, I32, D31, R12</vt:lpwstr>
  </property>
  <property fmtid="{D5CDD505-2E9C-101B-9397-08002B2CF9AE}" pid="3" name="bibliography">
    <vt:lpwstr>/home/user/oil-shock-distribution/paper/references.bib</vt:lpwstr>
  </property>
  <property fmtid="{D5CDD505-2E9C-101B-9397-08002B2CF9AE}" pid="4" name="date">
    <vt:lpwstr>November 2026</vt:lpwstr>
  </property>
  <property fmtid="{D5CDD505-2E9C-101B-9397-08002B2CF9AE}" pid="5" name="link-citations">
    <vt:lpwstr>True</vt:lpwstr>
  </property>
  <property fmtid="{D5CDD505-2E9C-101B-9397-08002B2CF9AE}" pid="6" name="subtitle">
    <vt:lpwstr>Working Paper</vt:lpwstr>
  </property>
</Properties>
</file>