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 Pays for Oil Shocks? Fuel Price Pass-Through to the Inflation of Poor Households across Philippine Regions</w:t>
      </w:r>
    </w:p>
    <w:p>
      <w:pPr>
        <w:pStyle w:val="Author"/>
      </w:pPr>
      <w:r>
        <w:t xml:space="preserve">Lian Cataytay</w:t>
      </w:r>
      <w:r>
        <w:rPr>
          <w:rStyle w:val="FootnoteReference"/>
        </w:rPr>
        <w:footnoteReference w:id="18"/>
      </w:r>
    </w:p>
    <w:p>
      <w:pPr>
        <w:pStyle w:val="Date"/>
      </w:pPr>
      <w:r>
        <w:t xml:space="preserve">November 2026</w:t>
      </w:r>
    </w:p>
    <w:p>
      <w:pPr>
        <w:pStyle w:val="AbstractTitle"/>
      </w:pPr>
      <w:r>
        <w:t xml:space="preserve">Abstract</w:t>
      </w:r>
    </w:p>
    <w:p>
      <w:pPr>
        <w:pStyle w:val="Abstract"/>
      </w:pPr>
      <w:r>
        <w:t xml:space="preserve">Cross-country evidence finds that fuel price increases are progressive: they raise prices more for richer households. We test this within one country, using the Philippine Statistics Authority’s official consumer price indices for the bottom 30% income households and for all households, nationally and for 17 regions, from 2001 to 2026. Following Kpodar and Liu (2022), we estimate local projections of each index on the CPI sub-index for retail motor fuels. A 1% rise in retail fuel prices raises the price level by 0.044 percentage points within the month and by 0.102 after a year; world crude prices capture only about 40% of this. The effect is not progressive: in the regional panel, the bottom 30%</w:t>
      </w:r>
      <w:r>
        <w:t xml:space="preserve">‘s prices rise 0.0214 percentage points more than all households’</w:t>
      </w:r>
      <w:r>
        <w:t xml:space="preserve"> </w:t>
      </w:r>
      <w:r>
        <w:t xml:space="preserve">after six months. Budget shares alone would predict the opposite sign, so the gap comes from larger price increases within the categories the poor buy. The effect is concentrated in 2001–2012 and weakens with macroeconomic controls. A model estimated on data to 2025 explains about half of the 2026 oil-shock price surge; the fuel-driven extra cost for a poverty-line family of five reached about PHP 467 a month, and rice accounted for most of the poor’s excess inflation. Relief on gasoline and diesel taxes would mainly benefit better-off households; transfers sized with the bottom-30% CPI are better targeted.</w:t>
      </w:r>
    </w:p>
    <w:p>
      <w:pPr>
        <w:pStyle w:val="Abstract"/>
      </w:pPr>
      <w:r>
        <w:rPr>
          <w:b/>
          <w:bCs/>
        </w:rPr>
        <w:t xml:space="preserve">Keywords:</w:t>
      </w:r>
      <w:r>
        <w:t xml:space="preserve"> </w:t>
      </w:r>
      <w:r>
        <w:t xml:space="preserve">oil price shocks; inflation inequality; fuel prices; local projections; Philippines</w:t>
      </w:r>
    </w:p>
    <w:p>
      <w:pPr>
        <w:pStyle w:val="Abstract"/>
      </w:pPr>
      <w:r>
        <w:rPr>
          <w:b/>
          <w:bCs/>
        </w:rPr>
        <w:t xml:space="preserve">JEL classification:</w:t>
      </w:r>
      <w:r>
        <w:t xml:space="preserve"> </w:t>
      </w:r>
      <w:r>
        <w:t xml:space="preserve">E31, Q41, I32, D31, R12</w:t>
      </w:r>
    </w:p>
    <w:bookmarkStart w:id="19" w:name="introduction"/>
    <w:p>
      <w:pPr>
        <w:pStyle w:val="Heading1"/>
      </w:pPr>
      <w:r>
        <w:t xml:space="preserve">1. Introduction</w:t>
      </w:r>
    </w:p>
    <w:p>
      <w:pPr>
        <w:pStyle w:val="FirstParagraph"/>
      </w:pPr>
      <w:r>
        <w:t xml:space="preserve">When oil prices rise, who pays? The question matters for every government that must decide whether to cut fuel taxes, subsidise fuel or transfer cash after an oil shock. The best cross-country evidence gives a clear answer. Using retail fuel prices for 122 countries and price indices for income quintiles rebuilt from household surveys,</w:t>
      </w:r>
      <w:r>
        <w:t xml:space="preserve"> </w:t>
      </w:r>
      <w:r>
        <w:t xml:space="preserve">Kpodar and Liu (</w:t>
      </w:r>
      <w:hyperlink w:anchor="ref-kpodar_liu_2022">
        <w:r>
          <w:rPr>
            <w:rStyle w:val="Hyperlink"/>
          </w:rPr>
          <w:t xml:space="preserve">2022</w:t>
        </w:r>
      </w:hyperlink>
      <w:r>
        <w:t xml:space="preserve">)</w:t>
      </w:r>
      <w:r>
        <w:t xml:space="preserve"> </w:t>
      </w:r>
      <w:r>
        <w:t xml:space="preserve">find that fuel price increases are</w:t>
      </w:r>
      <w:r>
        <w:t xml:space="preserve"> </w:t>
      </w:r>
      <w:r>
        <w:rPr>
          <w:i/>
          <w:iCs/>
        </w:rPr>
        <w:t xml:space="preserve">progressive</w:t>
      </w:r>
      <w:r>
        <w:t xml:space="preserve">: the richest households’ prices rise more, because they spend more on cars and fuel. If this holds generally, broad fuel tax relief mainly helps the better-off.</w:t>
      </w:r>
    </w:p>
    <w:p>
      <w:pPr>
        <w:pStyle w:val="BodyText"/>
      </w:pPr>
      <w:r>
        <w:t xml:space="preserve">This paper tests that finding within one country, the Philippines, where it may not hold. Poor Filipino households spend more than half of their budget on food (54.9% in the 2018 basket, against 37.7% for all households) and travel by public transport, so they may feel oil shocks mostly through food and fares rather than through fuel. Moreover, the cross-country method gives every income group the same price for each spending category and lets only budget shares differ. Yet households with different incomes buy different items within categories and pay different prices for them</w:t>
      </w:r>
      <w:r>
        <w:t xml:space="preserve"> </w:t>
      </w:r>
      <w:r>
        <w:t xml:space="preserve">(</w:t>
      </w:r>
      <w:hyperlink w:anchor="ref-kaplan_schulhofer_2017">
        <w:r>
          <w:rPr>
            <w:rStyle w:val="Hyperlink"/>
          </w:rPr>
          <w:t xml:space="preserve">Kaplan and Schulhofer-Wohl 2017</w:t>
        </w:r>
      </w:hyperlink>
      <w:r>
        <w:t xml:space="preserve">;</w:t>
      </w:r>
      <w:r>
        <w:t xml:space="preserve"> </w:t>
      </w:r>
      <w:hyperlink w:anchor="ref-jaravel_2021">
        <w:r>
          <w:rPr>
            <w:rStyle w:val="Hyperlink"/>
          </w:rPr>
          <w:t xml:space="preserve">Jaravel 2021</w:t>
        </w:r>
      </w:hyperlink>
      <w:r>
        <w:t xml:space="preserve">)</w:t>
      </w:r>
      <w:r>
        <w:t xml:space="preserve">. The Philippine Statistics Authority (PSA) publishes an official consumer price index (CPI) for the bottom 30% income households, monthly and by region, built from their own budget shares at a detailed item level. This allows a direct test that captures both channels.</w:t>
      </w:r>
    </w:p>
    <w:p>
      <w:pPr>
        <w:pStyle w:val="BodyText"/>
      </w:pPr>
      <w:r>
        <w:t xml:space="preserve">The question became urgent in 2026. An oil shock caused by the conflict in the Middle East raised the CPI sub-index for retail motor fuels 76% above its level a year earlier by April. Headline inflation rose from 2.4% in February to 7.2% in April, and inflation for the bottom 30% reached 8.5%. Republic Act 12316 gave the President standby authority to suspend petroleum excise taxes</w:t>
      </w:r>
      <w:r>
        <w:t xml:space="preserve"> </w:t>
      </w:r>
      <w:r>
        <w:t xml:space="preserve">(</w:t>
      </w:r>
      <w:hyperlink w:anchor="ref-ra12316_2026">
        <w:r>
          <w:rPr>
            <w:rStyle w:val="Hyperlink"/>
          </w:rPr>
          <w:t xml:space="preserve">Republic of the Philippines 2026</w:t>
        </w:r>
      </w:hyperlink>
      <w:r>
        <w:t xml:space="preserve">)</w:t>
      </w:r>
      <w:r>
        <w:t xml:space="preserve">; the government used it for LPG and kerosene but not for gasoline and diesel, gave subsidies to transport drivers, and the central bank raised its policy rate three times.</w:t>
      </w:r>
    </w:p>
    <w:p>
      <w:pPr>
        <w:pStyle w:val="BodyText"/>
      </w:pPr>
      <w:r>
        <w:t xml:space="preserve">We ask three questions. How much, and how fast, do retail fuel prices pass through to the price level of all households and of the bottom 30% (RQ1)? Do the bottom 30% face larger price increases than all households, nationally and across regions, and why (RQ2)? What did the 2026 shock cost poor families, and how well were the policy responses targeted (RQ3)?</w:t>
      </w:r>
    </w:p>
    <w:p>
      <w:pPr>
        <w:pStyle w:val="BodyText"/>
      </w:pPr>
      <w:r>
        <w:t xml:space="preserve">We find that fuel prices pass through quickly and lastingly: a 10% rise in retail fuel prices makes the price level about 1.0% higher a year later, more than twice what crude oil prices imply. The effect is not progressive. In a panel of 17 regions, the bottom 30%</w:t>
      </w:r>
      <w:r>
        <w:t xml:space="preserve">‘s price level rises 0.0214 percentage points more than all households’</w:t>
      </w:r>
      <w:r>
        <w:t xml:space="preserve"> </w:t>
      </w:r>
      <w:r>
        <w:t xml:space="preserve">after six months per 1% fuel price rise, a significant regressive effect; nationally the sign is the same but the estimate is less precise. Budget shares alone would make the effect progressive, so the regressive gap comes from larger price increases within the categories the poor buy. The effect is strongest in 2001–2012 and shrinks with macroeconomic controls. Applied to 2026, a model estimated only on earlier data explains about half of the price surge and predicts the direction of the gap; most of the poor’s excess inflation came through rice.</w:t>
      </w:r>
    </w:p>
    <w:p>
      <w:pPr>
        <w:pStyle w:val="BodyText"/>
      </w:pPr>
      <w:r>
        <w:t xml:space="preserve">The paper contributes to three literatures. First, it adds a within-country test with official income-group price indices to the cross-country evidence on fuel price pass-through</w:t>
      </w:r>
      <w:r>
        <w:t xml:space="preserve"> </w:t>
      </w:r>
      <w:r>
        <w:t xml:space="preserve">(</w:t>
      </w:r>
      <w:hyperlink w:anchor="ref-kpodar_abdallah_2017">
        <w:r>
          <w:rPr>
            <w:rStyle w:val="Hyperlink"/>
          </w:rPr>
          <w:t xml:space="preserve">Kpodar and Abdallah 2017</w:t>
        </w:r>
      </w:hyperlink>
      <w:r>
        <w:t xml:space="preserve">;</w:t>
      </w:r>
      <w:r>
        <w:t xml:space="preserve"> </w:t>
      </w:r>
      <w:hyperlink w:anchor="ref-choi_etal_2018">
        <w:r>
          <w:rPr>
            <w:rStyle w:val="Hyperlink"/>
          </w:rPr>
          <w:t xml:space="preserve">Choi et al. 2018</w:t>
        </w:r>
      </w:hyperlink>
      <w:r>
        <w:t xml:space="preserve">;</w:t>
      </w:r>
      <w:r>
        <w:t xml:space="preserve"> </w:t>
      </w:r>
      <w:hyperlink w:anchor="ref-kpodar_liu_2022">
        <w:r>
          <w:rPr>
            <w:rStyle w:val="Hyperlink"/>
          </w:rPr>
          <w:t xml:space="preserve">Kpodar and Liu 2022</w:t>
        </w:r>
      </w:hyperlink>
      <w:r>
        <w:t xml:space="preserve">)</w:t>
      </w:r>
      <w:r>
        <w:t xml:space="preserve">, and finds the opposite sign. Second, it connects that literature to work on inflation inequality</w:t>
      </w:r>
      <w:r>
        <w:t xml:space="preserve"> </w:t>
      </w:r>
      <w:r>
        <w:t xml:space="preserve">(</w:t>
      </w:r>
      <w:hyperlink w:anchor="ref-hobijn_lagakos_2005">
        <w:r>
          <w:rPr>
            <w:rStyle w:val="Hyperlink"/>
          </w:rPr>
          <w:t xml:space="preserve">Hobijn and Lagakos 2005</w:t>
        </w:r>
      </w:hyperlink>
      <w:r>
        <w:t xml:space="preserve">;</w:t>
      </w:r>
      <w:r>
        <w:t xml:space="preserve"> </w:t>
      </w:r>
      <w:hyperlink w:anchor="ref-kaplan_schulhofer_2017">
        <w:r>
          <w:rPr>
            <w:rStyle w:val="Hyperlink"/>
          </w:rPr>
          <w:t xml:space="preserve">Kaplan and Schulhofer-Wohl 2017</w:t>
        </w:r>
      </w:hyperlink>
      <w:r>
        <w:t xml:space="preserve">;</w:t>
      </w:r>
      <w:r>
        <w:t xml:space="preserve"> </w:t>
      </w:r>
      <w:hyperlink w:anchor="ref-jaravel_2021">
        <w:r>
          <w:rPr>
            <w:rStyle w:val="Hyperlink"/>
          </w:rPr>
          <w:t xml:space="preserve">Jaravel 2021</w:t>
        </w:r>
      </w:hyperlink>
      <w:r>
        <w:t xml:space="preserve">)</w:t>
      </w:r>
      <w:r>
        <w:t xml:space="preserve">, showing that differences within categories, which reconstructed indices cannot capture, decide who bears an oil shock. Third, it extends Philippine and Asian work on oil, food and inflation</w:t>
      </w:r>
      <w:r>
        <w:t xml:space="preserve"> </w:t>
      </w:r>
      <w:r>
        <w:t xml:space="preserve">(</w:t>
      </w:r>
      <w:hyperlink w:anchor="ref-jongwanich_park_2011">
        <w:r>
          <w:rPr>
            <w:rStyle w:val="Hyperlink"/>
          </w:rPr>
          <w:t xml:space="preserve">Jongwanich and Park 2011</w:t>
        </w:r>
      </w:hyperlink>
      <w:r>
        <w:t xml:space="preserve">;</w:t>
      </w:r>
      <w:r>
        <w:t xml:space="preserve"> </w:t>
      </w:r>
      <w:hyperlink w:anchor="ref-allon_pineda_etal_2026">
        <w:r>
          <w:rPr>
            <w:rStyle w:val="Hyperlink"/>
          </w:rPr>
          <w:t xml:space="preserve">Allon-Pineda et al. 2026</w:t>
        </w:r>
      </w:hyperlink>
      <w:r>
        <w:t xml:space="preserve">;</w:t>
      </w:r>
      <w:r>
        <w:t xml:space="preserve"> </w:t>
      </w:r>
      <w:hyperlink w:anchor="ref-valera_etal_2025">
        <w:r>
          <w:rPr>
            <w:rStyle w:val="Hyperlink"/>
          </w:rPr>
          <w:t xml:space="preserve">Valera et al. 2025</w:t>
        </w:r>
      </w:hyperlink>
      <w:r>
        <w:t xml:space="preserve">;</w:t>
      </w:r>
      <w:r>
        <w:t xml:space="preserve"> </w:t>
      </w:r>
      <w:hyperlink w:anchor="ref-fujii_2013">
        <w:r>
          <w:rPr>
            <w:rStyle w:val="Hyperlink"/>
          </w:rPr>
          <w:t xml:space="preserve">Fujii 2013</w:t>
        </w:r>
      </w:hyperlink>
      <w:r>
        <w:t xml:space="preserve">;</w:t>
      </w:r>
      <w:r>
        <w:t xml:space="preserve"> </w:t>
      </w:r>
      <w:hyperlink w:anchor="ref-domingo_etal_2009">
        <w:r>
          <w:rPr>
            <w:rStyle w:val="Hyperlink"/>
          </w:rPr>
          <w:t xml:space="preserve">Domingo et al. 2009</w:t>
        </w:r>
      </w:hyperlink>
      <w:r>
        <w:t xml:space="preserve">)</w:t>
      </w:r>
      <w:r>
        <w:t xml:space="preserve"> </w:t>
      </w:r>
      <w:r>
        <w:t xml:space="preserve">to income groups and regions, and to the 2026 shock.</w:t>
      </w:r>
    </w:p>
    <w:bookmarkEnd w:id="19"/>
    <w:bookmarkStart w:id="23" w:name="framework"/>
    <w:p>
      <w:pPr>
        <w:pStyle w:val="Heading1"/>
      </w:pPr>
      <w:r>
        <w:t xml:space="preserve">2. Framework</w:t>
      </w:r>
    </w:p>
    <w:p>
      <w:pPr>
        <w:pStyle w:val="FirstParagraph"/>
      </w:pPr>
      <w:r>
        <w:t xml:space="preserve">Fuel enters almost every price. In the input–output price model</w:t>
      </w:r>
      <w:r>
        <w:t xml:space="preserve"> </w:t>
      </w:r>
      <w:r>
        <w:t xml:space="preserve">(</w:t>
      </w:r>
      <w:hyperlink w:anchor="ref-miller_blair_2009">
        <w:r>
          <w:rPr>
            <w:rStyle w:val="Hyperlink"/>
          </w:rPr>
          <w:t xml:space="preserve">Miller and Blair 2009</w:t>
        </w:r>
      </w:hyperlink>
      <w:r>
        <w:t xml:space="preserve">)</w:t>
      </w:r>
      <w:r>
        <w:t xml:space="preserve">, if margins and other costs are unchanged, a fuel price shock</w:t>
      </w:r>
      <w:r>
        <w:t xml:space="preserve"> </w:t>
      </w:r>
      <m:oMath>
        <m:sSub>
          <m:e>
            <m:r>
              <m:t>f</m:t>
            </m:r>
          </m:e>
          <m:sub>
            <m:r>
              <m:t>t</m:t>
            </m:r>
          </m:sub>
        </m:sSub>
        <m:r>
          <m:rPr>
            <m:sty m:val="p"/>
          </m:rPr>
          <m:t>=</m:t>
        </m:r>
        <m:r>
          <m:t>100</m:t>
        </m:r>
        <m:r>
          <m:t> </m:t>
        </m:r>
        <m:r>
          <m:rPr>
            <m:sty m:val="p"/>
          </m:rPr>
          <m:t>Δ</m:t>
        </m:r>
        <m:r>
          <m:rPr>
            <m:sty m:val="p"/>
          </m:rPr>
          <m:t>ln</m:t>
        </m:r>
        <m:sSub>
          <m:e>
            <m:r>
              <m:t>F</m:t>
            </m:r>
          </m:e>
          <m:sub>
            <m:r>
              <m:t>t</m:t>
            </m:r>
          </m:sub>
        </m:sSub>
      </m:oMath>
      <w:r>
        <w:t xml:space="preserve"> </w:t>
      </w:r>
      <w:r>
        <w:t xml:space="preserve">raises the price of good</w:t>
      </w:r>
      <w:r>
        <w:t xml:space="preserve"> </w:t>
      </w:r>
      <w:r>
        <w:rPr>
          <w:i/>
          <w:iCs/>
        </w:rPr>
        <w:t xml:space="preserve">k</w:t>
      </w:r>
      <w:r>
        <w:t xml:space="preserve"> </w:t>
      </w:r>
      <w:r>
        <w:t xml:space="preserve">in proportion to its total (direct and indirect) fuel cost share</w:t>
      </w:r>
      <w:r>
        <w:t xml:space="preserve"> </w:t>
      </w:r>
      <m:oMath>
        <m:sSub>
          <m:e>
            <m:r>
              <m:t>ϕ</m:t>
            </m:r>
          </m:e>
          <m:sub>
            <m:r>
              <m:t>k</m:t>
            </m:r>
          </m:sub>
        </m:sSub>
      </m:oMath>
      <w:r>
        <w:t xml:space="preserve">:</w:t>
      </w:r>
      <w:r>
        <w:t xml:space="preserve"> </w:t>
      </w:r>
      <m:oMath>
        <m:sSub>
          <m:e>
            <m:r>
              <m:t>π</m:t>
            </m:r>
          </m:e>
          <m:sub>
            <m:r>
              <m:t>k</m:t>
            </m:r>
            <m:r>
              <m:rPr>
                <m:sty m:val="p"/>
              </m:rPr>
              <m:t>,</m:t>
            </m:r>
            <m:r>
              <m:t>t</m:t>
            </m:r>
          </m:sub>
        </m:sSub>
        <m:r>
          <m:rPr>
            <m:sty m:val="p"/>
          </m:rPr>
          <m:t>≈</m:t>
        </m:r>
        <m:sSub>
          <m:e>
            <m:r>
              <m:t>ϕ</m:t>
            </m:r>
          </m:e>
          <m:sub>
            <m:r>
              <m:t>k</m:t>
            </m:r>
          </m:sub>
        </m:sSub>
        <m:sSub>
          <m:e>
            <m:r>
              <m:t>f</m:t>
            </m:r>
          </m:e>
          <m:sub>
            <m:r>
              <m:t>t</m:t>
            </m:r>
          </m:sub>
        </m:sSub>
      </m:oMath>
      <w:r>
        <w:t xml:space="preserve">. A group’s CPI is a weighted average of item prices with that group’s budget shares</w:t>
      </w:r>
      <w:r>
        <w:t xml:space="preserve"> </w:t>
      </w:r>
      <m:oMath>
        <m:sSubSup>
          <m:e>
            <m:r>
              <m:t>w</m:t>
            </m:r>
          </m:e>
          <m:sub>
            <m:r>
              <m:t>k</m:t>
            </m:r>
          </m:sub>
          <m:sup>
            <m:r>
              <m:t>g</m:t>
            </m:r>
          </m:sup>
        </m:sSubSup>
      </m:oMath>
      <w:r>
        <w:t xml:space="preserve">, so its inflation is</w:t>
      </w:r>
      <w:r>
        <w:t xml:space="preserve"> </w:t>
      </w:r>
      <m:oMath>
        <m:sSubSup>
          <m:e>
            <m:r>
              <m:t>π</m:t>
            </m:r>
          </m:e>
          <m:sub>
            <m:r>
              <m:t>t</m:t>
            </m:r>
          </m:sub>
          <m:sup>
            <m:r>
              <m:t>g</m:t>
            </m:r>
          </m:sup>
        </m:sSubSup>
        <m:r>
          <m:rPr>
            <m:sty m:val="p"/>
          </m:rPr>
          <m:t>≈</m:t>
        </m:r>
        <m:nary>
          <m:naryPr>
            <m:chr m:val="∑"/>
            <m:limLoc m:val="undOvr"/>
            <m:subHide m:val="off"/>
            <m:supHide m:val="on"/>
          </m:naryPr>
          <m:sub>
            <m:r>
              <m:t>k</m:t>
            </m:r>
          </m:sub>
          <m:sup>
            <m:r>
              <m:t>​</m:t>
            </m:r>
          </m:sup>
          <m:e>
            <m:sSubSup>
              <m:e>
                <m:r>
                  <m:t>w</m:t>
                </m:r>
              </m:e>
              <m:sub>
                <m:r>
                  <m:t>k</m:t>
                </m:r>
              </m:sub>
              <m:sup>
                <m:r>
                  <m:t>g</m:t>
                </m:r>
              </m:sup>
            </m:sSubSup>
          </m:e>
        </m:nary>
        <m:sSub>
          <m:e>
            <m:r>
              <m:t>π</m:t>
            </m:r>
          </m:e>
          <m:sub>
            <m:r>
              <m:t>k</m:t>
            </m:r>
            <m:r>
              <m:rPr>
                <m:sty m:val="p"/>
              </m:rPr>
              <m:t>,</m:t>
            </m:r>
            <m:r>
              <m:t>t</m:t>
            </m:r>
          </m:sub>
        </m:sSub>
      </m:oMath>
      <w:r>
        <w:t xml:space="preserve">, and</w:t>
      </w:r>
    </w:p>
    <w:p>
      <w:pPr>
        <w:pStyle w:val="BodyText"/>
      </w:pPr>
      <m:oMathPara>
        <m:oMathParaPr>
          <m:jc m:val="center"/>
        </m:oMathParaPr>
        <m:oMath>
          <m:sSubSup>
            <m:e>
              <m:r>
                <m:t>π</m:t>
              </m:r>
            </m:e>
            <m:sub>
              <m:r>
                <m:t>t</m:t>
              </m:r>
            </m:sub>
            <m:sup>
              <m:r>
                <m:t>g</m:t>
              </m:r>
            </m:sup>
          </m:sSubSup>
          <m:r>
            <m:rPr>
              <m:sty m:val="p"/>
            </m:rPr>
            <m:t>≈</m:t>
          </m:r>
          <m:sSup>
            <m:e>
              <m:r>
                <m:rPr>
                  <m:sty m:val="p"/>
                </m:rPr>
                <m:t>Φ</m:t>
              </m:r>
            </m:e>
            <m:sup>
              <m:r>
                <m:t>g</m:t>
              </m:r>
            </m:sup>
          </m:sSup>
          <m:sSub>
            <m:e>
              <m:r>
                <m:t>f</m:t>
              </m:r>
            </m:e>
            <m:sub>
              <m:r>
                <m:t>t</m:t>
              </m:r>
            </m:sub>
          </m:sSub>
          <m:r>
            <m:rPr>
              <m:sty m:val="p"/>
            </m:rPr>
            <m:t>,</m:t>
          </m:r>
          <m:r>
            <m:t>  </m:t>
          </m:r>
          <m:sSup>
            <m:e>
              <m:r>
                <m:rPr>
                  <m:sty m:val="p"/>
                </m:rPr>
                <m:t>Φ</m:t>
              </m:r>
            </m:e>
            <m:sup>
              <m:r>
                <m:t>g</m:t>
              </m:r>
            </m:sup>
          </m:sSup>
          <m:r>
            <m:rPr>
              <m:sty m:val="p"/>
            </m:rPr>
            <m:t>=</m:t>
          </m:r>
          <m:nary>
            <m:naryPr>
              <m:chr m:val="∑"/>
              <m:limLoc m:val="undOvr"/>
              <m:subHide m:val="off"/>
              <m:supHide m:val="on"/>
            </m:naryPr>
            <m:sub>
              <m:r>
                <m:t>k</m:t>
              </m:r>
            </m:sub>
            <m:sup>
              <m:r>
                <m:t>​</m:t>
              </m:r>
            </m:sup>
            <m:e>
              <m:sSubSup>
                <m:e>
                  <m:r>
                    <m:t>w</m:t>
                  </m:r>
                </m:e>
                <m:sub>
                  <m:r>
                    <m:t>k</m:t>
                  </m:r>
                </m:sub>
                <m:sup>
                  <m:r>
                    <m:t>g</m:t>
                  </m:r>
                </m:sup>
              </m:sSubSup>
            </m:e>
          </m:nary>
          <m:sSub>
            <m:e>
              <m:r>
                <m:t>ϕ</m:t>
              </m:r>
            </m:e>
            <m:sub>
              <m:r>
                <m:t>k</m:t>
              </m:r>
            </m:sub>
          </m:sSub>
          <m:r>
            <m:t>  </m:t>
          </m:r>
          <m:r>
            <m:t>  </m:t>
          </m:r>
          <m:r>
            <m:rPr>
              <m:sty m:val="p"/>
            </m:rPr>
            <m:t>(</m:t>
          </m:r>
          <m:r>
            <m:t>1</m:t>
          </m:r>
          <m:r>
            <m:rPr>
              <m:sty m:val="p"/>
            </m:rPr>
            <m:t>)</m:t>
          </m:r>
        </m:oMath>
      </m:oMathPara>
    </w:p>
    <w:p>
      <w:pPr>
        <w:pStyle w:val="FirstParagraph"/>
      </w:pPr>
      <w:r>
        <w:t xml:space="preserve">A group’s pass-through equals the fuel intensity of its basket. The shock is progressive if the average basket (</w:t>
      </w:r>
      <m:oMath>
        <m:r>
          <m:t>g</m:t>
        </m:r>
        <m:r>
          <m:rPr>
            <m:sty m:val="p"/>
          </m:rPr>
          <m:t>=</m:t>
        </m:r>
        <m:r>
          <m:t>A</m:t>
        </m:r>
      </m:oMath>
      <w:r>
        <w:t xml:space="preserve">, all households) is more fuel-intensive than the poor’s (</w:t>
      </w:r>
      <m:oMath>
        <m:r>
          <m:t>g</m:t>
        </m:r>
        <m:r>
          <m:rPr>
            <m:sty m:val="p"/>
          </m:rPr>
          <m:t>=</m:t>
        </m:r>
        <m:r>
          <m:t>B</m:t>
        </m:r>
      </m:oMath>
      <w:r>
        <w:t xml:space="preserve">, bottom 30%), and regressive otherwise. We measure the difference with the inflation gap</w:t>
      </w:r>
      <w:r>
        <w:t xml:space="preserve"> </w:t>
      </w:r>
      <m:oMath>
        <m:sSub>
          <m:e>
            <m:r>
              <m:t>D</m:t>
            </m:r>
          </m:e>
          <m:sub>
            <m:r>
              <m:t>t</m:t>
            </m:r>
          </m:sub>
        </m:sSub>
        <m:r>
          <m:rPr>
            <m:sty m:val="p"/>
          </m:rPr>
          <m:t>=</m:t>
        </m:r>
        <m:r>
          <m:t>100</m:t>
        </m:r>
        <m:r>
          <m:rPr>
            <m:sty m:val="p"/>
          </m:rPr>
          <m:t>ln</m:t>
        </m:r>
        <m:r>
          <m:rPr>
            <m:sty m:val="p"/>
          </m:rPr>
          <m:t>(</m:t>
        </m:r>
        <m:sSubSup>
          <m:e>
            <m:r>
              <m:t>P</m:t>
            </m:r>
          </m:e>
          <m:sub>
            <m:r>
              <m:t>t</m:t>
            </m:r>
          </m:sub>
          <m:sup>
            <m:r>
              <m:t>A</m:t>
            </m:r>
          </m:sup>
        </m:sSubSup>
        <m:r>
          <m:rPr>
            <m:sty m:val="p"/>
          </m:rPr>
          <m:t>/</m:t>
        </m:r>
        <m:sSubSup>
          <m:e>
            <m:r>
              <m:t>P</m:t>
            </m:r>
          </m:e>
          <m:sub>
            <m:r>
              <m:t>t</m:t>
            </m:r>
          </m:sub>
          <m:sup>
            <m:r>
              <m:t>B</m:t>
            </m:r>
          </m:sup>
        </m:sSubSup>
        <m:r>
          <m:rPr>
            <m:sty m:val="p"/>
          </m:rPr>
          <m:t>)</m:t>
        </m:r>
      </m:oMath>
      <w:r>
        <w:t xml:space="preserve">, whose monthly change is</w:t>
      </w:r>
      <w:r>
        <w:t xml:space="preserve"> </w:t>
      </w:r>
      <m:oMath>
        <m:r>
          <m:rPr>
            <m:sty m:val="p"/>
          </m:rPr>
          <m:t>Δ</m:t>
        </m:r>
        <m:sSub>
          <m:e>
            <m:r>
              <m:t>D</m:t>
            </m:r>
          </m:e>
          <m:sub>
            <m:r>
              <m:t>t</m:t>
            </m:r>
          </m:sub>
        </m:sSub>
        <m:r>
          <m:rPr>
            <m:sty m:val="p"/>
          </m:rPr>
          <m:t>=</m:t>
        </m:r>
        <m:sSubSup>
          <m:e>
            <m:r>
              <m:t>π</m:t>
            </m:r>
          </m:e>
          <m:sub>
            <m:r>
              <m:t>t</m:t>
            </m:r>
          </m:sub>
          <m:sup>
            <m:r>
              <m:t>A</m:t>
            </m:r>
          </m:sup>
        </m:sSubSup>
        <m:r>
          <m:rPr>
            <m:sty m:val="p"/>
          </m:rPr>
          <m:t>−</m:t>
        </m:r>
        <m:sSubSup>
          <m:e>
            <m:r>
              <m:t>π</m:t>
            </m:r>
          </m:e>
          <m:sub>
            <m:r>
              <m:t>t</m:t>
            </m:r>
          </m:sub>
          <m:sup>
            <m:r>
              <m:t>B</m:t>
            </m:r>
          </m:sup>
        </m:sSubSup>
      </m:oMath>
      <w:r>
        <w:t xml:space="preserve">; a fall in</w:t>
      </w:r>
      <w:r>
        <w:t xml:space="preserve"> </w:t>
      </w:r>
      <m:oMath>
        <m:r>
          <m:t>D</m:t>
        </m:r>
      </m:oMath>
      <w:r>
        <w:t xml:space="preserve"> </w:t>
      </w:r>
      <w:r>
        <w:t xml:space="preserve">means the poor’s prices rose more. The gap splits exactly into two parts:</w:t>
      </w:r>
    </w:p>
    <w:p>
      <w:pPr>
        <w:pStyle w:val="BodyText"/>
      </w:pPr>
      <m:oMathPara>
        <m:oMathParaPr>
          <m:jc m:val="center"/>
        </m:oMathParaPr>
        <m:oMath>
          <m:sSubSup>
            <m:e>
              <m:r>
                <m:t>π</m:t>
              </m:r>
            </m:e>
            <m:sub>
              <m:r>
                <m:t>t</m:t>
              </m:r>
            </m:sub>
            <m:sup>
              <m:r>
                <m:t>A</m:t>
              </m:r>
            </m:sup>
          </m:sSubSup>
          <m:r>
            <m:rPr>
              <m:sty m:val="p"/>
            </m:rPr>
            <m:t>−</m:t>
          </m:r>
          <m:sSubSup>
            <m:e>
              <m:r>
                <m:t>π</m:t>
              </m:r>
            </m:e>
            <m:sub>
              <m:r>
                <m:t>t</m:t>
              </m:r>
            </m:sub>
            <m:sup>
              <m:r>
                <m:t>B</m:t>
              </m:r>
            </m:sup>
          </m:sSubSup>
          <m:r>
            <m:rPr>
              <m:sty m:val="p"/>
            </m:rPr>
            <m:t>=</m:t>
          </m:r>
          <m:nary>
            <m:naryPr>
              <m:chr m:val="∑"/>
              <m:limLoc m:val="undOvr"/>
              <m:subHide m:val="off"/>
              <m:supHide m:val="on"/>
            </m:naryPr>
            <m:sub>
              <m:r>
                <m:t>k</m:t>
              </m:r>
            </m:sub>
            <m:sup>
              <m:r>
                <m:t>​</m:t>
              </m:r>
            </m:sup>
            <m:e>
              <m:r>
                <m:rPr>
                  <m:sty m:val="p"/>
                </m:rPr>
                <m:t>(</m:t>
              </m:r>
            </m:e>
          </m:nary>
          <m:sSubSup>
            <m:e>
              <m:r>
                <m:t>w</m:t>
              </m:r>
            </m:e>
            <m:sub>
              <m:r>
                <m:t>k</m:t>
              </m:r>
            </m:sub>
            <m:sup>
              <m:r>
                <m:t>A</m:t>
              </m:r>
            </m:sup>
          </m:sSubSup>
          <m:r>
            <m:rPr>
              <m:sty m:val="p"/>
            </m:rPr>
            <m:t>−</m:t>
          </m:r>
          <m:sSubSup>
            <m:e>
              <m:r>
                <m:t>w</m:t>
              </m:r>
            </m:e>
            <m:sub>
              <m:r>
                <m:t>k</m:t>
              </m:r>
            </m:sub>
            <m:sup>
              <m:r>
                <m:t>B</m:t>
              </m:r>
            </m:sup>
          </m:sSubSup>
          <m:r>
            <m:rPr>
              <m:sty m:val="p"/>
            </m:rPr>
            <m:t>)</m:t>
          </m:r>
          <m:r>
            <m:t> </m:t>
          </m:r>
          <m:sSubSup>
            <m:e>
              <m:r>
                <m:t>π</m:t>
              </m:r>
            </m:e>
            <m:sub>
              <m:r>
                <m:t>k</m:t>
              </m:r>
              <m:r>
                <m:rPr>
                  <m:sty m:val="p"/>
                </m:rPr>
                <m:t>,</m:t>
              </m:r>
              <m:r>
                <m:t>t</m:t>
              </m:r>
            </m:sub>
            <m:sup>
              <m:r>
                <m:t>A</m:t>
              </m:r>
            </m:sup>
          </m:sSubSup>
          <m:r>
            <m:rPr>
              <m:sty m:val="p"/>
            </m:rPr>
            <m:t>+</m:t>
          </m:r>
          <m:nary>
            <m:naryPr>
              <m:chr m:val="∑"/>
              <m:limLoc m:val="undOvr"/>
              <m:subHide m:val="off"/>
              <m:supHide m:val="on"/>
            </m:naryPr>
            <m:sub>
              <m:r>
                <m:t>k</m:t>
              </m:r>
            </m:sub>
            <m:sup>
              <m:r>
                <m:t>​</m:t>
              </m:r>
            </m:sup>
            <m:e>
              <m:sSubSup>
                <m:e>
                  <m:r>
                    <m:t>w</m:t>
                  </m:r>
                </m:e>
                <m:sub>
                  <m:r>
                    <m:t>k</m:t>
                  </m:r>
                </m:sub>
                <m:sup>
                  <m:r>
                    <m:t>B</m:t>
                  </m:r>
                </m:sup>
              </m:sSubSup>
            </m:e>
          </m:nary>
          <m:r>
            <m:t> </m:t>
          </m:r>
          <m:r>
            <m:rPr>
              <m:sty m:val="p"/>
            </m:rPr>
            <m:t>(</m:t>
          </m:r>
          <m:sSubSup>
            <m:e>
              <m:r>
                <m:t>π</m:t>
              </m:r>
            </m:e>
            <m:sub>
              <m:r>
                <m:t>k</m:t>
              </m:r>
              <m:r>
                <m:rPr>
                  <m:sty m:val="p"/>
                </m:rPr>
                <m:t>,</m:t>
              </m:r>
              <m:r>
                <m:t>t</m:t>
              </m:r>
            </m:sub>
            <m:sup>
              <m:r>
                <m:t>A</m:t>
              </m:r>
            </m:sup>
          </m:sSubSup>
          <m:r>
            <m:rPr>
              <m:sty m:val="p"/>
            </m:rPr>
            <m:t>−</m:t>
          </m:r>
          <m:sSubSup>
            <m:e>
              <m:r>
                <m:t>π</m:t>
              </m:r>
            </m:e>
            <m:sub>
              <m:r>
                <m:t>k</m:t>
              </m:r>
              <m:r>
                <m:rPr>
                  <m:sty m:val="p"/>
                </m:rPr>
                <m:t>,</m:t>
              </m:r>
              <m:r>
                <m:t>t</m:t>
              </m:r>
            </m:sub>
            <m:sup>
              <m:r>
                <m:t>B</m:t>
              </m:r>
            </m:sup>
          </m:sSubSup>
          <m:r>
            <m:rPr>
              <m:sty m:val="p"/>
            </m:rPr>
            <m:t>)</m:t>
          </m:r>
          <m:r>
            <m:t>  </m:t>
          </m:r>
          <m:r>
            <m:t>  </m:t>
          </m:r>
          <m:r>
            <m:rPr>
              <m:sty m:val="p"/>
            </m:rPr>
            <m:t>(</m:t>
          </m:r>
          <m:r>
            <m:t>2</m:t>
          </m:r>
          <m:r>
            <m:rPr>
              <m:sty m:val="p"/>
            </m:rPr>
            <m:t>)</m:t>
          </m:r>
        </m:oMath>
      </m:oMathPara>
    </w:p>
    <w:p>
      <w:pPr>
        <w:pStyle w:val="FirstParagraph"/>
      </w:pPr>
      <w:r>
        <w:t xml:space="preserve">The first term is a</w:t>
      </w:r>
      <w:r>
        <w:t xml:space="preserve"> </w:t>
      </w:r>
      <w:r>
        <w:rPr>
          <w:i/>
          <w:iCs/>
        </w:rPr>
        <w:t xml:space="preserve">weights effect</w:t>
      </w:r>
      <w:r>
        <w:t xml:space="preserve">, which is all that cross-country indices built from survey budget shares can capture. The second is a</w:t>
      </w:r>
      <w:r>
        <w:t xml:space="preserve"> </w:t>
      </w:r>
      <w:r>
        <w:rPr>
          <w:i/>
          <w:iCs/>
        </w:rPr>
        <w:t xml:space="preserve">within-category effect</w:t>
      </w:r>
      <w:r>
        <w:t xml:space="preserve">, which arises because the groups buy different items inside each category. Finally, following</w:t>
      </w:r>
      <w:r>
        <w:t xml:space="preserve"> </w:t>
      </w:r>
      <w:r>
        <w:t xml:space="preserve">Deaton (</w:t>
      </w:r>
      <w:hyperlink w:anchor="ref-deaton_1989">
        <w:r>
          <w:rPr>
            <w:rStyle w:val="Hyperlink"/>
          </w:rPr>
          <w:t xml:space="preserve">1989</w:t>
        </w:r>
      </w:hyperlink>
      <w:r>
        <w:t xml:space="preserve">)</w:t>
      </w:r>
      <w:r>
        <w:t xml:space="preserve">, the rise in a group’s CPI approximates the extra spending the group needs to buy the same basket, which lets us express the burden of a shock in pesos. Energy shocks also act through a slower indirect route and through wages and expectations</w:t>
      </w:r>
      <w:r>
        <w:t xml:space="preserve"> </w:t>
      </w:r>
      <w:r>
        <w:t xml:space="preserve">(</w:t>
      </w:r>
      <w:hyperlink w:anchor="ref-kilian_2008">
        <w:r>
          <w:rPr>
            <w:rStyle w:val="Hyperlink"/>
          </w:rPr>
          <w:t xml:space="preserve">Kilian 2008</w:t>
        </w:r>
      </w:hyperlink>
      <w:r>
        <w:t xml:space="preserve">;</w:t>
      </w:r>
      <w:r>
        <w:t xml:space="preserve"> </w:t>
      </w:r>
      <w:hyperlink w:anchor="ref-blanchard_gali_2010">
        <w:r>
          <w:rPr>
            <w:rStyle w:val="Hyperlink"/>
          </w:rPr>
          <w:t xml:space="preserve">Blanchard and Galí 2010</w:t>
        </w:r>
      </w:hyperlink>
      <w:r>
        <w:t xml:space="preserve">)</w:t>
      </w:r>
      <w:r>
        <w:t xml:space="preserve">, so we trace their effects over a year. Figure 1 summarises the framework.</w:t>
      </w:r>
    </w:p>
    <w:p>
      <w:pPr>
        <w:pStyle w:val="CaptionedFigure"/>
      </w:pPr>
      <w:r>
        <w:drawing>
          <wp:inline>
            <wp:extent cx="5349240" cy="1637829"/>
            <wp:effectExtent b="0" l="0" r="0" t="0"/>
            <wp:docPr descr="Figure 1. Conceptual framework: the retail fuel price shock (X) and the inflation of each household group and the gap between them (Y)." title="" id="21" name="Picture"/>
            <a:graphic>
              <a:graphicData uri="http://schemas.openxmlformats.org/drawingml/2006/picture">
                <pic:pic>
                  <pic:nvPicPr>
                    <pic:cNvPr descr="../output/figures/fig01_conceptual_framework.png" id="22" name="Picture"/>
                    <pic:cNvPicPr>
                      <a:picLocks noChangeArrowheads="1" noChangeAspect="1"/>
                    </pic:cNvPicPr>
                  </pic:nvPicPr>
                  <pic:blipFill>
                    <a:blip r:embed="rId20"/>
                    <a:stretch>
                      <a:fillRect/>
                    </a:stretch>
                  </pic:blipFill>
                  <pic:spPr bwMode="auto">
                    <a:xfrm>
                      <a:off x="0" y="0"/>
                      <a:ext cx="5349240" cy="1637829"/>
                    </a:xfrm>
                    <a:prstGeom prst="rect">
                      <a:avLst/>
                    </a:prstGeom>
                    <a:noFill/>
                    <a:ln w="9525">
                      <a:noFill/>
                      <a:headEnd/>
                      <a:tailEnd/>
                    </a:ln>
                  </pic:spPr>
                </pic:pic>
              </a:graphicData>
            </a:graphic>
          </wp:inline>
        </w:drawing>
      </w:r>
    </w:p>
    <w:p>
      <w:pPr>
        <w:pStyle w:val="ImageCaption"/>
      </w:pPr>
      <w:r>
        <w:t xml:space="preserve">Figure 1. Conceptual framework: the retail fuel price shock (X) and the inflation of each household group and the gap between them (Y).</w:t>
      </w:r>
    </w:p>
    <w:bookmarkEnd w:id="23"/>
    <w:bookmarkStart w:id="27" w:name="data-and-method"/>
    <w:p>
      <w:pPr>
        <w:pStyle w:val="Heading1"/>
      </w:pPr>
      <w:r>
        <w:t xml:space="preserve">3. Data and method</w:t>
      </w:r>
    </w:p>
    <w:bookmarkStart w:id="24" w:name="data"/>
    <w:p>
      <w:pPr>
        <w:pStyle w:val="Heading2"/>
      </w:pPr>
      <w:r>
        <w:t xml:space="preserve">3.1 Data</w:t>
      </w:r>
    </w:p>
    <w:p>
      <w:pPr>
        <w:pStyle w:val="FirstParagraph"/>
      </w:pPr>
      <w:r>
        <w:t xml:space="preserve">All price data are monthly PSA consumer price indices on the 2018 = 100 base</w:t>
      </w:r>
      <w:r>
        <w:t xml:space="preserve"> </w:t>
      </w:r>
      <w:r>
        <w:t xml:space="preserve">(</w:t>
      </w:r>
      <w:hyperlink w:anchor="ref-psa_openstat_2026">
        <w:r>
          <w:rPr>
            <w:rStyle w:val="Hyperlink"/>
          </w:rPr>
          <w:t xml:space="preserve">Philippine Statistics Authority 2026</w:t>
        </w:r>
      </w:hyperlink>
      <w:r>
        <w:t xml:space="preserve">)</w:t>
      </w:r>
      <w:r>
        <w:t xml:space="preserve">: the all-income CPI and its 13 divisions (from January 1994), the bottom-30% CPI (from January 2000; divisions from 2012) and, as the fuel price, the CPI sub-index 07.2.2 for fuels and lubricants for personal transport, nationally and for 17 regions. The reference study’s retail price database is not public; the PSA fuel index tracks pump prices closely, with monthly changes correlating at 0.87 with the World Bank’s Manila pump price over 2016–2025 and at 0.99 with PSA’s gasoline-only index. The bottom-30% series join PSA’s own back-calculated series for 2000–2011 and 2012–2017 to the current series. Because the long history exists only for the 17 regions defined before the Negros Island Region was created in 2024, we keep those regions and apply the new-code monthly changes for January–August 2026; the panel is balanced. Robustness checks use Dubai crude oil (World Bank) converted to pesos, the peso–dollar rate (BSP), the BSP policy rate (BIS) and the FAO Food Price Index. Poverty lines and incidence come from PSA. The online appendix lists every source with its link.</w:t>
      </w:r>
    </w:p>
    <w:bookmarkEnd w:id="24"/>
    <w:bookmarkStart w:id="25" w:name="local-projections"/>
    <w:p>
      <w:pPr>
        <w:pStyle w:val="Heading2"/>
      </w:pPr>
      <w:r>
        <w:t xml:space="preserve">3.2 Local projections</w:t>
      </w:r>
    </w:p>
    <w:p>
      <w:pPr>
        <w:pStyle w:val="FirstParagraph"/>
      </w:pPr>
      <w:r>
        <w:t xml:space="preserve">For each horizon</w:t>
      </w:r>
      <w:r>
        <w:t xml:space="preserve"> </w:t>
      </w:r>
      <w:r>
        <w:rPr>
          <w:i/>
          <w:iCs/>
        </w:rPr>
        <w:t xml:space="preserve">h</w:t>
      </w:r>
      <w:r>
        <w:t xml:space="preserve"> </w:t>
      </w:r>
      <w:r>
        <w:t xml:space="preserve">= 0, …, 12 months, we estimate by ordinary least squares the local projection</w:t>
      </w:r>
      <w:r>
        <w:t xml:space="preserve"> </w:t>
      </w:r>
      <w:r>
        <w:t xml:space="preserve">(</w:t>
      </w:r>
      <w:hyperlink w:anchor="ref-jorda_2005">
        <w:r>
          <w:rPr>
            <w:rStyle w:val="Hyperlink"/>
          </w:rPr>
          <w:t xml:space="preserve">Jordà 2005</w:t>
        </w:r>
      </w:hyperlink>
      <w:r>
        <w:t xml:space="preserve">)</w:t>
      </w:r>
      <w:r>
        <w:t xml:space="preserve"> </w:t>
      </w:r>
      <w:r>
        <w:t xml:space="preserve">specified by</w:t>
      </w:r>
      <w:r>
        <w:t xml:space="preserve"> </w:t>
      </w:r>
      <w:r>
        <w:t xml:space="preserve">Kpodar and Liu (</w:t>
      </w:r>
      <w:hyperlink w:anchor="ref-kpodar_liu_2022">
        <w:r>
          <w:rPr>
            <w:rStyle w:val="Hyperlink"/>
          </w:rPr>
          <w:t xml:space="preserve">2022</w:t>
        </w:r>
      </w:hyperlink>
      <w:r>
        <w:t xml:space="preserve">)</w:t>
      </w:r>
      <w:r>
        <w:t xml:space="preserve">:</w:t>
      </w:r>
    </w:p>
    <w:p>
      <w:pPr>
        <w:pStyle w:val="BodyText"/>
      </w:pPr>
      <m:oMathPara>
        <m:oMathParaPr>
          <m:jc m:val="center"/>
        </m:oMathParaPr>
        <m:oMath>
          <m:sSub>
            <m:e>
              <m:r>
                <m:t>π</m:t>
              </m:r>
            </m:e>
            <m:sub>
              <m:r>
                <m:t>t</m:t>
              </m:r>
              <m:r>
                <m:rPr>
                  <m:sty m:val="p"/>
                </m:rPr>
                <m:t>+</m:t>
              </m:r>
              <m:r>
                <m:t>h</m:t>
              </m:r>
            </m:sub>
          </m:sSub>
          <m:r>
            <m:rPr>
              <m:sty m:val="p"/>
            </m:rPr>
            <m:t>=</m:t>
          </m:r>
          <m:sSub>
            <m:e>
              <m:r>
                <m:t>α</m:t>
              </m:r>
            </m:e>
            <m:sub>
              <m:r>
                <m:t>h</m:t>
              </m:r>
            </m:sub>
          </m:sSub>
          <m:r>
            <m:rPr>
              <m:sty m:val="p"/>
            </m:rPr>
            <m:t>+</m:t>
          </m:r>
          <m:sSub>
            <m:e>
              <m:r>
                <m:t>β</m:t>
              </m:r>
            </m:e>
            <m:sub>
              <m:r>
                <m:t>h</m:t>
              </m:r>
            </m:sub>
          </m:sSub>
          <m:sSub>
            <m:e>
              <m:r>
                <m:t>f</m:t>
              </m:r>
            </m:e>
            <m:sub>
              <m:r>
                <m:t>t</m:t>
              </m:r>
            </m:sub>
          </m:sSub>
          <m:r>
            <m:rPr>
              <m:sty m:val="p"/>
            </m:rPr>
            <m:t>+</m:t>
          </m:r>
          <m:nary>
            <m:naryPr>
              <m:chr m:val="∑"/>
              <m:limLoc m:val="undOvr"/>
              <m:subHide m:val="off"/>
              <m:supHide m:val="off"/>
            </m:naryPr>
            <m:sub>
              <m:r>
                <m:t>q</m:t>
              </m:r>
              <m:r>
                <m:rPr>
                  <m:sty m:val="p"/>
                </m:rPr>
                <m:t>=</m:t>
              </m:r>
              <m:r>
                <m:t>1</m:t>
              </m:r>
            </m:sub>
            <m:sup>
              <m:r>
                <m:t>12</m:t>
              </m:r>
            </m:sup>
            <m:e>
              <m:sSub>
                <m:e>
                  <m:r>
                    <m:t>γ</m:t>
                  </m:r>
                </m:e>
                <m:sub>
                  <m:r>
                    <m:t>q</m:t>
                  </m:r>
                </m:sub>
              </m:sSub>
            </m:e>
          </m:nary>
          <m:r>
            <m:t> </m:t>
          </m:r>
          <m:sSub>
            <m:e>
              <m:r>
                <m:t>π</m:t>
              </m:r>
            </m:e>
            <m:sub>
              <m:r>
                <m:t>t</m:t>
              </m:r>
              <m:r>
                <m:rPr>
                  <m:sty m:val="p"/>
                </m:rPr>
                <m:t>−</m:t>
              </m:r>
              <m:r>
                <m:t>q</m:t>
              </m:r>
            </m:sub>
          </m:sSub>
          <m:r>
            <m:rPr>
              <m:sty m:val="p"/>
            </m:rPr>
            <m:t>+</m:t>
          </m:r>
          <m:nary>
            <m:naryPr>
              <m:chr m:val="∑"/>
              <m:limLoc m:val="undOvr"/>
              <m:subHide m:val="off"/>
              <m:supHide m:val="off"/>
            </m:naryPr>
            <m:sub>
              <m:r>
                <m:t>q</m:t>
              </m:r>
              <m:r>
                <m:rPr>
                  <m:sty m:val="p"/>
                </m:rPr>
                <m:t>=</m:t>
              </m:r>
              <m:r>
                <m:t>1</m:t>
              </m:r>
            </m:sub>
            <m:sup>
              <m:r>
                <m:t>12</m:t>
              </m:r>
            </m:sup>
            <m:e>
              <m:sSub>
                <m:e>
                  <m:r>
                    <m:t>λ</m:t>
                  </m:r>
                </m:e>
                <m:sub>
                  <m:r>
                    <m:t>q</m:t>
                  </m:r>
                </m:sub>
              </m:sSub>
            </m:e>
          </m:nary>
          <m:r>
            <m:t> </m:t>
          </m:r>
          <m:sSub>
            <m:e>
              <m:r>
                <m:t>f</m:t>
              </m:r>
            </m:e>
            <m:sub>
              <m:r>
                <m:t>t</m:t>
              </m:r>
              <m:r>
                <m:rPr>
                  <m:sty m:val="p"/>
                </m:rPr>
                <m:t>−</m:t>
              </m:r>
              <m:r>
                <m:t>q</m:t>
              </m:r>
            </m:sub>
          </m:sSub>
          <m:r>
            <m:rPr>
              <m:sty m:val="p"/>
            </m:rPr>
            <m:t>+</m:t>
          </m:r>
          <m:nary>
            <m:naryPr>
              <m:chr m:val="∑"/>
              <m:limLoc m:val="undOvr"/>
              <m:subHide m:val="off"/>
              <m:supHide m:val="off"/>
            </m:naryPr>
            <m:sub>
              <m:r>
                <m:t>l</m:t>
              </m:r>
              <m:r>
                <m:rPr>
                  <m:sty m:val="p"/>
                </m:rPr>
                <m:t>=</m:t>
              </m:r>
              <m:r>
                <m:t>1</m:t>
              </m:r>
            </m:sub>
            <m:sup>
              <m:r>
                <m:t>h</m:t>
              </m:r>
              <m:r>
                <m:rPr>
                  <m:sty m:val="p"/>
                </m:rPr>
                <m:t>−</m:t>
              </m:r>
              <m:r>
                <m:t>1</m:t>
              </m:r>
            </m:sup>
            <m:e>
              <m:sSub>
                <m:e>
                  <m:r>
                    <m:t>ρ</m:t>
                  </m:r>
                </m:e>
                <m:sub>
                  <m:r>
                    <m:t>l</m:t>
                  </m:r>
                </m:sub>
              </m:sSub>
            </m:e>
          </m:nary>
          <m:r>
            <m:t> </m:t>
          </m:r>
          <m:sSub>
            <m:e>
              <m:r>
                <m:t>f</m:t>
              </m:r>
            </m:e>
            <m:sub>
              <m:r>
                <m:t>t</m:t>
              </m:r>
              <m:r>
                <m:rPr>
                  <m:sty m:val="p"/>
                </m:rPr>
                <m:t>+</m:t>
              </m:r>
              <m:r>
                <m:t>l</m:t>
              </m:r>
            </m:sub>
          </m:sSub>
          <m:r>
            <m:rPr>
              <m:sty m:val="p"/>
            </m:rPr>
            <m:t>+</m:t>
          </m:r>
          <m:sSub>
            <m:e>
              <m:r>
                <m:t>δ</m:t>
              </m:r>
            </m:e>
            <m:sub>
              <m:r>
                <m:t>h</m:t>
              </m:r>
            </m:sub>
          </m:sSub>
          <m:r>
            <m:t> </m:t>
          </m:r>
          <m:r>
            <m:t>t</m:t>
          </m:r>
          <m:r>
            <m:rPr>
              <m:sty m:val="p"/>
            </m:rPr>
            <m:t>+</m:t>
          </m:r>
          <m:sSub>
            <m:e>
              <m:r>
                <m:t>ε</m:t>
              </m:r>
            </m:e>
            <m:sub>
              <m:r>
                <m:t>t</m:t>
              </m:r>
              <m:r>
                <m:rPr>
                  <m:sty m:val="p"/>
                </m:rPr>
                <m:t>+</m:t>
              </m:r>
              <m:r>
                <m:t>h</m:t>
              </m:r>
            </m:sub>
          </m:sSub>
          <m:r>
            <m:t>  </m:t>
          </m:r>
          <m:r>
            <m:t>  </m:t>
          </m:r>
          <m:r>
            <m:rPr>
              <m:sty m:val="p"/>
            </m:rPr>
            <m:t>(</m:t>
          </m:r>
          <m:r>
            <m:t>3</m:t>
          </m:r>
          <m:r>
            <m:rPr>
              <m:sty m:val="p"/>
            </m:rPr>
            <m:t>)</m:t>
          </m:r>
        </m:oMath>
      </m:oMathPara>
    </w:p>
    <w:p>
      <w:pPr>
        <w:pStyle w:val="FirstParagraph"/>
      </w:pPr>
      <w:r>
        <w:t xml:space="preserve">where</w:t>
      </w:r>
      <w:r>
        <w:t xml:space="preserve"> </w:t>
      </w:r>
      <m:oMath>
        <m:r>
          <m:t>π</m:t>
        </m:r>
      </m:oMath>
      <w:r>
        <w:t xml:space="preserve"> </w:t>
      </w:r>
      <w:r>
        <w:t xml:space="preserve">is the monthly log change (× 100) of a price index,</w:t>
      </w:r>
      <w:r>
        <w:t xml:space="preserve"> </w:t>
      </w:r>
      <m:oMath>
        <m:r>
          <m:t>f</m:t>
        </m:r>
      </m:oMath>
      <w:r>
        <w:t xml:space="preserve"> </w:t>
      </w:r>
      <w:r>
        <w:t xml:space="preserve">the fuel price shock and</w:t>
      </w:r>
      <w:r>
        <w:t xml:space="preserve"> </w:t>
      </w:r>
      <w:r>
        <w:rPr>
          <w:i/>
          <w:iCs/>
        </w:rPr>
        <w:t xml:space="preserve">t</w:t>
      </w:r>
      <w:r>
        <w:t xml:space="preserve"> </w:t>
      </w:r>
      <w:r>
        <w:t xml:space="preserve">a linear trend. The twelve lags absorb dynamics and the seasonality of the unadjusted data. The fuel leads</w:t>
      </w:r>
      <w:r>
        <w:t xml:space="preserve"> </w:t>
      </w:r>
      <m:oMath>
        <m:sSub>
          <m:e>
            <m:r>
              <m:t>f</m:t>
            </m:r>
          </m:e>
          <m:sub>
            <m:r>
              <m:t>t</m:t>
            </m:r>
            <m:r>
              <m:rPr>
                <m:sty m:val="p"/>
              </m:rPr>
              <m:t>+</m:t>
            </m:r>
            <m:r>
              <m:t>1</m:t>
            </m:r>
          </m:sub>
        </m:sSub>
        <m:r>
          <m:rPr>
            <m:sty m:val="p"/>
          </m:rPr>
          <m:t>,</m:t>
        </m:r>
        <m:r>
          <m:rPr>
            <m:sty m:val="p"/>
          </m:rPr>
          <m:t>…</m:t>
        </m:r>
        <m:r>
          <m:rPr>
            <m:sty m:val="p"/>
          </m:rPr>
          <m:t>,</m:t>
        </m:r>
        <m:sSub>
          <m:e>
            <m:r>
              <m:t>f</m:t>
            </m:r>
          </m:e>
          <m:sub>
            <m:r>
              <m:t>t</m:t>
            </m:r>
            <m:r>
              <m:rPr>
                <m:sty m:val="p"/>
              </m:rPr>
              <m:t>+</m:t>
            </m:r>
            <m:r>
              <m:t>h</m:t>
            </m:r>
            <m:r>
              <m:rPr>
                <m:sty m:val="p"/>
              </m:rPr>
              <m:t>−</m:t>
            </m:r>
            <m:r>
              <m:t>1</m:t>
            </m:r>
          </m:sub>
        </m:sSub>
      </m:oMath>
      <w:r>
        <w:t xml:space="preserve"> </w:t>
      </w:r>
      <w:r>
        <w:t xml:space="preserve">remove the effect of later shocks that tend to follow a first one</w:t>
      </w:r>
      <w:r>
        <w:t xml:space="preserve"> </w:t>
      </w:r>
      <w:r>
        <w:t xml:space="preserve">(</w:t>
      </w:r>
      <w:hyperlink w:anchor="ref-teulings_zubanov_2014">
        <w:r>
          <w:rPr>
            <w:rStyle w:val="Hyperlink"/>
          </w:rPr>
          <w:t xml:space="preserve">Teulings and Zubanov 2014</w:t>
        </w:r>
      </w:hyperlink>
      <w:r>
        <w:t xml:space="preserve">)</w:t>
      </w:r>
      <w:r>
        <w:t xml:space="preserve">.</w:t>
      </w:r>
      <w:r>
        <w:t xml:space="preserve"> </w:t>
      </w:r>
      <m:oMath>
        <m:sSub>
          <m:e>
            <m:r>
              <m:t>β</m:t>
            </m:r>
          </m:e>
          <m:sub>
            <m:r>
              <m:t>h</m:t>
            </m:r>
          </m:sub>
        </m:sSub>
      </m:oMath>
      <w:r>
        <w:t xml:space="preserve"> </w:t>
      </w:r>
      <w:r>
        <w:t xml:space="preserve">is the response of inflation</w:t>
      </w:r>
      <w:r>
        <w:t xml:space="preserve"> </w:t>
      </w:r>
      <w:r>
        <w:rPr>
          <w:i/>
          <w:iCs/>
        </w:rPr>
        <w:t xml:space="preserve">h</w:t>
      </w:r>
      <w:r>
        <w:t xml:space="preserve"> </w:t>
      </w:r>
      <w:r>
        <w:t xml:space="preserve">months after a 1% fuel price rise; we report the cumulative response</w:t>
      </w:r>
      <w:r>
        <w:t xml:space="preserve"> </w:t>
      </w:r>
      <m:oMath>
        <m:sSub>
          <m:e>
            <m:r>
              <m:t>B</m:t>
            </m:r>
          </m:e>
          <m:sub>
            <m:r>
              <m:t>h</m:t>
            </m:r>
          </m:sub>
        </m:sSub>
        <m:r>
          <m:rPr>
            <m:sty m:val="p"/>
          </m:rPr>
          <m:t>=</m:t>
        </m:r>
        <m:sSub>
          <m:e>
            <m:r>
              <m:t>β</m:t>
            </m:r>
          </m:e>
          <m:sub>
            <m:r>
              <m:t>0</m:t>
            </m:r>
          </m:sub>
        </m:sSub>
        <m:r>
          <m:rPr>
            <m:sty m:val="p"/>
          </m:rPr>
          <m:t>+</m:t>
        </m:r>
        <m:r>
          <m:rPr>
            <m:sty m:val="p"/>
          </m:rPr>
          <m:t>…</m:t>
        </m:r>
        <m:r>
          <m:rPr>
            <m:sty m:val="p"/>
          </m:rPr>
          <m:t>+</m:t>
        </m:r>
        <m:sSub>
          <m:e>
            <m:r>
              <m:t>β</m:t>
            </m:r>
          </m:e>
          <m:sub>
            <m:r>
              <m:t>h</m:t>
            </m:r>
          </m:sub>
        </m:sSub>
      </m:oMath>
      <w:r>
        <w:t xml:space="preserve">, the effect on the price level, estimated directly by summing the outcome from</w:t>
      </w:r>
      <w:r>
        <w:t xml:space="preserve"> </w:t>
      </w:r>
      <w:r>
        <w:rPr>
          <w:i/>
          <w:iCs/>
        </w:rPr>
        <w:t xml:space="preserve">t</w:t>
      </w:r>
      <w:r>
        <w:t xml:space="preserve"> </w:t>
      </w:r>
      <w:r>
        <w:t xml:space="preserve">to</w:t>
      </w:r>
      <w:r>
        <w:t xml:space="preserve"> </w:t>
      </w:r>
      <w:r>
        <w:rPr>
          <w:i/>
          <w:iCs/>
        </w:rPr>
        <w:t xml:space="preserve">t + h</w:t>
      </w:r>
      <w:r>
        <w:t xml:space="preserve">. National estimates use Newey–West standard errors with</w:t>
      </w:r>
      <w:r>
        <w:t xml:space="preserve"> </w:t>
      </w:r>
      <w:r>
        <w:rPr>
          <w:i/>
          <w:iCs/>
        </w:rPr>
        <w:t xml:space="preserve">h</w:t>
      </w:r>
      <w:r>
        <w:t xml:space="preserve"> </w:t>
      </w:r>
      <w:r>
        <w:t xml:space="preserve">+ 1 lags</w:t>
      </w:r>
      <w:r>
        <w:t xml:space="preserve"> </w:t>
      </w:r>
      <w:r>
        <w:t xml:space="preserve">(</w:t>
      </w:r>
      <w:hyperlink w:anchor="ref-newey_west_1987">
        <w:r>
          <w:rPr>
            <w:rStyle w:val="Hyperlink"/>
          </w:rPr>
          <w:t xml:space="preserve">Newey and West 1987</w:t>
        </w:r>
      </w:hyperlink>
      <w:r>
        <w:t xml:space="preserve">)</w:t>
      </w:r>
      <w:r>
        <w:t xml:space="preserve">. The regional version stacks the 17 regions with region fixed effects, each region’s own fuel index, and Driscoll–Kraay standard errors, which allow for correlation over time and across regions</w:t>
      </w:r>
      <w:r>
        <w:t xml:space="preserve"> </w:t>
      </w:r>
      <w:r>
        <w:t xml:space="preserve">(</w:t>
      </w:r>
      <w:hyperlink w:anchor="ref-driscoll_kraay_1998">
        <w:r>
          <w:rPr>
            <w:rStyle w:val="Hyperlink"/>
          </w:rPr>
          <w:t xml:space="preserve">Driscoll and Kraay 1998</w:t>
        </w:r>
      </w:hyperlink>
      <w:r>
        <w:t xml:space="preserve">)</w:t>
      </w:r>
      <w:r>
        <w:t xml:space="preserve">. Bands are 90%. Shock dates run from January 2001 to August 2026. The estimator recovers known responses in simulated data.</w:t>
      </w:r>
    </w:p>
    <w:p>
      <w:pPr>
        <w:pStyle w:val="BodyText"/>
      </w:pPr>
      <w:r>
        <w:t xml:space="preserve">RQ1 uses all-income and bottom-30% inflation as outcomes. RQ2 uses</w:t>
      </w:r>
      <w:r>
        <w:t xml:space="preserve"> </w:t>
      </w:r>
      <m:oMath>
        <m:r>
          <m:rPr>
            <m:sty m:val="p"/>
          </m:rPr>
          <m:t>Δ</m:t>
        </m:r>
        <m:sSub>
          <m:e>
            <m:r>
              <m:t>D</m:t>
            </m:r>
          </m:e>
          <m:sub>
            <m:r>
              <m:t>t</m:t>
            </m:r>
          </m:sub>
        </m:sSub>
      </m:oMath>
      <w:r>
        <w:t xml:space="preserve">; a negative cumulative response is regressive. To separate the two terms of equation (2), we estimate equation (3) for each of the 13 CPI divisions and compute the gap that budget shares alone would produce,</w:t>
      </w:r>
      <w:r>
        <w:t xml:space="preserve"> </w:t>
      </w:r>
      <m:oMath>
        <m:nary>
          <m:naryPr>
            <m:chr m:val="∑"/>
            <m:limLoc m:val="undOvr"/>
            <m:subHide m:val="off"/>
            <m:supHide m:val="on"/>
          </m:naryPr>
          <m:sub>
            <m:r>
              <m:t>k</m:t>
            </m:r>
          </m:sub>
          <m:sup>
            <m:r>
              <m:t>​</m:t>
            </m:r>
          </m:sup>
          <m:e>
            <m:sSubSup>
              <m:e>
                <m:r>
                  <m:t>B</m:t>
                </m:r>
              </m:e>
              <m:sub>
                <m:r>
                  <m:t>12</m:t>
                </m:r>
              </m:sub>
              <m:sup>
                <m:r>
                  <m:rPr>
                    <m:sty m:val="p"/>
                  </m:rPr>
                  <m:t>(</m:t>
                </m:r>
                <m:r>
                  <m:t>k</m:t>
                </m:r>
                <m:r>
                  <m:rPr>
                    <m:sty m:val="p"/>
                  </m:rPr>
                  <m:t>)</m:t>
                </m:r>
              </m:sup>
            </m:sSubSup>
          </m:e>
        </m:nary>
        <m:r>
          <m:rPr>
            <m:sty m:val="p"/>
          </m:rPr>
          <m:t>(</m:t>
        </m:r>
        <m:sSubSup>
          <m:e>
            <m:r>
              <m:t>w</m:t>
            </m:r>
          </m:e>
          <m:sub>
            <m:r>
              <m:t>k</m:t>
            </m:r>
          </m:sub>
          <m:sup>
            <m:r>
              <m:t>A</m:t>
            </m:r>
          </m:sup>
        </m:sSubSup>
        <m:r>
          <m:rPr>
            <m:sty m:val="p"/>
          </m:rPr>
          <m:t>−</m:t>
        </m:r>
        <m:sSubSup>
          <m:e>
            <m:r>
              <m:t>w</m:t>
            </m:r>
          </m:e>
          <m:sub>
            <m:r>
              <m:t>k</m:t>
            </m:r>
          </m:sub>
          <m:sup>
            <m:r>
              <m:t>B</m:t>
            </m:r>
          </m:sup>
        </m:sSubSup>
        <m:r>
          <m:rPr>
            <m:sty m:val="p"/>
          </m:rPr>
          <m:t>)</m:t>
        </m:r>
        <m:r>
          <m:rPr>
            <m:sty m:val="p"/>
          </m:rPr>
          <m:t>/</m:t>
        </m:r>
        <m:r>
          <m:t>100</m:t>
        </m:r>
      </m:oMath>
      <w:r>
        <w:t xml:space="preserve">, and compare division responses in the two baskets from 2013. The estimation plan was fixed before the first estimate; analyses added afterwards are labelled.</w:t>
      </w:r>
    </w:p>
    <w:bookmarkEnd w:id="25"/>
    <w:bookmarkStart w:id="26" w:name="the-2026-episode"/>
    <w:p>
      <w:pPr>
        <w:pStyle w:val="Heading2"/>
      </w:pPr>
      <w:r>
        <w:t xml:space="preserve">3.3 The 2026 episode</w:t>
      </w:r>
    </w:p>
    <w:p>
      <w:pPr>
        <w:pStyle w:val="FirstParagraph"/>
      </w:pPr>
      <w:r>
        <w:t xml:space="preserve">For RQ3 we re-estimate the cumulative responses on data ending in December 2025 and apply them to the actual 2026 fuel path: the fuel-driven change in the price level between December 2025 and month</w:t>
      </w:r>
      <w:r>
        <w:t xml:space="preserve"> </w:t>
      </w:r>
      <w:r>
        <w:rPr>
          <w:i/>
          <w:iCs/>
        </w:rPr>
        <w:t xml:space="preserve">m</w:t>
      </w:r>
      <w:r>
        <w:t xml:space="preserve"> </w:t>
      </w:r>
      <w:r>
        <w:t xml:space="preserve">is</w:t>
      </w:r>
      <w:r>
        <w:t xml:space="preserve"> </w:t>
      </w:r>
      <m:oMath>
        <m:nary>
          <m:naryPr>
            <m:chr m:val="∑"/>
            <m:limLoc m:val="undOvr"/>
            <m:subHide m:val="off"/>
            <m:supHide m:val="on"/>
          </m:naryPr>
          <m:sub>
            <m:r>
              <m:t>s</m:t>
            </m:r>
          </m:sub>
          <m:sup>
            <m:r>
              <m:t>​</m:t>
            </m:r>
          </m:sup>
          <m:e>
            <m:sSub>
              <m:e>
                <m:r>
                  <m:t>B</m:t>
                </m:r>
              </m:e>
              <m:sub>
                <m:r>
                  <m:t>m</m:t>
                </m:r>
                <m:r>
                  <m:rPr>
                    <m:sty m:val="p"/>
                  </m:rPr>
                  <m:t>−</m:t>
                </m:r>
                <m:r>
                  <m:t>s</m:t>
                </m:r>
              </m:sub>
            </m:sSub>
          </m:e>
        </m:nary>
        <m:sSub>
          <m:e>
            <m:r>
              <m:t>f</m:t>
            </m:r>
          </m:e>
          <m:sub>
            <m:r>
              <m:t>s</m:t>
            </m:r>
          </m:sub>
        </m:sSub>
      </m:oMath>
      <w:r>
        <w:t xml:space="preserve">. We compare this with the actual change, nationally and by region (using the panel estimates and each region’s fuel path). The fuel-driven rise in the bottom-30% CPI, multiplied by the official monthly poverty line for a family of five (the 2023 regional threshold carried to December 2025), gives the peso cost. We also estimate the responses of household fuels, fares and cereals in both baskets (2013–2026), and decompose the actual December 2025–August 2026 change in each index by item using the 2018 weights.</w:t>
      </w:r>
    </w:p>
    <w:bookmarkEnd w:id="26"/>
    <w:bookmarkEnd w:id="27"/>
    <w:bookmarkStart w:id="51" w:name="results"/>
    <w:p>
      <w:pPr>
        <w:pStyle w:val="Heading1"/>
      </w:pPr>
      <w:r>
        <w:t xml:space="preserve">4. Results</w:t>
      </w:r>
    </w:p>
    <w:bookmarkStart w:id="31" w:name="the-descriptive-record"/>
    <w:p>
      <w:pPr>
        <w:pStyle w:val="Heading2"/>
      </w:pPr>
      <w:r>
        <w:t xml:space="preserve">4.1 The descriptive record</w:t>
      </w:r>
    </w:p>
    <w:p>
      <w:pPr>
        <w:pStyle w:val="FirstParagraph"/>
      </w:pPr>
      <w:r>
        <w:t xml:space="preserve">Over 2001–2026, bottom-30% prices rose by 4.33% a year on average and all-income prices by 3.77% (Table 2, Figure 2). The poor’s inflation was higher in 18 of 25 years and in 6 of 9 episodes in which fuel prices stayed at least 15% above their level a year earlier; the cumulative gap reached −13.3 log points by 2025 and was negative in every region. The gap was largest in 2008, when the oil spike coincided with the rice crisis (13.9% against 8.2%), and second largest in 2026. Price levels are non-stationary and monthly changes stationary (online appendix), supporting the model in changes.</w:t>
      </w:r>
    </w:p>
    <w:p>
      <w:pPr>
        <w:pStyle w:val="TableCaption"/>
      </w:pPr>
      <w:r>
        <w:t xml:space="preserve">Table 2. Summary statistics of monthly changes (100 × Δln), national, January 2001–August 2026</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Caption w:val="Table 2. Summary statistics of monthly changes (100 × Δln), national, January 2001–August 2026"/>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Variable</w:t>
            </w:r>
          </w:p>
        </w:tc>
        <w:tc>
          <w:tcPr>
            <w:tcBorders>
              <w:bottom w:val="single" w:sz="6" w:space="0" w:color="000000"/>
            </w:tcBorders>
          </w:tcPr>
          <w:p>
            <w:pPr>
              <w:pStyle w:val="Compact"/>
              <w:spacing w:before="0" w:after="0" w:line="240" w:lineRule="auto"/>
              <w:ind w:firstLine="0" w:left="0"/>
            </w:pPr>
            <w:r>
              <w:rPr>
                <w:sz w:val="20"/>
                <w:szCs w:val="20"/>
              </w:rPr>
              <w:t xml:space="preserve">N</w:t>
            </w:r>
          </w:p>
        </w:tc>
        <w:tc>
          <w:tcPr>
            <w:tcBorders>
              <w:bottom w:val="single" w:sz="6" w:space="0" w:color="000000"/>
            </w:tcBorders>
          </w:tcPr>
          <w:p>
            <w:pPr>
              <w:pStyle w:val="Compact"/>
              <w:spacing w:before="0" w:after="0" w:line="240" w:lineRule="auto"/>
              <w:ind w:firstLine="0" w:left="0"/>
            </w:pPr>
            <w:r>
              <w:rPr>
                <w:sz w:val="20"/>
                <w:szCs w:val="20"/>
              </w:rPr>
              <w:t xml:space="preserve">Mean (pp/month)</w:t>
            </w:r>
          </w:p>
        </w:tc>
        <w:tc>
          <w:tcPr>
            <w:tcBorders>
              <w:bottom w:val="single" w:sz="6" w:space="0" w:color="000000"/>
            </w:tcBorders>
          </w:tcPr>
          <w:p>
            <w:pPr>
              <w:pStyle w:val="Compact"/>
              <w:spacing w:before="0" w:after="0" w:line="240" w:lineRule="auto"/>
              <w:ind w:firstLine="0" w:left="0"/>
            </w:pPr>
            <w:r>
              <w:rPr>
                <w:sz w:val="20"/>
                <w:szCs w:val="20"/>
              </w:rPr>
              <w:t xml:space="preserve">Annualised mean</w:t>
            </w:r>
          </w:p>
        </w:tc>
        <w:tc>
          <w:tcPr>
            <w:tcBorders>
              <w:bottom w:val="single" w:sz="6" w:space="0" w:color="000000"/>
            </w:tcBorders>
          </w:tcPr>
          <w:p>
            <w:pPr>
              <w:pStyle w:val="Compact"/>
              <w:spacing w:before="0" w:after="0" w:line="240" w:lineRule="auto"/>
              <w:ind w:firstLine="0" w:left="0"/>
            </w:pPr>
            <w:r>
              <w:rPr>
                <w:sz w:val="20"/>
                <w:szCs w:val="20"/>
              </w:rPr>
              <w:t xml:space="preserve">SD</w:t>
            </w:r>
          </w:p>
        </w:tc>
        <w:tc>
          <w:tcPr>
            <w:tcBorders>
              <w:bottom w:val="single" w:sz="6" w:space="0" w:color="000000"/>
            </w:tcBorders>
          </w:tcPr>
          <w:p>
            <w:pPr>
              <w:pStyle w:val="Compact"/>
              <w:spacing w:before="0" w:after="0" w:line="240" w:lineRule="auto"/>
              <w:ind w:firstLine="0" w:left="0"/>
            </w:pPr>
            <w:r>
              <w:rPr>
                <w:sz w:val="20"/>
                <w:szCs w:val="20"/>
              </w:rPr>
              <w:t xml:space="preserve">Min</w:t>
            </w:r>
          </w:p>
        </w:tc>
        <w:tc>
          <w:tcPr>
            <w:tcBorders>
              <w:bottom w:val="single" w:sz="6" w:space="0" w:color="000000"/>
            </w:tcBorders>
          </w:tcPr>
          <w:p>
            <w:pPr>
              <w:pStyle w:val="Compact"/>
              <w:spacing w:before="0" w:after="0" w:line="240" w:lineRule="auto"/>
              <w:ind w:firstLine="0" w:left="0"/>
            </w:pPr>
            <w:r>
              <w:rPr>
                <w:sz w:val="20"/>
                <w:szCs w:val="20"/>
              </w:rPr>
              <w:t xml:space="preserve">Max</w:t>
            </w:r>
          </w:p>
        </w:tc>
      </w:tr>
      <w:tr>
        <w:tc>
          <w:tcPr/>
          <w:p>
            <w:pPr>
              <w:pStyle w:val="Compact"/>
              <w:spacing w:before="0" w:after="0" w:line="240" w:lineRule="auto"/>
              <w:ind w:firstLine="0" w:left="0"/>
            </w:pPr>
            <w:r>
              <w:rPr>
                <w:sz w:val="20"/>
                <w:szCs w:val="20"/>
              </w:rPr>
              <w:t xml:space="preserve">Fuel index (07.2.2)</w:t>
            </w:r>
          </w:p>
        </w:tc>
        <w:tc>
          <w:tcPr/>
          <w:p>
            <w:pPr>
              <w:pStyle w:val="Compact"/>
              <w:spacing w:before="0" w:after="0" w:line="240" w:lineRule="auto"/>
              <w:ind w:firstLine="0" w:left="0"/>
            </w:pPr>
            <w:r>
              <w:rPr>
                <w:sz w:val="20"/>
                <w:szCs w:val="20"/>
              </w:rPr>
              <w:t xml:space="preserve">308</w:t>
            </w:r>
          </w:p>
        </w:tc>
        <w:tc>
          <w:tcPr/>
          <w:p>
            <w:pPr>
              <w:pStyle w:val="Compact"/>
              <w:spacing w:before="0" w:after="0" w:line="240" w:lineRule="auto"/>
              <w:ind w:firstLine="0" w:left="0"/>
            </w:pPr>
            <w:r>
              <w:rPr>
                <w:sz w:val="20"/>
                <w:szCs w:val="20"/>
              </w:rPr>
              <w:t xml:space="preserve">0.449</w:t>
            </w:r>
          </w:p>
        </w:tc>
        <w:tc>
          <w:tcPr/>
          <w:p>
            <w:pPr>
              <w:pStyle w:val="Compact"/>
              <w:spacing w:before="0" w:after="0" w:line="240" w:lineRule="auto"/>
              <w:ind w:firstLine="0" w:left="0"/>
            </w:pPr>
            <w:r>
              <w:rPr>
                <w:sz w:val="20"/>
                <w:szCs w:val="20"/>
              </w:rPr>
              <w:t xml:space="preserve">5.39</w:t>
            </w:r>
          </w:p>
        </w:tc>
        <w:tc>
          <w:tcPr/>
          <w:p>
            <w:pPr>
              <w:pStyle w:val="Compact"/>
              <w:spacing w:before="0" w:after="0" w:line="240" w:lineRule="auto"/>
              <w:ind w:firstLine="0" w:left="0"/>
            </w:pPr>
            <w:r>
              <w:rPr>
                <w:sz w:val="20"/>
                <w:szCs w:val="20"/>
              </w:rPr>
              <w:t xml:space="preserve">4.367</w:t>
            </w:r>
          </w:p>
        </w:tc>
        <w:tc>
          <w:tcPr/>
          <w:p>
            <w:pPr>
              <w:pStyle w:val="Compact"/>
              <w:spacing w:before="0" w:after="0" w:line="240" w:lineRule="auto"/>
              <w:ind w:firstLine="0" w:left="0"/>
            </w:pPr>
            <w:r>
              <w:rPr>
                <w:sz w:val="20"/>
                <w:szCs w:val="20"/>
              </w:rPr>
              <w:t xml:space="preserve">−18.10</w:t>
            </w:r>
          </w:p>
        </w:tc>
        <w:tc>
          <w:tcPr/>
          <w:p>
            <w:pPr>
              <w:pStyle w:val="Compact"/>
              <w:spacing w:before="0" w:after="0" w:line="240" w:lineRule="auto"/>
              <w:ind w:firstLine="0" w:left="0"/>
            </w:pPr>
            <w:r>
              <w:rPr>
                <w:sz w:val="20"/>
                <w:szCs w:val="20"/>
              </w:rPr>
              <w:t xml:space="preserve">31.79</w:t>
            </w:r>
          </w:p>
        </w:tc>
      </w:tr>
      <w:tr>
        <w:tc>
          <w:tcPr/>
          <w:p>
            <w:pPr>
              <w:pStyle w:val="Compact"/>
              <w:spacing w:before="0" w:after="0" w:line="240" w:lineRule="auto"/>
              <w:ind w:firstLine="0" w:left="0"/>
            </w:pPr>
            <w:r>
              <w:rPr>
                <w:sz w:val="20"/>
                <w:szCs w:val="20"/>
              </w:rPr>
              <w:t xml:space="preserve">CPI, all income</w:t>
            </w:r>
          </w:p>
        </w:tc>
        <w:tc>
          <w:tcPr/>
          <w:p>
            <w:pPr>
              <w:pStyle w:val="Compact"/>
              <w:spacing w:before="0" w:after="0" w:line="240" w:lineRule="auto"/>
              <w:ind w:firstLine="0" w:left="0"/>
            </w:pPr>
            <w:r>
              <w:rPr>
                <w:sz w:val="20"/>
                <w:szCs w:val="20"/>
              </w:rPr>
              <w:t xml:space="preserve">308</w:t>
            </w:r>
          </w:p>
        </w:tc>
        <w:tc>
          <w:tcPr/>
          <w:p>
            <w:pPr>
              <w:pStyle w:val="Compact"/>
              <w:spacing w:before="0" w:after="0" w:line="240" w:lineRule="auto"/>
              <w:ind w:firstLine="0" w:left="0"/>
            </w:pPr>
            <w:r>
              <w:rPr>
                <w:sz w:val="20"/>
                <w:szCs w:val="20"/>
              </w:rPr>
              <w:t xml:space="preserve">0.314</w:t>
            </w:r>
          </w:p>
        </w:tc>
        <w:tc>
          <w:tcPr/>
          <w:p>
            <w:pPr>
              <w:pStyle w:val="Compact"/>
              <w:spacing w:before="0" w:after="0" w:line="240" w:lineRule="auto"/>
              <w:ind w:firstLine="0" w:left="0"/>
            </w:pPr>
            <w:r>
              <w:rPr>
                <w:sz w:val="20"/>
                <w:szCs w:val="20"/>
              </w:rPr>
              <w:t xml:space="preserve">3.77</w:t>
            </w:r>
          </w:p>
        </w:tc>
        <w:tc>
          <w:tcPr/>
          <w:p>
            <w:pPr>
              <w:pStyle w:val="Compact"/>
              <w:spacing w:before="0" w:after="0" w:line="240" w:lineRule="auto"/>
              <w:ind w:firstLine="0" w:left="0"/>
            </w:pPr>
            <w:r>
              <w:rPr>
                <w:sz w:val="20"/>
                <w:szCs w:val="20"/>
              </w:rPr>
              <w:t xml:space="preserve">0.386</w:t>
            </w:r>
          </w:p>
        </w:tc>
        <w:tc>
          <w:tcPr/>
          <w:p>
            <w:pPr>
              <w:pStyle w:val="Compact"/>
              <w:spacing w:before="0" w:after="0" w:line="240" w:lineRule="auto"/>
              <w:ind w:firstLine="0" w:left="0"/>
            </w:pPr>
            <w:r>
              <w:rPr>
                <w:sz w:val="20"/>
                <w:szCs w:val="20"/>
              </w:rPr>
              <w:t xml:space="preserve">−0.59</w:t>
            </w:r>
          </w:p>
        </w:tc>
        <w:tc>
          <w:tcPr/>
          <w:p>
            <w:pPr>
              <w:pStyle w:val="Compact"/>
              <w:spacing w:before="0" w:after="0" w:line="240" w:lineRule="auto"/>
              <w:ind w:firstLine="0" w:left="0"/>
            </w:pPr>
            <w:r>
              <w:rPr>
                <w:sz w:val="20"/>
                <w:szCs w:val="20"/>
              </w:rPr>
              <w:t xml:space="preserve">2.60</w:t>
            </w:r>
          </w:p>
        </w:tc>
      </w:tr>
      <w:tr>
        <w:tc>
          <w:tcPr/>
          <w:p>
            <w:pPr>
              <w:pStyle w:val="Compact"/>
              <w:spacing w:before="0" w:after="0" w:line="240" w:lineRule="auto"/>
              <w:ind w:firstLine="0" w:left="0"/>
            </w:pPr>
            <w:r>
              <w:rPr>
                <w:sz w:val="20"/>
                <w:szCs w:val="20"/>
              </w:rPr>
              <w:t xml:space="preserve">CPI, bottom 30%</w:t>
            </w:r>
          </w:p>
        </w:tc>
        <w:tc>
          <w:tcPr/>
          <w:p>
            <w:pPr>
              <w:pStyle w:val="Compact"/>
              <w:spacing w:before="0" w:after="0" w:line="240" w:lineRule="auto"/>
              <w:ind w:firstLine="0" w:left="0"/>
            </w:pPr>
            <w:r>
              <w:rPr>
                <w:sz w:val="20"/>
                <w:szCs w:val="20"/>
              </w:rPr>
              <w:t xml:space="preserve">308</w:t>
            </w:r>
          </w:p>
        </w:tc>
        <w:tc>
          <w:tcPr/>
          <w:p>
            <w:pPr>
              <w:pStyle w:val="Compact"/>
              <w:spacing w:before="0" w:after="0" w:line="240" w:lineRule="auto"/>
              <w:ind w:firstLine="0" w:left="0"/>
            </w:pPr>
            <w:r>
              <w:rPr>
                <w:sz w:val="20"/>
                <w:szCs w:val="20"/>
              </w:rPr>
              <w:t xml:space="preserve">0.361</w:t>
            </w:r>
          </w:p>
        </w:tc>
        <w:tc>
          <w:tcPr/>
          <w:p>
            <w:pPr>
              <w:pStyle w:val="Compact"/>
              <w:spacing w:before="0" w:after="0" w:line="240" w:lineRule="auto"/>
              <w:ind w:firstLine="0" w:left="0"/>
            </w:pPr>
            <w:r>
              <w:rPr>
                <w:sz w:val="20"/>
                <w:szCs w:val="20"/>
              </w:rPr>
              <w:t xml:space="preserve">4.33</w:t>
            </w:r>
          </w:p>
        </w:tc>
        <w:tc>
          <w:tcPr/>
          <w:p>
            <w:pPr>
              <w:pStyle w:val="Compact"/>
              <w:spacing w:before="0" w:after="0" w:line="240" w:lineRule="auto"/>
              <w:ind w:firstLine="0" w:left="0"/>
            </w:pPr>
            <w:r>
              <w:rPr>
                <w:sz w:val="20"/>
                <w:szCs w:val="20"/>
              </w:rPr>
              <w:t xml:space="preserve">0.565</w:t>
            </w:r>
          </w:p>
        </w:tc>
        <w:tc>
          <w:tcPr/>
          <w:p>
            <w:pPr>
              <w:pStyle w:val="Compact"/>
              <w:spacing w:before="0" w:after="0" w:line="240" w:lineRule="auto"/>
              <w:ind w:firstLine="0" w:left="0"/>
            </w:pPr>
            <w:r>
              <w:rPr>
                <w:sz w:val="20"/>
                <w:szCs w:val="20"/>
              </w:rPr>
              <w:t xml:space="preserve">−0.88</w:t>
            </w:r>
          </w:p>
        </w:tc>
        <w:tc>
          <w:tcPr/>
          <w:p>
            <w:pPr>
              <w:pStyle w:val="Compact"/>
              <w:spacing w:before="0" w:after="0" w:line="240" w:lineRule="auto"/>
              <w:ind w:firstLine="0" w:left="0"/>
            </w:pPr>
            <w:r>
              <w:rPr>
                <w:sz w:val="20"/>
                <w:szCs w:val="20"/>
              </w:rPr>
              <w:t xml:space="preserve">3.89</w:t>
            </w:r>
          </w:p>
        </w:tc>
      </w:tr>
      <w:tr>
        <w:tc>
          <w:tcPr/>
          <w:p>
            <w:pPr>
              <w:pStyle w:val="Compact"/>
              <w:spacing w:before="0" w:after="0" w:line="240" w:lineRule="auto"/>
              <w:ind w:firstLine="0" w:left="0"/>
            </w:pPr>
            <w:r>
              <w:rPr>
                <w:sz w:val="20"/>
                <w:szCs w:val="20"/>
              </w:rPr>
              <w:t xml:space="preserve">Gap: ln(CPI all/CPI b30)</w:t>
            </w:r>
          </w:p>
        </w:tc>
        <w:tc>
          <w:tcPr/>
          <w:p>
            <w:pPr>
              <w:pStyle w:val="Compact"/>
              <w:spacing w:before="0" w:after="0" w:line="240" w:lineRule="auto"/>
              <w:ind w:firstLine="0" w:left="0"/>
            </w:pPr>
            <w:r>
              <w:rPr>
                <w:sz w:val="20"/>
                <w:szCs w:val="20"/>
              </w:rPr>
              <w:t xml:space="preserve">308</w:t>
            </w:r>
          </w:p>
        </w:tc>
        <w:tc>
          <w:tcPr/>
          <w:p>
            <w:pPr>
              <w:pStyle w:val="Compact"/>
              <w:spacing w:before="0" w:after="0" w:line="240" w:lineRule="auto"/>
              <w:ind w:firstLine="0" w:left="0"/>
            </w:pPr>
            <w:r>
              <w:rPr>
                <w:sz w:val="20"/>
                <w:szCs w:val="20"/>
              </w:rPr>
              <w:t xml:space="preserve">−0.047</w:t>
            </w:r>
          </w:p>
        </w:tc>
        <w:tc>
          <w:tcPr/>
          <w:p>
            <w:pPr>
              <w:pStyle w:val="Compact"/>
              <w:spacing w:before="0" w:after="0" w:line="240" w:lineRule="auto"/>
              <w:ind w:firstLine="0" w:left="0"/>
            </w:pPr>
            <w:r>
              <w:rPr>
                <w:sz w:val="20"/>
                <w:szCs w:val="20"/>
              </w:rPr>
              <w:t xml:space="preserve">−0.56</w:t>
            </w:r>
          </w:p>
        </w:tc>
        <w:tc>
          <w:tcPr/>
          <w:p>
            <w:pPr>
              <w:pStyle w:val="Compact"/>
              <w:spacing w:before="0" w:after="0" w:line="240" w:lineRule="auto"/>
              <w:ind w:firstLine="0" w:left="0"/>
            </w:pPr>
            <w:r>
              <w:rPr>
                <w:sz w:val="20"/>
                <w:szCs w:val="20"/>
              </w:rPr>
              <w:t xml:space="preserve">0.303</w:t>
            </w:r>
          </w:p>
        </w:tc>
        <w:tc>
          <w:tcPr/>
          <w:p>
            <w:pPr>
              <w:pStyle w:val="Compact"/>
              <w:spacing w:before="0" w:after="0" w:line="240" w:lineRule="auto"/>
              <w:ind w:firstLine="0" w:left="0"/>
            </w:pPr>
            <w:r>
              <w:rPr>
                <w:sz w:val="20"/>
                <w:szCs w:val="20"/>
              </w:rPr>
              <w:t xml:space="preserve">−2.27</w:t>
            </w:r>
          </w:p>
        </w:tc>
        <w:tc>
          <w:tcPr/>
          <w:p>
            <w:pPr>
              <w:pStyle w:val="Compact"/>
              <w:spacing w:before="0" w:after="0" w:line="240" w:lineRule="auto"/>
              <w:ind w:firstLine="0" w:left="0"/>
            </w:pPr>
            <w:r>
              <w:rPr>
                <w:sz w:val="20"/>
                <w:szCs w:val="20"/>
              </w:rPr>
              <w:t xml:space="preserve">0.71</w:t>
            </w:r>
          </w:p>
        </w:tc>
      </w:tr>
    </w:tbl>
    <w:p>
      <w:pPr>
        <w:pStyle w:val="CaptionedFigure"/>
      </w:pPr>
      <w:r>
        <w:drawing>
          <wp:inline>
            <wp:extent cx="5646420" cy="5079101"/>
            <wp:effectExtent b="0" l="0" r="0" t="0"/>
            <wp:docPr descr="Figure 2. Inflation of all income and bottom-30% households, the gap between them, and the retail fuel index, 2001–2026 (year on year)." title="" id="29" name="Picture"/>
            <a:graphic>
              <a:graphicData uri="http://schemas.openxmlformats.org/drawingml/2006/picture">
                <pic:pic>
                  <pic:nvPicPr>
                    <pic:cNvPr descr="../output/figures/fig03_trends.png" id="30" name="Picture"/>
                    <pic:cNvPicPr>
                      <a:picLocks noChangeArrowheads="1" noChangeAspect="1"/>
                    </pic:cNvPicPr>
                  </pic:nvPicPr>
                  <pic:blipFill>
                    <a:blip r:embed="rId28"/>
                    <a:stretch>
                      <a:fillRect/>
                    </a:stretch>
                  </pic:blipFill>
                  <pic:spPr bwMode="auto">
                    <a:xfrm>
                      <a:off x="0" y="0"/>
                      <a:ext cx="5646420" cy="5079101"/>
                    </a:xfrm>
                    <a:prstGeom prst="rect">
                      <a:avLst/>
                    </a:prstGeom>
                    <a:noFill/>
                    <a:ln w="9525">
                      <a:noFill/>
                      <a:headEnd/>
                      <a:tailEnd/>
                    </a:ln>
                  </pic:spPr>
                </pic:pic>
              </a:graphicData>
            </a:graphic>
          </wp:inline>
        </w:drawing>
      </w:r>
    </w:p>
    <w:p>
      <w:pPr>
        <w:pStyle w:val="ImageCaption"/>
      </w:pPr>
      <w:r>
        <w:t xml:space="preserve">Figure 2. Inflation of all income and bottom-30% households, the gap between them, and the retail fuel index, 2001–2026 (year on year).</w:t>
      </w:r>
    </w:p>
    <w:bookmarkEnd w:id="31"/>
    <w:bookmarkStart w:id="35" w:name="pass-through-to-the-price-level-rq1"/>
    <w:p>
      <w:pPr>
        <w:pStyle w:val="Heading2"/>
      </w:pPr>
      <w:r>
        <w:t xml:space="preserve">4.2 Pass-through to the price level (RQ1)</w:t>
      </w:r>
    </w:p>
    <w:p>
      <w:pPr>
        <w:pStyle w:val="FirstParagraph"/>
      </w:pPr>
      <w:r>
        <w:t xml:space="preserve">A 1% rise in the retail fuel index raises the all-income price level by 0.044 percentage points within the month, 0.087 after six months and 0.102 after a year (Table 3, Figure 3); the bottom-30% level responds similarly (0.044, 0.095 and 0.102). The impact response equals the reference study’s advanced-economy estimate (0.044) and is more than twice its developing-economy estimate (0.018); the six-month response is close to the developing-economy total (0.091). Motor fuel is 2.39% of the all-income basket, so the direct effect accounts for about 54% of the impact response; for the bottom 30% (fuel weight 1.59%) only about 36%. With Dubai crude in pesos as the shock, the twelve-month response is 0.041, about 40% of the retail estimate.</w:t>
      </w:r>
    </w:p>
    <w:p>
      <w:pPr>
        <w:pStyle w:val="TableCaption"/>
      </w:pPr>
      <w:r>
        <w:t xml:space="preserve">Table 3. Cumulative responses to a 1% fuel price increase</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Caption w:val="Table 3. Cumulative responses to a 1% fuel price increase"/>
      </w:tblPr>
      <w:tblGrid>
        <w:gridCol w:w="1584"/>
        <w:gridCol w:w="1584"/>
        <w:gridCol w:w="1584"/>
        <w:gridCol w:w="1584"/>
        <w:gridCol w:w="1584"/>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Horizon (months)</w:t>
            </w:r>
          </w:p>
        </w:tc>
        <w:tc>
          <w:tcPr>
            <w:tcBorders>
              <w:bottom w:val="single" w:sz="6" w:space="0" w:color="000000"/>
            </w:tcBorders>
          </w:tcPr>
          <w:p>
            <w:pPr>
              <w:pStyle w:val="Compact"/>
              <w:spacing w:before="0" w:after="0" w:line="240" w:lineRule="auto"/>
              <w:ind w:firstLine="0" w:left="0"/>
            </w:pPr>
            <w:r>
              <w:rPr>
                <w:sz w:val="20"/>
                <w:szCs w:val="20"/>
              </w:rPr>
              <w:t xml:space="preserve">CPI, all income</w:t>
            </w:r>
          </w:p>
        </w:tc>
        <w:tc>
          <w:tcPr>
            <w:tcBorders>
              <w:bottom w:val="single" w:sz="6" w:space="0" w:color="000000"/>
            </w:tcBorders>
          </w:tcPr>
          <w:p>
            <w:pPr>
              <w:pStyle w:val="Compact"/>
              <w:spacing w:before="0" w:after="0" w:line="240" w:lineRule="auto"/>
              <w:ind w:firstLine="0" w:left="0"/>
            </w:pPr>
            <w:r>
              <w:rPr>
                <w:sz w:val="20"/>
                <w:szCs w:val="20"/>
              </w:rPr>
              <w:t xml:space="preserve">CPI, bottom 30%</w:t>
            </w:r>
          </w:p>
        </w:tc>
        <w:tc>
          <w:tcPr>
            <w:tcBorders>
              <w:bottom w:val="single" w:sz="6" w:space="0" w:color="000000"/>
            </w:tcBorders>
          </w:tcPr>
          <w:p>
            <w:pPr>
              <w:pStyle w:val="Compact"/>
              <w:spacing w:before="0" w:after="0" w:line="240" w:lineRule="auto"/>
              <w:ind w:firstLine="0" w:left="0"/>
            </w:pPr>
            <w:r>
              <w:rPr>
                <w:sz w:val="20"/>
                <w:szCs w:val="20"/>
              </w:rPr>
              <w:t xml:space="preserve">Gap, national</w:t>
            </w:r>
          </w:p>
        </w:tc>
        <w:tc>
          <w:tcPr>
            <w:tcBorders>
              <w:bottom w:val="single" w:sz="6" w:space="0" w:color="000000"/>
            </w:tcBorders>
          </w:tcPr>
          <w:p>
            <w:pPr>
              <w:pStyle w:val="Compact"/>
              <w:spacing w:before="0" w:after="0" w:line="240" w:lineRule="auto"/>
              <w:ind w:firstLine="0" w:left="0"/>
            </w:pPr>
            <w:r>
              <w:rPr>
                <w:sz w:val="20"/>
                <w:szCs w:val="20"/>
              </w:rPr>
              <w:t xml:space="preserve">Gap, 17-region panel</w:t>
            </w:r>
          </w:p>
        </w:tc>
      </w:tr>
      <w:tr>
        <w:tc>
          <w:tcPr/>
          <w:p>
            <w:pPr>
              <w:pStyle w:val="Compact"/>
              <w:spacing w:before="0" w:after="0" w:line="240" w:lineRule="auto"/>
              <w:ind w:firstLine="0" w:left="0"/>
            </w:pPr>
            <w:r>
              <w:rPr>
                <w:sz w:val="20"/>
                <w:szCs w:val="20"/>
              </w:rPr>
              <w:t xml:space="preserve">0</w:t>
            </w:r>
          </w:p>
        </w:tc>
        <w:tc>
          <w:tcPr/>
          <w:p>
            <w:pPr>
              <w:pStyle w:val="Compact"/>
              <w:spacing w:before="0" w:after="0" w:line="240" w:lineRule="auto"/>
              <w:ind w:firstLine="0" w:left="0"/>
            </w:pPr>
            <w:r>
              <w:rPr>
                <w:sz w:val="20"/>
                <w:szCs w:val="20"/>
              </w:rPr>
              <w:t xml:space="preserve">0.044*** (0.006)</w:t>
            </w:r>
          </w:p>
        </w:tc>
        <w:tc>
          <w:tcPr/>
          <w:p>
            <w:pPr>
              <w:pStyle w:val="Compact"/>
              <w:spacing w:before="0" w:after="0" w:line="240" w:lineRule="auto"/>
              <w:ind w:firstLine="0" w:left="0"/>
            </w:pPr>
            <w:r>
              <w:rPr>
                <w:sz w:val="20"/>
                <w:szCs w:val="20"/>
              </w:rPr>
              <w:t xml:space="preserve">0.044*** (0.009)</w:t>
            </w:r>
          </w:p>
        </w:tc>
        <w:tc>
          <w:tcPr/>
          <w:p>
            <w:pPr>
              <w:pStyle w:val="Compact"/>
              <w:spacing w:before="0" w:after="0" w:line="240" w:lineRule="auto"/>
              <w:ind w:firstLine="0" w:left="0"/>
            </w:pPr>
            <w:r>
              <w:rPr>
                <w:sz w:val="20"/>
                <w:szCs w:val="20"/>
              </w:rPr>
              <w:t xml:space="preserve">−0.0000 (0.0040)</w:t>
            </w:r>
          </w:p>
        </w:tc>
        <w:tc>
          <w:tcPr/>
          <w:p>
            <w:pPr>
              <w:pStyle w:val="Compact"/>
              <w:spacing w:before="0" w:after="0" w:line="240" w:lineRule="auto"/>
              <w:ind w:firstLine="0" w:left="0"/>
            </w:pPr>
            <w:r>
              <w:rPr>
                <w:sz w:val="20"/>
                <w:szCs w:val="20"/>
              </w:rPr>
              <w:t xml:space="preserve">−0.0006 (0.0032)</w:t>
            </w:r>
          </w:p>
        </w:tc>
      </w:tr>
      <w:tr>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0.077*** (0.015)</w:t>
            </w:r>
          </w:p>
        </w:tc>
        <w:tc>
          <w:tcPr/>
          <w:p>
            <w:pPr>
              <w:pStyle w:val="Compact"/>
              <w:spacing w:before="0" w:after="0" w:line="240" w:lineRule="auto"/>
              <w:ind w:firstLine="0" w:left="0"/>
            </w:pPr>
            <w:r>
              <w:rPr>
                <w:sz w:val="20"/>
                <w:szCs w:val="20"/>
              </w:rPr>
              <w:t xml:space="preserve">0.097*** (0.026)</w:t>
            </w:r>
          </w:p>
        </w:tc>
        <w:tc>
          <w:tcPr/>
          <w:p>
            <w:pPr>
              <w:pStyle w:val="Compact"/>
              <w:spacing w:before="0" w:after="0" w:line="240" w:lineRule="auto"/>
              <w:ind w:firstLine="0" w:left="0"/>
            </w:pPr>
            <w:r>
              <w:rPr>
                <w:sz w:val="20"/>
                <w:szCs w:val="20"/>
              </w:rPr>
              <w:t xml:space="preserve">−0.0185* (0.0110)</w:t>
            </w:r>
          </w:p>
        </w:tc>
        <w:tc>
          <w:tcPr/>
          <w:p>
            <w:pPr>
              <w:pStyle w:val="Compact"/>
              <w:spacing w:before="0" w:after="0" w:line="240" w:lineRule="auto"/>
              <w:ind w:firstLine="0" w:left="0"/>
            </w:pPr>
            <w:r>
              <w:rPr>
                <w:sz w:val="20"/>
                <w:szCs w:val="20"/>
              </w:rPr>
              <w:t xml:space="preserve">−0.0149** (0.0075)</w:t>
            </w:r>
          </w:p>
        </w:tc>
      </w:tr>
      <w:tr>
        <w:tc>
          <w:tcPr/>
          <w:p>
            <w:pPr>
              <w:pStyle w:val="Compact"/>
              <w:spacing w:before="0" w:after="0" w:line="240" w:lineRule="auto"/>
              <w:ind w:firstLine="0" w:left="0"/>
            </w:pPr>
            <w:r>
              <w:rPr>
                <w:sz w:val="20"/>
                <w:szCs w:val="20"/>
              </w:rPr>
              <w:t xml:space="preserve">6</w:t>
            </w:r>
          </w:p>
        </w:tc>
        <w:tc>
          <w:tcPr/>
          <w:p>
            <w:pPr>
              <w:pStyle w:val="Compact"/>
              <w:spacing w:before="0" w:after="0" w:line="240" w:lineRule="auto"/>
              <w:ind w:firstLine="0" w:left="0"/>
            </w:pPr>
            <w:r>
              <w:rPr>
                <w:sz w:val="20"/>
                <w:szCs w:val="20"/>
              </w:rPr>
              <w:t xml:space="preserve">0.087*** (0.015)</w:t>
            </w:r>
          </w:p>
        </w:tc>
        <w:tc>
          <w:tcPr/>
          <w:p>
            <w:pPr>
              <w:pStyle w:val="Compact"/>
              <w:spacing w:before="0" w:after="0" w:line="240" w:lineRule="auto"/>
              <w:ind w:firstLine="0" w:left="0"/>
            </w:pPr>
            <w:r>
              <w:rPr>
                <w:sz w:val="20"/>
                <w:szCs w:val="20"/>
              </w:rPr>
              <w:t xml:space="preserve">0.095*** (0.023)</w:t>
            </w:r>
          </w:p>
        </w:tc>
        <w:tc>
          <w:tcPr/>
          <w:p>
            <w:pPr>
              <w:pStyle w:val="Compact"/>
              <w:spacing w:before="0" w:after="0" w:line="240" w:lineRule="auto"/>
              <w:ind w:firstLine="0" w:left="0"/>
            </w:pPr>
            <w:r>
              <w:rPr>
                <w:sz w:val="20"/>
                <w:szCs w:val="20"/>
              </w:rPr>
              <w:t xml:space="preserve">−0.0155 (0.0103)</w:t>
            </w:r>
          </w:p>
        </w:tc>
        <w:tc>
          <w:tcPr/>
          <w:p>
            <w:pPr>
              <w:pStyle w:val="Compact"/>
              <w:spacing w:before="0" w:after="0" w:line="240" w:lineRule="auto"/>
              <w:ind w:firstLine="0" w:left="0"/>
            </w:pPr>
            <w:r>
              <w:rPr>
                <w:sz w:val="20"/>
                <w:szCs w:val="20"/>
              </w:rPr>
              <w:t xml:space="preserve">−0.0214** (0.0084)</w:t>
            </w:r>
          </w:p>
        </w:tc>
      </w:tr>
      <w:tr>
        <w:tc>
          <w:tcPr/>
          <w:p>
            <w:pPr>
              <w:pStyle w:val="Compact"/>
              <w:spacing w:before="0" w:after="0" w:line="240" w:lineRule="auto"/>
              <w:ind w:firstLine="0" w:left="0"/>
            </w:pPr>
            <w:r>
              <w:rPr>
                <w:sz w:val="20"/>
                <w:szCs w:val="20"/>
              </w:rPr>
              <w:t xml:space="preserve">9</w:t>
            </w:r>
          </w:p>
        </w:tc>
        <w:tc>
          <w:tcPr/>
          <w:p>
            <w:pPr>
              <w:pStyle w:val="Compact"/>
              <w:spacing w:before="0" w:after="0" w:line="240" w:lineRule="auto"/>
              <w:ind w:firstLine="0" w:left="0"/>
            </w:pPr>
            <w:r>
              <w:rPr>
                <w:sz w:val="20"/>
                <w:szCs w:val="20"/>
              </w:rPr>
              <w:t xml:space="preserve">0.093*** (0.018)</w:t>
            </w:r>
          </w:p>
        </w:tc>
        <w:tc>
          <w:tcPr/>
          <w:p>
            <w:pPr>
              <w:pStyle w:val="Compact"/>
              <w:spacing w:before="0" w:after="0" w:line="240" w:lineRule="auto"/>
              <w:ind w:firstLine="0" w:left="0"/>
            </w:pPr>
            <w:r>
              <w:rPr>
                <w:sz w:val="20"/>
                <w:szCs w:val="20"/>
              </w:rPr>
              <w:t xml:space="preserve">0.103*** (0.026)</w:t>
            </w:r>
          </w:p>
        </w:tc>
        <w:tc>
          <w:tcPr/>
          <w:p>
            <w:pPr>
              <w:pStyle w:val="Compact"/>
              <w:spacing w:before="0" w:after="0" w:line="240" w:lineRule="auto"/>
              <w:ind w:firstLine="0" w:left="0"/>
            </w:pPr>
            <w:r>
              <w:rPr>
                <w:sz w:val="20"/>
                <w:szCs w:val="20"/>
              </w:rPr>
              <w:t xml:space="preserve">−0.0137 (0.0101)</w:t>
            </w:r>
          </w:p>
        </w:tc>
        <w:tc>
          <w:tcPr/>
          <w:p>
            <w:pPr>
              <w:pStyle w:val="Compact"/>
              <w:spacing w:before="0" w:after="0" w:line="240" w:lineRule="auto"/>
              <w:ind w:firstLine="0" w:left="0"/>
            </w:pPr>
            <w:r>
              <w:rPr>
                <w:sz w:val="20"/>
                <w:szCs w:val="20"/>
              </w:rPr>
              <w:t xml:space="preserve">−0.0187** (0.0086)</w:t>
            </w:r>
          </w:p>
        </w:tc>
      </w:tr>
      <w:tr>
        <w:tc>
          <w:tcPr/>
          <w:p>
            <w:pPr>
              <w:pStyle w:val="Compact"/>
              <w:spacing w:before="0" w:after="0" w:line="240" w:lineRule="auto"/>
              <w:ind w:firstLine="0" w:left="0"/>
            </w:pPr>
            <w:r>
              <w:rPr>
                <w:sz w:val="20"/>
                <w:szCs w:val="20"/>
              </w:rPr>
              <w:t xml:space="preserve">12</w:t>
            </w:r>
          </w:p>
        </w:tc>
        <w:tc>
          <w:tcPr/>
          <w:p>
            <w:pPr>
              <w:pStyle w:val="Compact"/>
              <w:spacing w:before="0" w:after="0" w:line="240" w:lineRule="auto"/>
              <w:ind w:firstLine="0" w:left="0"/>
            </w:pPr>
            <w:r>
              <w:rPr>
                <w:sz w:val="20"/>
                <w:szCs w:val="20"/>
              </w:rPr>
              <w:t xml:space="preserve">0.102*** (0.017)</w:t>
            </w:r>
          </w:p>
        </w:tc>
        <w:tc>
          <w:tcPr/>
          <w:p>
            <w:pPr>
              <w:pStyle w:val="Compact"/>
              <w:spacing w:before="0" w:after="0" w:line="240" w:lineRule="auto"/>
              <w:ind w:firstLine="0" w:left="0"/>
            </w:pPr>
            <w:r>
              <w:rPr>
                <w:sz w:val="20"/>
                <w:szCs w:val="20"/>
              </w:rPr>
              <w:t xml:space="preserve">0.102*** (0.026)</w:t>
            </w:r>
          </w:p>
        </w:tc>
        <w:tc>
          <w:tcPr/>
          <w:p>
            <w:pPr>
              <w:pStyle w:val="Compact"/>
              <w:spacing w:before="0" w:after="0" w:line="240" w:lineRule="auto"/>
              <w:ind w:firstLine="0" w:left="0"/>
            </w:pPr>
            <w:r>
              <w:rPr>
                <w:sz w:val="20"/>
                <w:szCs w:val="20"/>
              </w:rPr>
              <w:t xml:space="preserve">−0.0097 (0.0113)</w:t>
            </w:r>
          </w:p>
        </w:tc>
        <w:tc>
          <w:tcPr/>
          <w:p>
            <w:pPr>
              <w:pStyle w:val="Compact"/>
              <w:spacing w:before="0" w:after="0" w:line="240" w:lineRule="auto"/>
              <w:ind w:firstLine="0" w:left="0"/>
            </w:pPr>
            <w:r>
              <w:rPr>
                <w:sz w:val="20"/>
                <w:szCs w:val="20"/>
              </w:rPr>
              <w:t xml:space="preserve">−0.0173** (0.0085)</w:t>
            </w:r>
          </w:p>
        </w:tc>
      </w:tr>
    </w:tbl>
    <w:p>
      <w:pPr>
        <w:pStyle w:val="TableNote"/>
      </w:pPr>
      <w:r>
        <w:rPr>
          <w:i/>
          <w:iCs/>
        </w:rPr>
        <w:t xml:space="preserve">Notes:</w:t>
      </w:r>
      <w:r>
        <w:t xml:space="preserve"> </w:t>
      </w:r>
      <w:r>
        <w:t xml:space="preserve">Cumulative response (percentage points) of 100 × ln of each index. Gap = 100 × ln(CPI all/CPI bottom 30%); negative values mean bottom-30% prices rise more. National: Newey–West standard errors; panel: region fixed effects, Driscoll–Kraay standard errors; in parentheses. *</w:t>
      </w:r>
      <w:r>
        <w:t xml:space="preserve"> </w:t>
      </w:r>
      <w:r>
        <w:rPr>
          <w:i/>
          <w:iCs/>
        </w:rPr>
        <w:t xml:space="preserve">p</w:t>
      </w:r>
      <w:r>
        <w:t xml:space="preserve"> </w:t>
      </w:r>
      <w:r>
        <w:t xml:space="preserve">&lt; 0.10, **</w:t>
      </w:r>
      <w:r>
        <w:t xml:space="preserve"> </w:t>
      </w:r>
      <w:r>
        <w:rPr>
          <w:i/>
          <w:iCs/>
        </w:rPr>
        <w:t xml:space="preserve">p</w:t>
      </w:r>
      <w:r>
        <w:t xml:space="preserve"> </w:t>
      </w:r>
      <w:r>
        <w:t xml:space="preserve">&lt; 0.05, ***</w:t>
      </w:r>
      <w:r>
        <w:t xml:space="preserve"> </w:t>
      </w:r>
      <w:r>
        <w:rPr>
          <w:i/>
          <w:iCs/>
        </w:rPr>
        <w:t xml:space="preserve">p</w:t>
      </w:r>
      <w:r>
        <w:t xml:space="preserve"> </w:t>
      </w:r>
      <w:r>
        <w:t xml:space="preserve">&lt; 0.01.</w:t>
      </w:r>
    </w:p>
    <w:p>
      <w:pPr>
        <w:pStyle w:val="CaptionedFigure"/>
      </w:pPr>
      <w:r>
        <w:drawing>
          <wp:inline>
            <wp:extent cx="4391566" cy="2886935"/>
            <wp:effectExtent b="0" l="0" r="0" t="0"/>
            <wp:docPr descr="Figure 3. Cumulative pass-through of a 1% fuel price increase to the price level of each group (90% bands)." title="" id="33" name="Picture"/>
            <a:graphic>
              <a:graphicData uri="http://schemas.openxmlformats.org/drawingml/2006/picture">
                <pic:pic>
                  <pic:nvPicPr>
                    <pic:cNvPr descr="../output/figures/fig04_rq1_passthrough.png" id="34" name="Picture"/>
                    <pic:cNvPicPr>
                      <a:picLocks noChangeArrowheads="1" noChangeAspect="1"/>
                    </pic:cNvPicPr>
                  </pic:nvPicPr>
                  <pic:blipFill>
                    <a:blip r:embed="rId32"/>
                    <a:stretch>
                      <a:fillRect/>
                    </a:stretch>
                  </pic:blipFill>
                  <pic:spPr bwMode="auto">
                    <a:xfrm>
                      <a:off x="0" y="0"/>
                      <a:ext cx="4391566" cy="2886935"/>
                    </a:xfrm>
                    <a:prstGeom prst="rect">
                      <a:avLst/>
                    </a:prstGeom>
                    <a:noFill/>
                    <a:ln w="9525">
                      <a:noFill/>
                      <a:headEnd/>
                      <a:tailEnd/>
                    </a:ln>
                  </pic:spPr>
                </pic:pic>
              </a:graphicData>
            </a:graphic>
          </wp:inline>
        </w:drawing>
      </w:r>
    </w:p>
    <w:p>
      <w:pPr>
        <w:pStyle w:val="ImageCaption"/>
      </w:pPr>
      <w:r>
        <w:t xml:space="preserve">Figure 3. Cumulative pass-through of a 1% fuel price increase to the price level of each group (90% bands).</w:t>
      </w:r>
    </w:p>
    <w:bookmarkEnd w:id="35"/>
    <w:bookmarkStart w:id="39" w:name="who-pays-more-rq2"/>
    <w:p>
      <w:pPr>
        <w:pStyle w:val="Heading2"/>
      </w:pPr>
      <w:r>
        <w:t xml:space="preserve">4.3 Who pays more? (RQ2)</w:t>
      </w:r>
    </w:p>
    <w:p>
      <w:pPr>
        <w:pStyle w:val="FirstParagraph"/>
      </w:pPr>
      <w:r>
        <w:t xml:space="preserve">The cumulative response of the gap is negative at every horizon after the first month (Table 3, Figure 4). Nationally it is −0.0155 (standard error 0.0103) after six months and −0.0097 after twelve, significant at the 10% level at horizons 3, 4, 7, 8. In the regional panel it is −0.0214 (0.0084) after six months and −0.0173 (0.0085) after twelve, both significant. A 10% fuel price rise thus raises the poor’s price level about 0.2 percentage points more than the average after six months, against a total rise of about 0.9%. The progressive hypothesis is rejected.</w:t>
      </w:r>
    </w:p>
    <w:p>
      <w:pPr>
        <w:pStyle w:val="CaptionedFigure"/>
      </w:pPr>
      <w:r>
        <w:drawing>
          <wp:inline>
            <wp:extent cx="5646420" cy="2397613"/>
            <wp:effectExtent b="0" l="0" r="0" t="0"/>
            <wp:docPr descr="Figure 4. Cumulative response of the gap 100 × ln(CPI all/CPI bottom 30%) to a 1% fuel price increase: (a) national; (b) 17-region panel (90% bands)." title="" id="37" name="Picture"/>
            <a:graphic>
              <a:graphicData uri="http://schemas.openxmlformats.org/drawingml/2006/picture">
                <pic:pic>
                  <pic:nvPicPr>
                    <pic:cNvPr descr="../output/figures/fig05_rq2_gap.png" id="38" name="Picture"/>
                    <pic:cNvPicPr>
                      <a:picLocks noChangeArrowheads="1" noChangeAspect="1"/>
                    </pic:cNvPicPr>
                  </pic:nvPicPr>
                  <pic:blipFill>
                    <a:blip r:embed="rId36"/>
                    <a:stretch>
                      <a:fillRect/>
                    </a:stretch>
                  </pic:blipFill>
                  <pic:spPr bwMode="auto">
                    <a:xfrm>
                      <a:off x="0" y="0"/>
                      <a:ext cx="5646420" cy="2397613"/>
                    </a:xfrm>
                    <a:prstGeom prst="rect">
                      <a:avLst/>
                    </a:prstGeom>
                    <a:noFill/>
                    <a:ln w="9525">
                      <a:noFill/>
                      <a:headEnd/>
                      <a:tailEnd/>
                    </a:ln>
                  </pic:spPr>
                </pic:pic>
              </a:graphicData>
            </a:graphic>
          </wp:inline>
        </w:drawing>
      </w:r>
    </w:p>
    <w:p>
      <w:pPr>
        <w:pStyle w:val="ImageCaption"/>
      </w:pPr>
      <w:r>
        <w:t xml:space="preserve">Figure 4. Cumulative response of the gap 100 × ln(CPI all/CPI bottom 30%) to a 1% fuel price increase: (a) national; (b) 17-region panel (90% bands).</w:t>
      </w:r>
    </w:p>
    <w:p>
      <w:pPr>
        <w:pStyle w:val="BodyText"/>
      </w:pPr>
      <w:r>
        <w:t xml:space="preserve">Budget shares cannot explain this sign. Transport, whose prices respond most (0.370 after a year), is 9.0% of the all-income basket but 6.1% of the poor’s. If both groups faced the same price changes within divisions, the twelve-month gap would be progressive (+0.0101; online appendix Table A1). The regressive gap must therefore come from the second term of equation (2). The bottom-30% division indices confirm it (Table 4): the poor’s housing and utilities index rises 0.182 per 1% fuel price rise against 0.142 for all households, and their food index 0.067 against 0.055, while their transport index, mostly fares, rises less (0.196 against 0.300).</w:t>
      </w:r>
    </w:p>
    <w:p>
      <w:pPr>
        <w:pStyle w:val="TableCaption"/>
      </w:pPr>
      <w:r>
        <w:t xml:space="preserve">Table 4. Response after 12 months of the same divisions in the two baskets, 2013–2026</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Caption w:val="Table 4. Response after 12 months of the same divisions in the two baskets, 2013–2026"/>
      </w:tblPr>
      <w:tblGrid>
        <w:gridCol w:w="2640"/>
        <w:gridCol w:w="2640"/>
        <w:gridCol w:w="264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Division</w:t>
            </w:r>
          </w:p>
        </w:tc>
        <w:tc>
          <w:tcPr>
            <w:tcBorders>
              <w:bottom w:val="single" w:sz="6" w:space="0" w:color="000000"/>
            </w:tcBorders>
          </w:tcPr>
          <w:p>
            <w:pPr>
              <w:pStyle w:val="Compact"/>
              <w:spacing w:before="0" w:after="0" w:line="240" w:lineRule="auto"/>
              <w:ind w:firstLine="0" w:left="0"/>
            </w:pPr>
            <w:r>
              <w:rPr>
                <w:sz w:val="20"/>
                <w:szCs w:val="20"/>
              </w:rPr>
              <w:t xml:space="preserve">All-income index</w:t>
            </w:r>
          </w:p>
        </w:tc>
        <w:tc>
          <w:tcPr>
            <w:tcBorders>
              <w:bottom w:val="single" w:sz="6" w:space="0" w:color="000000"/>
            </w:tcBorders>
          </w:tcPr>
          <w:p>
            <w:pPr>
              <w:pStyle w:val="Compact"/>
              <w:spacing w:before="0" w:after="0" w:line="240" w:lineRule="auto"/>
              <w:ind w:firstLine="0" w:left="0"/>
            </w:pPr>
            <w:r>
              <w:rPr>
                <w:sz w:val="20"/>
                <w:szCs w:val="20"/>
              </w:rPr>
              <w:t xml:space="preserve">Bottom-30% index</w:t>
            </w:r>
          </w:p>
        </w:tc>
      </w:tr>
      <w:tr>
        <w:tc>
          <w:tcPr/>
          <w:p>
            <w:pPr>
              <w:pStyle w:val="Compact"/>
              <w:spacing w:before="0" w:after="0" w:line="240" w:lineRule="auto"/>
              <w:ind w:firstLine="0" w:left="0"/>
            </w:pPr>
            <w:r>
              <w:rPr>
                <w:sz w:val="20"/>
                <w:szCs w:val="20"/>
              </w:rPr>
              <w:t xml:space="preserve">01 Food and non-alcoholic beverages</w:t>
            </w:r>
          </w:p>
        </w:tc>
        <w:tc>
          <w:tcPr/>
          <w:p>
            <w:pPr>
              <w:pStyle w:val="Compact"/>
              <w:spacing w:before="0" w:after="0" w:line="240" w:lineRule="auto"/>
              <w:ind w:firstLine="0" w:left="0"/>
            </w:pPr>
            <w:r>
              <w:rPr>
                <w:sz w:val="20"/>
                <w:szCs w:val="20"/>
              </w:rPr>
              <w:t xml:space="preserve">0.055* (0.033)</w:t>
            </w:r>
          </w:p>
        </w:tc>
        <w:tc>
          <w:tcPr/>
          <w:p>
            <w:pPr>
              <w:pStyle w:val="Compact"/>
              <w:spacing w:before="0" w:after="0" w:line="240" w:lineRule="auto"/>
              <w:ind w:firstLine="0" w:left="0"/>
            </w:pPr>
            <w:r>
              <w:rPr>
                <w:sz w:val="20"/>
                <w:szCs w:val="20"/>
              </w:rPr>
              <w:t xml:space="preserve">0.067* (0.037)</w:t>
            </w:r>
          </w:p>
        </w:tc>
      </w:tr>
      <w:tr>
        <w:tc>
          <w:tcPr/>
          <w:p>
            <w:pPr>
              <w:pStyle w:val="Compact"/>
              <w:spacing w:before="0" w:after="0" w:line="240" w:lineRule="auto"/>
              <w:ind w:firstLine="0" w:left="0"/>
            </w:pPr>
            <w:r>
              <w:rPr>
                <w:sz w:val="20"/>
                <w:szCs w:val="20"/>
              </w:rPr>
              <w:t xml:space="preserve">04 Housing, water, electricity, gas</w:t>
            </w:r>
          </w:p>
        </w:tc>
        <w:tc>
          <w:tcPr/>
          <w:p>
            <w:pPr>
              <w:pStyle w:val="Compact"/>
              <w:spacing w:before="0" w:after="0" w:line="240" w:lineRule="auto"/>
              <w:ind w:firstLine="0" w:left="0"/>
            </w:pPr>
            <w:r>
              <w:rPr>
                <w:sz w:val="20"/>
                <w:szCs w:val="20"/>
              </w:rPr>
              <w:t xml:space="preserve">0.142*** (0.017)</w:t>
            </w:r>
          </w:p>
        </w:tc>
        <w:tc>
          <w:tcPr/>
          <w:p>
            <w:pPr>
              <w:pStyle w:val="Compact"/>
              <w:spacing w:before="0" w:after="0" w:line="240" w:lineRule="auto"/>
              <w:ind w:firstLine="0" w:left="0"/>
            </w:pPr>
            <w:r>
              <w:rPr>
                <w:sz w:val="20"/>
                <w:szCs w:val="20"/>
              </w:rPr>
              <w:t xml:space="preserve">0.182*** (0.038)</w:t>
            </w:r>
          </w:p>
        </w:tc>
      </w:tr>
      <w:tr>
        <w:tc>
          <w:tcPr/>
          <w:p>
            <w:pPr>
              <w:pStyle w:val="Compact"/>
              <w:spacing w:before="0" w:after="0" w:line="240" w:lineRule="auto"/>
              <w:ind w:firstLine="0" w:left="0"/>
            </w:pPr>
            <w:r>
              <w:rPr>
                <w:sz w:val="20"/>
                <w:szCs w:val="20"/>
              </w:rPr>
              <w:t xml:space="preserve">07 Transport</w:t>
            </w:r>
          </w:p>
        </w:tc>
        <w:tc>
          <w:tcPr/>
          <w:p>
            <w:pPr>
              <w:pStyle w:val="Compact"/>
              <w:spacing w:before="0" w:after="0" w:line="240" w:lineRule="auto"/>
              <w:ind w:firstLine="0" w:left="0"/>
            </w:pPr>
            <w:r>
              <w:rPr>
                <w:sz w:val="20"/>
                <w:szCs w:val="20"/>
              </w:rPr>
              <w:t xml:space="preserve">0.300*** (0.051)</w:t>
            </w:r>
          </w:p>
        </w:tc>
        <w:tc>
          <w:tcPr/>
          <w:p>
            <w:pPr>
              <w:pStyle w:val="Compact"/>
              <w:spacing w:before="0" w:after="0" w:line="240" w:lineRule="auto"/>
              <w:ind w:firstLine="0" w:left="0"/>
            </w:pPr>
            <w:r>
              <w:rPr>
                <w:sz w:val="20"/>
                <w:szCs w:val="20"/>
              </w:rPr>
              <w:t xml:space="preserve">0.196** (0.078)</w:t>
            </w:r>
          </w:p>
        </w:tc>
      </w:tr>
      <w:tr>
        <w:tc>
          <w:tcPr/>
          <w:p>
            <w:pPr>
              <w:pStyle w:val="Compact"/>
              <w:spacing w:before="0" w:after="0" w:line="240" w:lineRule="auto"/>
              <w:ind w:firstLine="0" w:left="0"/>
            </w:pPr>
            <w:r>
              <w:rPr>
                <w:sz w:val="20"/>
                <w:szCs w:val="20"/>
              </w:rPr>
              <w:t xml:space="preserve">11 Restaurants and accommodation</w:t>
            </w:r>
          </w:p>
        </w:tc>
        <w:tc>
          <w:tcPr/>
          <w:p>
            <w:pPr>
              <w:pStyle w:val="Compact"/>
              <w:spacing w:before="0" w:after="0" w:line="240" w:lineRule="auto"/>
              <w:ind w:firstLine="0" w:left="0"/>
            </w:pPr>
            <w:r>
              <w:rPr>
                <w:sz w:val="20"/>
                <w:szCs w:val="20"/>
              </w:rPr>
              <w:t xml:space="preserve">0.044*** (0.016)</w:t>
            </w:r>
          </w:p>
        </w:tc>
        <w:tc>
          <w:tcPr/>
          <w:p>
            <w:pPr>
              <w:pStyle w:val="Compact"/>
              <w:spacing w:before="0" w:after="0" w:line="240" w:lineRule="auto"/>
              <w:ind w:firstLine="0" w:left="0"/>
            </w:pPr>
            <w:r>
              <w:rPr>
                <w:sz w:val="20"/>
                <w:szCs w:val="20"/>
              </w:rPr>
              <w:t xml:space="preserve">0.040* (0.021)</w:t>
            </w:r>
          </w:p>
        </w:tc>
      </w:tr>
    </w:tbl>
    <w:p>
      <w:pPr>
        <w:pStyle w:val="TableNote"/>
      </w:pPr>
      <w:r>
        <w:rPr>
          <w:i/>
          <w:iCs/>
        </w:rPr>
        <w:t xml:space="preserve">Notes:</w:t>
      </w:r>
      <w:r>
        <w:t xml:space="preserve"> </w:t>
      </w:r>
      <w:r>
        <w:t xml:space="preserve">Cumulative response per 1% fuel price increase; national; Newey–West standard errors in parentheses. Exploratory analysis added after the first results.</w:t>
      </w:r>
    </w:p>
    <w:bookmarkEnd w:id="39"/>
    <w:bookmarkStart w:id="43" w:name="robustness"/>
    <w:p>
      <w:pPr>
        <w:pStyle w:val="Heading2"/>
      </w:pPr>
      <w:r>
        <w:t xml:space="preserve">4.4 Robustness</w:t>
      </w:r>
    </w:p>
    <w:p>
      <w:pPr>
        <w:pStyle w:val="FirstParagraph"/>
      </w:pPr>
      <w:r>
        <w:t xml:space="preserve">The sign survives the core checks (Table 5, Figure 5). With Dubai crude in pesos as the shock the six-month gap is −0.0093; excluding 2020 it is −0.0186; leaving out one region at a time keeps it between −0.0227 and −0.0203. Two results qualify it. With controls for the exchange rate, the policy rate and world food prices it falls to −0.0046, and splitting the panel gives −0.0541 (0.0197) over 2001–2012 but −0.0091 (0.0064) over 2013–2026. The regressive effect is robust in sign but concentrated in the 2000s, the decade of the 2008 rice crisis. Twelve further checks, and tests of whether the gap differs in poorer, more food-dependent, Mindanao or island regions (no difference survives a correction for multiple tests), are in the online appendix.</w:t>
      </w:r>
    </w:p>
    <w:p>
      <w:pPr>
        <w:pStyle w:val="TableCaption"/>
      </w:pPr>
      <w:r>
        <w:t xml:space="preserve">Table 5. Robustness of the gap</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Caption w:val="Table 5. Robustness of the gap"/>
      </w:tblPr>
      <w:tblGrid>
        <w:gridCol w:w="2640"/>
        <w:gridCol w:w="2640"/>
        <w:gridCol w:w="264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Specification</w:t>
            </w:r>
          </w:p>
        </w:tc>
        <w:tc>
          <w:tcPr>
            <w:tcBorders>
              <w:bottom w:val="single" w:sz="6" w:space="0" w:color="000000"/>
            </w:tcBorders>
          </w:tcPr>
          <w:p>
            <w:pPr>
              <w:pStyle w:val="Compact"/>
              <w:spacing w:before="0" w:after="0" w:line="240" w:lineRule="auto"/>
              <w:ind w:firstLine="0" w:left="0"/>
            </w:pPr>
            <w:r>
              <w:rPr>
                <w:sz w:val="20"/>
                <w:szCs w:val="20"/>
              </w:rPr>
              <w:t xml:space="preserve">Gap, h = 6</w:t>
            </w:r>
          </w:p>
        </w:tc>
        <w:tc>
          <w:tcPr>
            <w:tcBorders>
              <w:bottom w:val="single" w:sz="6" w:space="0" w:color="000000"/>
            </w:tcBorders>
          </w:tcPr>
          <w:p>
            <w:pPr>
              <w:pStyle w:val="Compact"/>
              <w:spacing w:before="0" w:after="0" w:line="240" w:lineRule="auto"/>
              <w:ind w:firstLine="0" w:left="0"/>
            </w:pPr>
            <w:r>
              <w:rPr>
                <w:sz w:val="20"/>
                <w:szCs w:val="20"/>
              </w:rPr>
              <w:t xml:space="preserve">Gap, h = 12</w:t>
            </w:r>
          </w:p>
        </w:tc>
      </w:tr>
      <w:tr>
        <w:tc>
          <w:tcPr/>
          <w:p>
            <w:pPr>
              <w:pStyle w:val="Compact"/>
              <w:spacing w:before="0" w:after="0" w:line="240" w:lineRule="auto"/>
              <w:ind w:firstLine="0" w:left="0"/>
            </w:pPr>
            <w:r>
              <w:rPr>
                <w:sz w:val="20"/>
                <w:szCs w:val="20"/>
              </w:rPr>
              <w:t xml:space="preserve">Baseline, national</w:t>
            </w:r>
          </w:p>
        </w:tc>
        <w:tc>
          <w:tcPr/>
          <w:p>
            <w:pPr>
              <w:pStyle w:val="Compact"/>
              <w:spacing w:before="0" w:after="0" w:line="240" w:lineRule="auto"/>
              <w:ind w:firstLine="0" w:left="0"/>
            </w:pPr>
            <w:r>
              <w:rPr>
                <w:sz w:val="20"/>
                <w:szCs w:val="20"/>
              </w:rPr>
              <w:t xml:space="preserve">−0.0155 (0.0103)</w:t>
            </w:r>
          </w:p>
        </w:tc>
        <w:tc>
          <w:tcPr/>
          <w:p>
            <w:pPr>
              <w:pStyle w:val="Compact"/>
              <w:spacing w:before="0" w:after="0" w:line="240" w:lineRule="auto"/>
              <w:ind w:firstLine="0" w:left="0"/>
            </w:pPr>
            <w:r>
              <w:rPr>
                <w:sz w:val="20"/>
                <w:szCs w:val="20"/>
              </w:rPr>
              <w:t xml:space="preserve">−0.0097 (0.0113)</w:t>
            </w:r>
          </w:p>
        </w:tc>
      </w:tr>
      <w:tr>
        <w:tc>
          <w:tcPr/>
          <w:p>
            <w:pPr>
              <w:pStyle w:val="Compact"/>
              <w:spacing w:before="0" w:after="0" w:line="240" w:lineRule="auto"/>
              <w:ind w:firstLine="0" w:left="0"/>
            </w:pPr>
            <w:r>
              <w:rPr>
                <w:sz w:val="20"/>
                <w:szCs w:val="20"/>
              </w:rPr>
              <w:t xml:space="preserve">Shock: Dubai crude in pesos (national)</w:t>
            </w:r>
          </w:p>
        </w:tc>
        <w:tc>
          <w:tcPr/>
          <w:p>
            <w:pPr>
              <w:pStyle w:val="Compact"/>
              <w:spacing w:before="0" w:after="0" w:line="240" w:lineRule="auto"/>
              <w:ind w:firstLine="0" w:left="0"/>
            </w:pPr>
            <w:r>
              <w:rPr>
                <w:sz w:val="20"/>
                <w:szCs w:val="20"/>
              </w:rPr>
              <w:t xml:space="preserve">−0.0093 (0.0056)</w:t>
            </w:r>
          </w:p>
        </w:tc>
        <w:tc>
          <w:tcPr/>
          <w:p>
            <w:pPr>
              <w:pStyle w:val="Compact"/>
              <w:spacing w:before="0" w:after="0" w:line="240" w:lineRule="auto"/>
              <w:ind w:firstLine="0" w:left="0"/>
            </w:pPr>
            <w:r>
              <w:rPr>
                <w:sz w:val="20"/>
                <w:szCs w:val="20"/>
              </w:rPr>
              <w:t xml:space="preserve">−0.0075 (0.0063)</w:t>
            </w:r>
          </w:p>
        </w:tc>
      </w:tr>
      <w:tr>
        <w:tc>
          <w:tcPr/>
          <w:p>
            <w:pPr>
              <w:pStyle w:val="Compact"/>
              <w:spacing w:before="0" w:after="0" w:line="240" w:lineRule="auto"/>
              <w:ind w:firstLine="0" w:left="0"/>
            </w:pPr>
            <w:r>
              <w:rPr>
                <w:sz w:val="20"/>
                <w:szCs w:val="20"/>
              </w:rPr>
              <w:t xml:space="preserve">Controls: exchange rate, policy rate, world food prices (national)</w:t>
            </w:r>
          </w:p>
        </w:tc>
        <w:tc>
          <w:tcPr/>
          <w:p>
            <w:pPr>
              <w:pStyle w:val="Compact"/>
              <w:spacing w:before="0" w:after="0" w:line="240" w:lineRule="auto"/>
              <w:ind w:firstLine="0" w:left="0"/>
            </w:pPr>
            <w:r>
              <w:rPr>
                <w:sz w:val="20"/>
                <w:szCs w:val="20"/>
              </w:rPr>
              <w:t xml:space="preserve">−0.0046 (0.0156)</w:t>
            </w:r>
          </w:p>
        </w:tc>
        <w:tc>
          <w:tcPr/>
          <w:p>
            <w:pPr>
              <w:pStyle w:val="Compact"/>
              <w:spacing w:before="0" w:after="0" w:line="240" w:lineRule="auto"/>
              <w:ind w:firstLine="0" w:left="0"/>
            </w:pPr>
            <w:r>
              <w:rPr>
                <w:sz w:val="20"/>
                <w:szCs w:val="20"/>
              </w:rPr>
              <w:t xml:space="preserve">0.0086 (0.0160)</w:t>
            </w:r>
          </w:p>
        </w:tc>
      </w:tr>
      <w:tr>
        <w:tc>
          <w:tcPr/>
          <w:p>
            <w:pPr>
              <w:pStyle w:val="Compact"/>
              <w:spacing w:before="0" w:after="0" w:line="240" w:lineRule="auto"/>
              <w:ind w:firstLine="0" w:left="0"/>
            </w:pPr>
            <w:r>
              <w:rPr>
                <w:sz w:val="20"/>
                <w:szCs w:val="20"/>
              </w:rPr>
              <w:t xml:space="preserve">Excluding 2020 (national)</w:t>
            </w:r>
          </w:p>
        </w:tc>
        <w:tc>
          <w:tcPr/>
          <w:p>
            <w:pPr>
              <w:pStyle w:val="Compact"/>
              <w:spacing w:before="0" w:after="0" w:line="240" w:lineRule="auto"/>
              <w:ind w:firstLine="0" w:left="0"/>
            </w:pPr>
            <w:r>
              <w:rPr>
                <w:sz w:val="20"/>
                <w:szCs w:val="20"/>
              </w:rPr>
              <w:t xml:space="preserve">−0.0186 (0.0121)</w:t>
            </w:r>
          </w:p>
        </w:tc>
        <w:tc>
          <w:tcPr/>
          <w:p>
            <w:pPr>
              <w:pStyle w:val="Compact"/>
              <w:spacing w:before="0" w:after="0" w:line="240" w:lineRule="auto"/>
              <w:ind w:firstLine="0" w:left="0"/>
            </w:pPr>
            <w:r>
              <w:rPr>
                <w:sz w:val="20"/>
                <w:szCs w:val="20"/>
              </w:rPr>
              <w:t xml:space="preserve">−0.0142 (0.0129)</w:t>
            </w:r>
          </w:p>
        </w:tc>
      </w:tr>
      <w:tr>
        <w:tc>
          <w:tcPr/>
          <w:p>
            <w:pPr>
              <w:pStyle w:val="Compact"/>
              <w:spacing w:before="0" w:after="0" w:line="240" w:lineRule="auto"/>
              <w:ind w:firstLine="0" w:left="0"/>
            </w:pPr>
            <w:r>
              <w:rPr>
                <w:sz w:val="20"/>
                <w:szCs w:val="20"/>
              </w:rPr>
              <w:t xml:space="preserve">Baseline, 17-region panel</w:t>
            </w:r>
          </w:p>
        </w:tc>
        <w:tc>
          <w:tcPr/>
          <w:p>
            <w:pPr>
              <w:pStyle w:val="Compact"/>
              <w:spacing w:before="0" w:after="0" w:line="240" w:lineRule="auto"/>
              <w:ind w:firstLine="0" w:left="0"/>
            </w:pPr>
            <w:r>
              <w:rPr>
                <w:sz w:val="20"/>
                <w:szCs w:val="20"/>
              </w:rPr>
              <w:t xml:space="preserve">−0.0214** (0.0084)</w:t>
            </w:r>
          </w:p>
        </w:tc>
        <w:tc>
          <w:tcPr/>
          <w:p>
            <w:pPr>
              <w:pStyle w:val="Compact"/>
              <w:spacing w:before="0" w:after="0" w:line="240" w:lineRule="auto"/>
              <w:ind w:firstLine="0" w:left="0"/>
            </w:pPr>
            <w:r>
              <w:rPr>
                <w:sz w:val="20"/>
                <w:szCs w:val="20"/>
              </w:rPr>
              <w:t xml:space="preserve">−0.0173** (0.0085)</w:t>
            </w:r>
          </w:p>
        </w:tc>
      </w:tr>
      <w:tr>
        <w:tc>
          <w:tcPr/>
          <w:p>
            <w:pPr>
              <w:pStyle w:val="Compact"/>
              <w:spacing w:before="0" w:after="0" w:line="240" w:lineRule="auto"/>
              <w:ind w:firstLine="0" w:left="0"/>
            </w:pPr>
            <w:r>
              <w:rPr>
                <w:sz w:val="20"/>
                <w:szCs w:val="20"/>
              </w:rPr>
              <w:t xml:space="preserve">Panel, 2001–2012</w:t>
            </w:r>
          </w:p>
        </w:tc>
        <w:tc>
          <w:tcPr/>
          <w:p>
            <w:pPr>
              <w:pStyle w:val="Compact"/>
              <w:spacing w:before="0" w:after="0" w:line="240" w:lineRule="auto"/>
              <w:ind w:firstLine="0" w:left="0"/>
            </w:pPr>
            <w:r>
              <w:rPr>
                <w:sz w:val="20"/>
                <w:szCs w:val="20"/>
              </w:rPr>
              <w:t xml:space="preserve">−0.0541*** (0.0197)</w:t>
            </w:r>
          </w:p>
        </w:tc>
        <w:tc>
          <w:tcPr/>
          <w:p>
            <w:pPr>
              <w:pStyle w:val="Compact"/>
              <w:spacing w:before="0" w:after="0" w:line="240" w:lineRule="auto"/>
              <w:ind w:firstLine="0" w:left="0"/>
            </w:pPr>
            <w:r>
              <w:rPr>
                <w:sz w:val="20"/>
                <w:szCs w:val="20"/>
              </w:rPr>
              <w:t xml:space="preserve">−0.0369** (0.0147)</w:t>
            </w:r>
          </w:p>
        </w:tc>
      </w:tr>
      <w:tr>
        <w:tc>
          <w:tcPr/>
          <w:p>
            <w:pPr>
              <w:pStyle w:val="Compact"/>
              <w:spacing w:before="0" w:after="0" w:line="240" w:lineRule="auto"/>
              <w:ind w:firstLine="0" w:left="0"/>
            </w:pPr>
            <w:r>
              <w:rPr>
                <w:sz w:val="20"/>
                <w:szCs w:val="20"/>
              </w:rPr>
              <w:t xml:space="preserve">Panel, 2013–2026</w:t>
            </w:r>
          </w:p>
        </w:tc>
        <w:tc>
          <w:tcPr/>
          <w:p>
            <w:pPr>
              <w:pStyle w:val="Compact"/>
              <w:spacing w:before="0" w:after="0" w:line="240" w:lineRule="auto"/>
              <w:ind w:firstLine="0" w:left="0"/>
            </w:pPr>
            <w:r>
              <w:rPr>
                <w:sz w:val="20"/>
                <w:szCs w:val="20"/>
              </w:rPr>
              <w:t xml:space="preserve">−0.0091 (0.0064)</w:t>
            </w:r>
          </w:p>
        </w:tc>
        <w:tc>
          <w:tcPr/>
          <w:p>
            <w:pPr>
              <w:pStyle w:val="Compact"/>
              <w:spacing w:before="0" w:after="0" w:line="240" w:lineRule="auto"/>
              <w:ind w:firstLine="0" w:left="0"/>
            </w:pPr>
            <w:r>
              <w:rPr>
                <w:sz w:val="20"/>
                <w:szCs w:val="20"/>
              </w:rPr>
              <w:t xml:space="preserve">−0.0063 (0.0075)</w:t>
            </w:r>
          </w:p>
        </w:tc>
      </w:tr>
      <w:tr>
        <w:tc>
          <w:tcPr/>
          <w:p>
            <w:pPr>
              <w:pStyle w:val="Compact"/>
              <w:spacing w:before="0" w:after="0" w:line="240" w:lineRule="auto"/>
              <w:ind w:firstLine="0" w:left="0"/>
            </w:pPr>
            <w:r>
              <w:rPr>
                <w:sz w:val="20"/>
                <w:szCs w:val="20"/>
              </w:rPr>
              <w:t xml:space="preserve">Panel, leaving out one region at a time (range)</w:t>
            </w:r>
          </w:p>
        </w:tc>
        <w:tc>
          <w:tcPr/>
          <w:p>
            <w:pPr>
              <w:pStyle w:val="Compact"/>
              <w:spacing w:before="0" w:after="0" w:line="240" w:lineRule="auto"/>
              <w:ind w:firstLine="0" w:left="0"/>
            </w:pPr>
            <w:r>
              <w:rPr>
                <w:sz w:val="20"/>
                <w:szCs w:val="20"/>
              </w:rPr>
              <w:t xml:space="preserve">−0.0227 to −0.0203</w:t>
            </w:r>
          </w:p>
        </w:tc>
        <w:tc>
          <w:tcPr/>
          <w:p>
            <w:pPr>
              <w:pStyle w:val="Compact"/>
              <w:spacing w:before="0" w:after="0" w:line="240" w:lineRule="auto"/>
              <w:ind w:firstLine="0" w:left="0"/>
            </w:pPr>
            <w:r>
              <w:rPr>
                <w:sz w:val="20"/>
                <w:szCs w:val="20"/>
              </w:rPr>
              <w:t xml:space="preserve">−0.0189 to −0.0156</w:t>
            </w:r>
          </w:p>
        </w:tc>
      </w:tr>
    </w:tbl>
    <w:p>
      <w:pPr>
        <w:pStyle w:val="CaptionedFigure"/>
      </w:pPr>
      <w:r>
        <w:drawing>
          <wp:inline>
            <wp:extent cx="5052060" cy="2471544"/>
            <wp:effectExtent b="0" l="0" r="0" t="0"/>
            <wp:docPr descr="Figure 5. Robustness of the six-month gap (90% CI). Open squares: split of the panel sample, specified after the first results." title="" id="41" name="Picture"/>
            <a:graphic>
              <a:graphicData uri="http://schemas.openxmlformats.org/drawingml/2006/picture">
                <pic:pic>
                  <pic:nvPicPr>
                    <pic:cNvPr descr="../output/figures/fig06_robustness.png" id="42" name="Picture"/>
                    <pic:cNvPicPr>
                      <a:picLocks noChangeArrowheads="1" noChangeAspect="1"/>
                    </pic:cNvPicPr>
                  </pic:nvPicPr>
                  <pic:blipFill>
                    <a:blip r:embed="rId40"/>
                    <a:stretch>
                      <a:fillRect/>
                    </a:stretch>
                  </pic:blipFill>
                  <pic:spPr bwMode="auto">
                    <a:xfrm>
                      <a:off x="0" y="0"/>
                      <a:ext cx="5052060" cy="2471544"/>
                    </a:xfrm>
                    <a:prstGeom prst="rect">
                      <a:avLst/>
                    </a:prstGeom>
                    <a:noFill/>
                    <a:ln w="9525">
                      <a:noFill/>
                      <a:headEnd/>
                      <a:tailEnd/>
                    </a:ln>
                  </pic:spPr>
                </pic:pic>
              </a:graphicData>
            </a:graphic>
          </wp:inline>
        </w:drawing>
      </w:r>
    </w:p>
    <w:p>
      <w:pPr>
        <w:pStyle w:val="ImageCaption"/>
      </w:pPr>
      <w:r>
        <w:t xml:space="preserve">Figure 5. Robustness of the six-month gap (90% CI). Open squares: split of the panel sample, specified after the first results.</w:t>
      </w:r>
    </w:p>
    <w:bookmarkEnd w:id="43"/>
    <w:bookmarkStart w:id="50" w:name="the-2026-oil-shock-rq3"/>
    <w:p>
      <w:pPr>
        <w:pStyle w:val="Heading2"/>
      </w:pPr>
      <w:r>
        <w:t xml:space="preserve">4.5 The 2026 oil shock (RQ3)</w:t>
      </w:r>
    </w:p>
    <w:p>
      <w:pPr>
        <w:pStyle w:val="FirstParagraph"/>
      </w:pPr>
      <w:r>
        <w:t xml:space="preserve">Estimated only on data to December 2025, the model attributes 2.55 log points (range 1.94 to 3.17) of the 4.81-point rise in the all-income CPI between December 2025 and August 2026 to fuel, and 3.13 (2.16 to 4.10) of the 5.98-point rise in the bottom-30% CPI: about half (Figure 6). It also predicts that the poor would pay more (−0.65 of the −1.18-point actual gap). Prices did not fall back when fuel eased in May–June, as the model predicted.</w:t>
      </w:r>
    </w:p>
    <w:p>
      <w:pPr>
        <w:pStyle w:val="CaptionedFigure"/>
      </w:pPr>
      <w:r>
        <w:drawing>
          <wp:inline>
            <wp:extent cx="5646420" cy="2668495"/>
            <wp:effectExtent b="0" l="0" r="0" t="0"/>
            <wp:docPr descr="Figure 6. Actual price changes in 2026 against the fuel-driven changes predicted by a model estimated on 2001–2025 data." title="" id="45" name="Picture"/>
            <a:graphic>
              <a:graphicData uri="http://schemas.openxmlformats.org/drawingml/2006/picture">
                <pic:pic>
                  <pic:nvPicPr>
                    <pic:cNvPr descr="../output/figures/fig07_rq3_2026.png" id="46" name="Picture"/>
                    <pic:cNvPicPr>
                      <a:picLocks noChangeArrowheads="1" noChangeAspect="1"/>
                    </pic:cNvPicPr>
                  </pic:nvPicPr>
                  <pic:blipFill>
                    <a:blip r:embed="rId44"/>
                    <a:stretch>
                      <a:fillRect/>
                    </a:stretch>
                  </pic:blipFill>
                  <pic:spPr bwMode="auto">
                    <a:xfrm>
                      <a:off x="0" y="0"/>
                      <a:ext cx="5646420" cy="2668495"/>
                    </a:xfrm>
                    <a:prstGeom prst="rect">
                      <a:avLst/>
                    </a:prstGeom>
                    <a:noFill/>
                    <a:ln w="9525">
                      <a:noFill/>
                      <a:headEnd/>
                      <a:tailEnd/>
                    </a:ln>
                  </pic:spPr>
                </pic:pic>
              </a:graphicData>
            </a:graphic>
          </wp:inline>
        </w:drawing>
      </w:r>
    </w:p>
    <w:p>
      <w:pPr>
        <w:pStyle w:val="ImageCaption"/>
      </w:pPr>
      <w:r>
        <w:t xml:space="preserve">Figure 6. Actual price changes in 2026 against the fuel-driven changes predicted by a model estimated on 2001–2025 data.</w:t>
      </w:r>
    </w:p>
    <w:p>
      <w:pPr>
        <w:pStyle w:val="BodyText"/>
      </w:pPr>
      <w:r>
        <w:t xml:space="preserve">For a family of five at the poverty line (about PHP 14,714 a month), the fuel-driven cost increase by August 2026 was about PHP 467 a month nationally, from PHP 390 in XII SOCCSKSARGEN to PHP 633 in the National Capital Region (Table 6); counting all price increases it was about PHP 907. Actual bottom-30% inflation was highest in XI Davao, BARMM, VI Western Visayas, XIII Caraga and IX Zamboanga Peninsula; fuel explains about 72% of the rise in Luzon’s core regions but only 44% in Mindanao.</w:t>
      </w:r>
    </w:p>
    <w:p>
      <w:pPr>
        <w:pStyle w:val="TableCaption"/>
      </w:pPr>
      <w:r>
        <w:t xml:space="preserve">Table 6. The 2026 shock by region, December 2025 to August 2026</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Caption w:val="Table 6. The 2026 shock by region, December 2025 to August 2026"/>
      </w:tblPr>
      <w:tblGrid>
        <w:gridCol w:w="1320"/>
        <w:gridCol w:w="1320"/>
        <w:gridCol w:w="1320"/>
        <w:gridCol w:w="1320"/>
        <w:gridCol w:w="1320"/>
        <w:gridCol w:w="132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Region</w:t>
            </w:r>
          </w:p>
        </w:tc>
        <w:tc>
          <w:tcPr>
            <w:tcBorders>
              <w:bottom w:val="single" w:sz="6" w:space="0" w:color="000000"/>
            </w:tcBorders>
          </w:tcPr>
          <w:p>
            <w:pPr>
              <w:pStyle w:val="Compact"/>
              <w:spacing w:before="0" w:after="0" w:line="240" w:lineRule="auto"/>
              <w:ind w:firstLine="0" w:left="0"/>
            </w:pPr>
            <w:r>
              <w:rPr>
                <w:sz w:val="20"/>
                <w:szCs w:val="20"/>
              </w:rPr>
              <w:t xml:space="preserve">Poverty 2018 (%)</w:t>
            </w:r>
          </w:p>
        </w:tc>
        <w:tc>
          <w:tcPr>
            <w:tcBorders>
              <w:bottom w:val="single" w:sz="6" w:space="0" w:color="000000"/>
            </w:tcBorders>
          </w:tcPr>
          <w:p>
            <w:pPr>
              <w:pStyle w:val="Compact"/>
              <w:spacing w:before="0" w:after="0" w:line="240" w:lineRule="auto"/>
              <w:ind w:firstLine="0" w:left="0"/>
            </w:pPr>
            <w:r>
              <w:rPr>
                <w:sz w:val="20"/>
                <w:szCs w:val="20"/>
              </w:rPr>
              <w:t xml:space="preserve">Fuel price rise (%)</w:t>
            </w:r>
          </w:p>
        </w:tc>
        <w:tc>
          <w:tcPr>
            <w:tcBorders>
              <w:bottom w:val="single" w:sz="6" w:space="0" w:color="000000"/>
            </w:tcBorders>
          </w:tcPr>
          <w:p>
            <w:pPr>
              <w:pStyle w:val="Compact"/>
              <w:spacing w:before="0" w:after="0" w:line="240" w:lineRule="auto"/>
              <w:ind w:firstLine="0" w:left="0"/>
            </w:pPr>
            <w:r>
              <w:rPr>
                <w:sz w:val="20"/>
                <w:szCs w:val="20"/>
              </w:rPr>
              <w:t xml:space="preserve">Fuel-driven rise, bottom-30% CPI</w:t>
            </w:r>
          </w:p>
        </w:tc>
        <w:tc>
          <w:tcPr>
            <w:tcBorders>
              <w:bottom w:val="single" w:sz="6" w:space="0" w:color="000000"/>
            </w:tcBorders>
          </w:tcPr>
          <w:p>
            <w:pPr>
              <w:pStyle w:val="Compact"/>
              <w:spacing w:before="0" w:after="0" w:line="240" w:lineRule="auto"/>
              <w:ind w:firstLine="0" w:left="0"/>
            </w:pPr>
            <w:r>
              <w:rPr>
                <w:sz w:val="20"/>
                <w:szCs w:val="20"/>
              </w:rPr>
              <w:t xml:space="preserve">Actual rise, bottom-30% CPI</w:t>
            </w:r>
          </w:p>
        </w:tc>
        <w:tc>
          <w:tcPr>
            <w:tcBorders>
              <w:bottom w:val="single" w:sz="6" w:space="0" w:color="000000"/>
            </w:tcBorders>
          </w:tcPr>
          <w:p>
            <w:pPr>
              <w:pStyle w:val="Compact"/>
              <w:spacing w:before="0" w:after="0" w:line="240" w:lineRule="auto"/>
              <w:ind w:firstLine="0" w:left="0"/>
            </w:pPr>
            <w:r>
              <w:rPr>
                <w:sz w:val="20"/>
                <w:szCs w:val="20"/>
              </w:rPr>
              <w:t xml:space="preserve">Fuel-driven extra cost (PHP/month)</w:t>
            </w:r>
          </w:p>
        </w:tc>
      </w:tr>
      <w:tr>
        <w:tc>
          <w:tcPr/>
          <w:p>
            <w:pPr>
              <w:pStyle w:val="Compact"/>
              <w:spacing w:before="0" w:after="0" w:line="240" w:lineRule="auto"/>
              <w:ind w:firstLine="0" w:left="0"/>
            </w:pPr>
            <w:r>
              <w:rPr>
                <w:sz w:val="20"/>
                <w:szCs w:val="20"/>
              </w:rPr>
              <w:t xml:space="preserve">National Capital Region</w:t>
            </w:r>
          </w:p>
        </w:tc>
        <w:tc>
          <w:tcPr/>
          <w:p>
            <w:pPr>
              <w:pStyle w:val="Compact"/>
              <w:spacing w:before="0" w:after="0" w:line="240" w:lineRule="auto"/>
              <w:ind w:firstLine="0" w:left="0"/>
            </w:pPr>
            <w:r>
              <w:rPr>
                <w:sz w:val="20"/>
                <w:szCs w:val="20"/>
              </w:rPr>
              <w:t xml:space="preserve">2.2</w:t>
            </w:r>
          </w:p>
        </w:tc>
        <w:tc>
          <w:tcPr/>
          <w:p>
            <w:pPr>
              <w:pStyle w:val="Compact"/>
              <w:spacing w:before="0" w:after="0" w:line="240" w:lineRule="auto"/>
              <w:ind w:firstLine="0" w:left="0"/>
            </w:pPr>
            <w:r>
              <w:rPr>
                <w:sz w:val="20"/>
                <w:szCs w:val="20"/>
              </w:rPr>
              <w:t xml:space="preserve">34.5</w:t>
            </w:r>
          </w:p>
        </w:tc>
        <w:tc>
          <w:tcPr/>
          <w:p>
            <w:pPr>
              <w:pStyle w:val="Compact"/>
              <w:spacing w:before="0" w:after="0" w:line="240" w:lineRule="auto"/>
              <w:ind w:firstLine="0" w:left="0"/>
            </w:pPr>
            <w:r>
              <w:rPr>
                <w:sz w:val="20"/>
                <w:szCs w:val="20"/>
              </w:rPr>
              <w:t xml:space="preserve">3.68 [2.66, 4.70]</w:t>
            </w:r>
          </w:p>
        </w:tc>
        <w:tc>
          <w:tcPr/>
          <w:p>
            <w:pPr>
              <w:pStyle w:val="Compact"/>
              <w:spacing w:before="0" w:after="0" w:line="240" w:lineRule="auto"/>
              <w:ind w:firstLine="0" w:left="0"/>
            </w:pPr>
            <w:r>
              <w:rPr>
                <w:sz w:val="20"/>
                <w:szCs w:val="20"/>
              </w:rPr>
              <w:t xml:space="preserve">3.47</w:t>
            </w:r>
          </w:p>
        </w:tc>
        <w:tc>
          <w:tcPr/>
          <w:p>
            <w:pPr>
              <w:pStyle w:val="Compact"/>
              <w:spacing w:before="0" w:after="0" w:line="240" w:lineRule="auto"/>
              <w:ind w:firstLine="0" w:left="0"/>
            </w:pPr>
            <w:r>
              <w:rPr>
                <w:sz w:val="20"/>
                <w:szCs w:val="20"/>
              </w:rPr>
              <w:t xml:space="preserve">633</w:t>
            </w:r>
          </w:p>
        </w:tc>
      </w:tr>
      <w:tr>
        <w:tc>
          <w:tcPr/>
          <w:p>
            <w:pPr>
              <w:pStyle w:val="Compact"/>
              <w:spacing w:before="0" w:after="0" w:line="240" w:lineRule="auto"/>
              <w:ind w:firstLine="0" w:left="0"/>
            </w:pPr>
            <w:r>
              <w:rPr>
                <w:sz w:val="20"/>
                <w:szCs w:val="20"/>
              </w:rPr>
              <w:t xml:space="preserve">Cordillera (CAR)</w:t>
            </w:r>
          </w:p>
        </w:tc>
        <w:tc>
          <w:tcPr/>
          <w:p>
            <w:pPr>
              <w:pStyle w:val="Compact"/>
              <w:spacing w:before="0" w:after="0" w:line="240" w:lineRule="auto"/>
              <w:ind w:firstLine="0" w:left="0"/>
            </w:pPr>
            <w:r>
              <w:rPr>
                <w:sz w:val="20"/>
                <w:szCs w:val="20"/>
              </w:rPr>
              <w:t xml:space="preserve">12.0</w:t>
            </w:r>
          </w:p>
        </w:tc>
        <w:tc>
          <w:tcPr/>
          <w:p>
            <w:pPr>
              <w:pStyle w:val="Compact"/>
              <w:spacing w:before="0" w:after="0" w:line="240" w:lineRule="auto"/>
              <w:ind w:firstLine="0" w:left="0"/>
            </w:pPr>
            <w:r>
              <w:rPr>
                <w:sz w:val="20"/>
                <w:szCs w:val="20"/>
              </w:rPr>
              <w:t xml:space="preserve">30.7</w:t>
            </w:r>
          </w:p>
        </w:tc>
        <w:tc>
          <w:tcPr/>
          <w:p>
            <w:pPr>
              <w:pStyle w:val="Compact"/>
              <w:spacing w:before="0" w:after="0" w:line="240" w:lineRule="auto"/>
              <w:ind w:firstLine="0" w:left="0"/>
            </w:pPr>
            <w:r>
              <w:rPr>
                <w:sz w:val="20"/>
                <w:szCs w:val="20"/>
              </w:rPr>
              <w:t xml:space="preserve">3.30 [2.41, 4.18]</w:t>
            </w:r>
          </w:p>
        </w:tc>
        <w:tc>
          <w:tcPr/>
          <w:p>
            <w:pPr>
              <w:pStyle w:val="Compact"/>
              <w:spacing w:before="0" w:after="0" w:line="240" w:lineRule="auto"/>
              <w:ind w:firstLine="0" w:left="0"/>
            </w:pPr>
            <w:r>
              <w:rPr>
                <w:sz w:val="20"/>
                <w:szCs w:val="20"/>
              </w:rPr>
              <w:t xml:space="preserve">6.36</w:t>
            </w:r>
          </w:p>
        </w:tc>
        <w:tc>
          <w:tcPr/>
          <w:p>
            <w:pPr>
              <w:pStyle w:val="Compact"/>
              <w:spacing w:before="0" w:after="0" w:line="240" w:lineRule="auto"/>
              <w:ind w:firstLine="0" w:left="0"/>
            </w:pPr>
            <w:r>
              <w:rPr>
                <w:sz w:val="20"/>
                <w:szCs w:val="20"/>
              </w:rPr>
              <w:t xml:space="preserve">470</w:t>
            </w:r>
          </w:p>
        </w:tc>
      </w:tr>
      <w:tr>
        <w:tc>
          <w:tcPr/>
          <w:p>
            <w:pPr>
              <w:pStyle w:val="Compact"/>
              <w:spacing w:before="0" w:after="0" w:line="240" w:lineRule="auto"/>
              <w:ind w:firstLine="0" w:left="0"/>
            </w:pPr>
            <w:r>
              <w:rPr>
                <w:sz w:val="20"/>
                <w:szCs w:val="20"/>
              </w:rPr>
              <w:t xml:space="preserve">I Ilocos</w:t>
            </w:r>
          </w:p>
        </w:tc>
        <w:tc>
          <w:tcPr/>
          <w:p>
            <w:pPr>
              <w:pStyle w:val="Compact"/>
              <w:spacing w:before="0" w:after="0" w:line="240" w:lineRule="auto"/>
              <w:ind w:firstLine="0" w:left="0"/>
            </w:pPr>
            <w:r>
              <w:rPr>
                <w:sz w:val="20"/>
                <w:szCs w:val="20"/>
              </w:rPr>
              <w:t xml:space="preserve">9.9</w:t>
            </w:r>
          </w:p>
        </w:tc>
        <w:tc>
          <w:tcPr/>
          <w:p>
            <w:pPr>
              <w:pStyle w:val="Compact"/>
              <w:spacing w:before="0" w:after="0" w:line="240" w:lineRule="auto"/>
              <w:ind w:firstLine="0" w:left="0"/>
            </w:pPr>
            <w:r>
              <w:rPr>
                <w:sz w:val="20"/>
                <w:szCs w:val="20"/>
              </w:rPr>
              <w:t xml:space="preserve">36.3</w:t>
            </w:r>
          </w:p>
        </w:tc>
        <w:tc>
          <w:tcPr/>
          <w:p>
            <w:pPr>
              <w:pStyle w:val="Compact"/>
              <w:spacing w:before="0" w:after="0" w:line="240" w:lineRule="auto"/>
              <w:ind w:firstLine="0" w:left="0"/>
            </w:pPr>
            <w:r>
              <w:rPr>
                <w:sz w:val="20"/>
                <w:szCs w:val="20"/>
              </w:rPr>
              <w:t xml:space="preserve">3.68 [2.69, 4.68]</w:t>
            </w:r>
          </w:p>
        </w:tc>
        <w:tc>
          <w:tcPr/>
          <w:p>
            <w:pPr>
              <w:pStyle w:val="Compact"/>
              <w:spacing w:before="0" w:after="0" w:line="240" w:lineRule="auto"/>
              <w:ind w:firstLine="0" w:left="0"/>
            </w:pPr>
            <w:r>
              <w:rPr>
                <w:sz w:val="20"/>
                <w:szCs w:val="20"/>
              </w:rPr>
              <w:t xml:space="preserve">3.82</w:t>
            </w:r>
          </w:p>
        </w:tc>
        <w:tc>
          <w:tcPr/>
          <w:p>
            <w:pPr>
              <w:pStyle w:val="Compact"/>
              <w:spacing w:before="0" w:after="0" w:line="240" w:lineRule="auto"/>
              <w:ind w:firstLine="0" w:left="0"/>
            </w:pPr>
            <w:r>
              <w:rPr>
                <w:sz w:val="20"/>
                <w:szCs w:val="20"/>
              </w:rPr>
              <w:t xml:space="preserve">571</w:t>
            </w:r>
          </w:p>
        </w:tc>
      </w:tr>
      <w:tr>
        <w:tc>
          <w:tcPr/>
          <w:p>
            <w:pPr>
              <w:pStyle w:val="Compact"/>
              <w:spacing w:before="0" w:after="0" w:line="240" w:lineRule="auto"/>
              <w:ind w:firstLine="0" w:left="0"/>
            </w:pPr>
            <w:r>
              <w:rPr>
                <w:sz w:val="20"/>
                <w:szCs w:val="20"/>
              </w:rPr>
              <w:t xml:space="preserve">II Cagayan Valley</w:t>
            </w:r>
          </w:p>
        </w:tc>
        <w:tc>
          <w:tcPr/>
          <w:p>
            <w:pPr>
              <w:pStyle w:val="Compact"/>
              <w:spacing w:before="0" w:after="0" w:line="240" w:lineRule="auto"/>
              <w:ind w:firstLine="0" w:left="0"/>
            </w:pPr>
            <w:r>
              <w:rPr>
                <w:sz w:val="20"/>
                <w:szCs w:val="20"/>
              </w:rPr>
              <w:t xml:space="preserve">16.3</w:t>
            </w:r>
          </w:p>
        </w:tc>
        <w:tc>
          <w:tcPr/>
          <w:p>
            <w:pPr>
              <w:pStyle w:val="Compact"/>
              <w:spacing w:before="0" w:after="0" w:line="240" w:lineRule="auto"/>
              <w:ind w:firstLine="0" w:left="0"/>
            </w:pPr>
            <w:r>
              <w:rPr>
                <w:sz w:val="20"/>
                <w:szCs w:val="20"/>
              </w:rPr>
              <w:t xml:space="preserve">34.1</w:t>
            </w:r>
          </w:p>
        </w:tc>
        <w:tc>
          <w:tcPr/>
          <w:p>
            <w:pPr>
              <w:pStyle w:val="Compact"/>
              <w:spacing w:before="0" w:after="0" w:line="240" w:lineRule="auto"/>
              <w:ind w:firstLine="0" w:left="0"/>
            </w:pPr>
            <w:r>
              <w:rPr>
                <w:sz w:val="20"/>
                <w:szCs w:val="20"/>
              </w:rPr>
              <w:t xml:space="preserve">3.47 [2.53, 4.42]</w:t>
            </w:r>
          </w:p>
        </w:tc>
        <w:tc>
          <w:tcPr/>
          <w:p>
            <w:pPr>
              <w:pStyle w:val="Compact"/>
              <w:spacing w:before="0" w:after="0" w:line="240" w:lineRule="auto"/>
              <w:ind w:firstLine="0" w:left="0"/>
            </w:pPr>
            <w:r>
              <w:rPr>
                <w:sz w:val="20"/>
                <w:szCs w:val="20"/>
              </w:rPr>
              <w:t xml:space="preserve">4.64</w:t>
            </w:r>
          </w:p>
        </w:tc>
        <w:tc>
          <w:tcPr/>
          <w:p>
            <w:pPr>
              <w:pStyle w:val="Compact"/>
              <w:spacing w:before="0" w:after="0" w:line="240" w:lineRule="auto"/>
              <w:ind w:firstLine="0" w:left="0"/>
            </w:pPr>
            <w:r>
              <w:rPr>
                <w:sz w:val="20"/>
                <w:szCs w:val="20"/>
              </w:rPr>
              <w:t xml:space="preserve">503</w:t>
            </w:r>
          </w:p>
        </w:tc>
      </w:tr>
      <w:tr>
        <w:tc>
          <w:tcPr/>
          <w:p>
            <w:pPr>
              <w:pStyle w:val="Compact"/>
              <w:spacing w:before="0" w:after="0" w:line="240" w:lineRule="auto"/>
              <w:ind w:firstLine="0" w:left="0"/>
            </w:pPr>
            <w:r>
              <w:rPr>
                <w:sz w:val="20"/>
                <w:szCs w:val="20"/>
              </w:rPr>
              <w:t xml:space="preserve">III Central Luzon</w:t>
            </w:r>
          </w:p>
        </w:tc>
        <w:tc>
          <w:tcPr/>
          <w:p>
            <w:pPr>
              <w:pStyle w:val="Compact"/>
              <w:spacing w:before="0" w:after="0" w:line="240" w:lineRule="auto"/>
              <w:ind w:firstLine="0" w:left="0"/>
            </w:pPr>
            <w:r>
              <w:rPr>
                <w:sz w:val="20"/>
                <w:szCs w:val="20"/>
              </w:rPr>
              <w:t xml:space="preserve">7.0</w:t>
            </w:r>
          </w:p>
        </w:tc>
        <w:tc>
          <w:tcPr/>
          <w:p>
            <w:pPr>
              <w:pStyle w:val="Compact"/>
              <w:spacing w:before="0" w:after="0" w:line="240" w:lineRule="auto"/>
              <w:ind w:firstLine="0" w:left="0"/>
            </w:pPr>
            <w:r>
              <w:rPr>
                <w:sz w:val="20"/>
                <w:szCs w:val="20"/>
              </w:rPr>
              <w:t xml:space="preserve">33.9</w:t>
            </w:r>
          </w:p>
        </w:tc>
        <w:tc>
          <w:tcPr/>
          <w:p>
            <w:pPr>
              <w:pStyle w:val="Compact"/>
              <w:spacing w:before="0" w:after="0" w:line="240" w:lineRule="auto"/>
              <w:ind w:firstLine="0" w:left="0"/>
            </w:pPr>
            <w:r>
              <w:rPr>
                <w:sz w:val="20"/>
                <w:szCs w:val="20"/>
              </w:rPr>
              <w:t xml:space="preserve">3.50 [2.56, 4.45]</w:t>
            </w:r>
          </w:p>
        </w:tc>
        <w:tc>
          <w:tcPr/>
          <w:p>
            <w:pPr>
              <w:pStyle w:val="Compact"/>
              <w:spacing w:before="0" w:after="0" w:line="240" w:lineRule="auto"/>
              <w:ind w:firstLine="0" w:left="0"/>
            </w:pPr>
            <w:r>
              <w:rPr>
                <w:sz w:val="20"/>
                <w:szCs w:val="20"/>
              </w:rPr>
              <w:t xml:space="preserve">6.00</w:t>
            </w:r>
          </w:p>
        </w:tc>
        <w:tc>
          <w:tcPr/>
          <w:p>
            <w:pPr>
              <w:pStyle w:val="Compact"/>
              <w:spacing w:before="0" w:after="0" w:line="240" w:lineRule="auto"/>
              <w:ind w:firstLine="0" w:left="0"/>
            </w:pPr>
            <w:r>
              <w:rPr>
                <w:sz w:val="20"/>
                <w:szCs w:val="20"/>
              </w:rPr>
              <w:t xml:space="preserve">605</w:t>
            </w:r>
          </w:p>
        </w:tc>
      </w:tr>
      <w:tr>
        <w:tc>
          <w:tcPr/>
          <w:p>
            <w:pPr>
              <w:pStyle w:val="Compact"/>
              <w:spacing w:before="0" w:after="0" w:line="240" w:lineRule="auto"/>
              <w:ind w:firstLine="0" w:left="0"/>
            </w:pPr>
            <w:r>
              <w:rPr>
                <w:sz w:val="20"/>
                <w:szCs w:val="20"/>
              </w:rPr>
              <w:t xml:space="preserve">IV-A CALABARZON</w:t>
            </w:r>
          </w:p>
        </w:tc>
        <w:tc>
          <w:tcPr/>
          <w:p>
            <w:pPr>
              <w:pStyle w:val="Compact"/>
              <w:spacing w:before="0" w:after="0" w:line="240" w:lineRule="auto"/>
              <w:ind w:firstLine="0" w:left="0"/>
            </w:pPr>
            <w:r>
              <w:rPr>
                <w:sz w:val="20"/>
                <w:szCs w:val="20"/>
              </w:rPr>
              <w:t xml:space="preserve">7.1</w:t>
            </w:r>
          </w:p>
        </w:tc>
        <w:tc>
          <w:tcPr/>
          <w:p>
            <w:pPr>
              <w:pStyle w:val="Compact"/>
              <w:spacing w:before="0" w:after="0" w:line="240" w:lineRule="auto"/>
              <w:ind w:firstLine="0" w:left="0"/>
            </w:pPr>
            <w:r>
              <w:rPr>
                <w:sz w:val="20"/>
                <w:szCs w:val="20"/>
              </w:rPr>
              <w:t xml:space="preserve">34.6</w:t>
            </w:r>
          </w:p>
        </w:tc>
        <w:tc>
          <w:tcPr/>
          <w:p>
            <w:pPr>
              <w:pStyle w:val="Compact"/>
              <w:spacing w:before="0" w:after="0" w:line="240" w:lineRule="auto"/>
              <w:ind w:firstLine="0" w:left="0"/>
            </w:pPr>
            <w:r>
              <w:rPr>
                <w:sz w:val="20"/>
                <w:szCs w:val="20"/>
              </w:rPr>
              <w:t xml:space="preserve">3.52 [2.57, 4.48]</w:t>
            </w:r>
          </w:p>
        </w:tc>
        <w:tc>
          <w:tcPr/>
          <w:p>
            <w:pPr>
              <w:pStyle w:val="Compact"/>
              <w:spacing w:before="0" w:after="0" w:line="240" w:lineRule="auto"/>
              <w:ind w:firstLine="0" w:left="0"/>
            </w:pPr>
            <w:r>
              <w:rPr>
                <w:sz w:val="20"/>
                <w:szCs w:val="20"/>
              </w:rPr>
              <w:t xml:space="preserve">4.96</w:t>
            </w:r>
          </w:p>
        </w:tc>
        <w:tc>
          <w:tcPr/>
          <w:p>
            <w:pPr>
              <w:pStyle w:val="Compact"/>
              <w:spacing w:before="0" w:after="0" w:line="240" w:lineRule="auto"/>
              <w:ind w:firstLine="0" w:left="0"/>
            </w:pPr>
            <w:r>
              <w:rPr>
                <w:sz w:val="20"/>
                <w:szCs w:val="20"/>
              </w:rPr>
              <w:t xml:space="preserve">596</w:t>
            </w:r>
          </w:p>
        </w:tc>
      </w:tr>
      <w:tr>
        <w:tc>
          <w:tcPr/>
          <w:p>
            <w:pPr>
              <w:pStyle w:val="Compact"/>
              <w:spacing w:before="0" w:after="0" w:line="240" w:lineRule="auto"/>
              <w:ind w:firstLine="0" w:left="0"/>
            </w:pPr>
            <w:r>
              <w:rPr>
                <w:sz w:val="20"/>
                <w:szCs w:val="20"/>
              </w:rPr>
              <w:t xml:space="preserve">MIMAROPA</w:t>
            </w:r>
          </w:p>
        </w:tc>
        <w:tc>
          <w:tcPr/>
          <w:p>
            <w:pPr>
              <w:pStyle w:val="Compact"/>
              <w:spacing w:before="0" w:after="0" w:line="240" w:lineRule="auto"/>
              <w:ind w:firstLine="0" w:left="0"/>
            </w:pPr>
            <w:r>
              <w:rPr>
                <w:sz w:val="20"/>
                <w:szCs w:val="20"/>
              </w:rPr>
              <w:t xml:space="preserve">15.1</w:t>
            </w:r>
          </w:p>
        </w:tc>
        <w:tc>
          <w:tcPr/>
          <w:p>
            <w:pPr>
              <w:pStyle w:val="Compact"/>
              <w:spacing w:before="0" w:after="0" w:line="240" w:lineRule="auto"/>
              <w:ind w:firstLine="0" w:left="0"/>
            </w:pPr>
            <w:r>
              <w:rPr>
                <w:sz w:val="20"/>
                <w:szCs w:val="20"/>
              </w:rPr>
              <w:t xml:space="preserve">30.9</w:t>
            </w:r>
          </w:p>
        </w:tc>
        <w:tc>
          <w:tcPr/>
          <w:p>
            <w:pPr>
              <w:pStyle w:val="Compact"/>
              <w:spacing w:before="0" w:after="0" w:line="240" w:lineRule="auto"/>
              <w:ind w:firstLine="0" w:left="0"/>
            </w:pPr>
            <w:r>
              <w:rPr>
                <w:sz w:val="20"/>
                <w:szCs w:val="20"/>
              </w:rPr>
              <w:t xml:space="preserve">3.13 [2.26, 4.00]</w:t>
            </w:r>
          </w:p>
        </w:tc>
        <w:tc>
          <w:tcPr/>
          <w:p>
            <w:pPr>
              <w:pStyle w:val="Compact"/>
              <w:spacing w:before="0" w:after="0" w:line="240" w:lineRule="auto"/>
              <w:ind w:firstLine="0" w:left="0"/>
            </w:pPr>
            <w:r>
              <w:rPr>
                <w:sz w:val="20"/>
                <w:szCs w:val="20"/>
              </w:rPr>
              <w:t xml:space="preserve">6.44</w:t>
            </w:r>
          </w:p>
        </w:tc>
        <w:tc>
          <w:tcPr/>
          <w:p>
            <w:pPr>
              <w:pStyle w:val="Compact"/>
              <w:spacing w:before="0" w:after="0" w:line="240" w:lineRule="auto"/>
              <w:ind w:firstLine="0" w:left="0"/>
            </w:pPr>
            <w:r>
              <w:rPr>
                <w:sz w:val="20"/>
                <w:szCs w:val="20"/>
              </w:rPr>
              <w:t xml:space="preserve">425</w:t>
            </w:r>
          </w:p>
        </w:tc>
      </w:tr>
      <w:tr>
        <w:tc>
          <w:tcPr/>
          <w:p>
            <w:pPr>
              <w:pStyle w:val="Compact"/>
              <w:spacing w:before="0" w:after="0" w:line="240" w:lineRule="auto"/>
              <w:ind w:firstLine="0" w:left="0"/>
            </w:pPr>
            <w:r>
              <w:rPr>
                <w:sz w:val="20"/>
                <w:szCs w:val="20"/>
              </w:rPr>
              <w:t xml:space="preserve">V Bicol</w:t>
            </w:r>
          </w:p>
        </w:tc>
        <w:tc>
          <w:tcPr/>
          <w:p>
            <w:pPr>
              <w:pStyle w:val="Compact"/>
              <w:spacing w:before="0" w:after="0" w:line="240" w:lineRule="auto"/>
              <w:ind w:firstLine="0" w:left="0"/>
            </w:pPr>
            <w:r>
              <w:rPr>
                <w:sz w:val="20"/>
                <w:szCs w:val="20"/>
              </w:rPr>
              <w:t xml:space="preserve">27.0</w:t>
            </w:r>
          </w:p>
        </w:tc>
        <w:tc>
          <w:tcPr/>
          <w:p>
            <w:pPr>
              <w:pStyle w:val="Compact"/>
              <w:spacing w:before="0" w:after="0" w:line="240" w:lineRule="auto"/>
              <w:ind w:firstLine="0" w:left="0"/>
            </w:pPr>
            <w:r>
              <w:rPr>
                <w:sz w:val="20"/>
                <w:szCs w:val="20"/>
              </w:rPr>
              <w:t xml:space="preserve">33.9</w:t>
            </w:r>
          </w:p>
        </w:tc>
        <w:tc>
          <w:tcPr/>
          <w:p>
            <w:pPr>
              <w:pStyle w:val="Compact"/>
              <w:spacing w:before="0" w:after="0" w:line="240" w:lineRule="auto"/>
              <w:ind w:firstLine="0" w:left="0"/>
            </w:pPr>
            <w:r>
              <w:rPr>
                <w:sz w:val="20"/>
                <w:szCs w:val="20"/>
              </w:rPr>
              <w:t xml:space="preserve">3.30 [2.37, 4.22]</w:t>
            </w:r>
          </w:p>
        </w:tc>
        <w:tc>
          <w:tcPr/>
          <w:p>
            <w:pPr>
              <w:pStyle w:val="Compact"/>
              <w:spacing w:before="0" w:after="0" w:line="240" w:lineRule="auto"/>
              <w:ind w:firstLine="0" w:left="0"/>
            </w:pPr>
            <w:r>
              <w:rPr>
                <w:sz w:val="20"/>
                <w:szCs w:val="20"/>
              </w:rPr>
              <w:t xml:space="preserve">6.21</w:t>
            </w:r>
          </w:p>
        </w:tc>
        <w:tc>
          <w:tcPr/>
          <w:p>
            <w:pPr>
              <w:pStyle w:val="Compact"/>
              <w:spacing w:before="0" w:after="0" w:line="240" w:lineRule="auto"/>
              <w:ind w:firstLine="0" w:left="0"/>
            </w:pPr>
            <w:r>
              <w:rPr>
                <w:sz w:val="20"/>
                <w:szCs w:val="20"/>
              </w:rPr>
              <w:t xml:space="preserve">503</w:t>
            </w:r>
          </w:p>
        </w:tc>
      </w:tr>
      <w:tr>
        <w:tc>
          <w:tcPr/>
          <w:p>
            <w:pPr>
              <w:pStyle w:val="Compact"/>
              <w:spacing w:before="0" w:after="0" w:line="240" w:lineRule="auto"/>
              <w:ind w:firstLine="0" w:left="0"/>
            </w:pPr>
            <w:r>
              <w:rPr>
                <w:sz w:val="20"/>
                <w:szCs w:val="20"/>
              </w:rPr>
              <w:t xml:space="preserve">VI Western Visayas†</w:t>
            </w:r>
          </w:p>
        </w:tc>
        <w:tc>
          <w:tcPr/>
          <w:p>
            <w:pPr>
              <w:pStyle w:val="Compact"/>
              <w:spacing w:before="0" w:after="0" w:line="240" w:lineRule="auto"/>
              <w:ind w:firstLine="0" w:left="0"/>
            </w:pPr>
            <w:r>
              <w:rPr>
                <w:sz w:val="20"/>
                <w:szCs w:val="20"/>
              </w:rPr>
              <w:t xml:space="preserve">14.2</w:t>
            </w:r>
          </w:p>
        </w:tc>
        <w:tc>
          <w:tcPr/>
          <w:p>
            <w:pPr>
              <w:pStyle w:val="Compact"/>
              <w:spacing w:before="0" w:after="0" w:line="240" w:lineRule="auto"/>
              <w:ind w:firstLine="0" w:left="0"/>
            </w:pPr>
            <w:r>
              <w:rPr>
                <w:sz w:val="20"/>
                <w:szCs w:val="20"/>
              </w:rPr>
              <w:t xml:space="preserve">31.6</w:t>
            </w:r>
          </w:p>
        </w:tc>
        <w:tc>
          <w:tcPr/>
          <w:p>
            <w:pPr>
              <w:pStyle w:val="Compact"/>
              <w:spacing w:before="0" w:after="0" w:line="240" w:lineRule="auto"/>
              <w:ind w:firstLine="0" w:left="0"/>
            </w:pPr>
            <w:r>
              <w:rPr>
                <w:sz w:val="20"/>
                <w:szCs w:val="20"/>
              </w:rPr>
              <w:t xml:space="preserve">3.20 [2.31, 4.08]</w:t>
            </w:r>
          </w:p>
        </w:tc>
        <w:tc>
          <w:tcPr/>
          <w:p>
            <w:pPr>
              <w:pStyle w:val="Compact"/>
              <w:spacing w:before="0" w:after="0" w:line="240" w:lineRule="auto"/>
              <w:ind w:firstLine="0" w:left="0"/>
            </w:pPr>
            <w:r>
              <w:rPr>
                <w:sz w:val="20"/>
                <w:szCs w:val="20"/>
              </w:rPr>
              <w:t xml:space="preserve">7.48</w:t>
            </w:r>
          </w:p>
        </w:tc>
        <w:tc>
          <w:tcPr/>
          <w:p>
            <w:pPr>
              <w:pStyle w:val="Compact"/>
              <w:spacing w:before="0" w:after="0" w:line="240" w:lineRule="auto"/>
              <w:ind w:firstLine="0" w:left="0"/>
            </w:pPr>
            <w:r>
              <w:rPr>
                <w:sz w:val="20"/>
                <w:szCs w:val="20"/>
              </w:rPr>
              <w:t xml:space="preserve">478</w:t>
            </w:r>
          </w:p>
        </w:tc>
      </w:tr>
      <w:tr>
        <w:tc>
          <w:tcPr/>
          <w:p>
            <w:pPr>
              <w:pStyle w:val="Compact"/>
              <w:spacing w:before="0" w:after="0" w:line="240" w:lineRule="auto"/>
              <w:ind w:firstLine="0" w:left="0"/>
            </w:pPr>
            <w:r>
              <w:rPr>
                <w:sz w:val="20"/>
                <w:szCs w:val="20"/>
              </w:rPr>
              <w:t xml:space="preserve">VII Central Visayas†</w:t>
            </w:r>
          </w:p>
        </w:tc>
        <w:tc>
          <w:tcPr/>
          <w:p>
            <w:pPr>
              <w:pStyle w:val="Compact"/>
              <w:spacing w:before="0" w:after="0" w:line="240" w:lineRule="auto"/>
              <w:ind w:firstLine="0" w:left="0"/>
            </w:pPr>
            <w:r>
              <w:rPr>
                <w:sz w:val="20"/>
                <w:szCs w:val="20"/>
              </w:rPr>
              <w:t xml:space="preserve">16.1</w:t>
            </w:r>
          </w:p>
        </w:tc>
        <w:tc>
          <w:tcPr/>
          <w:p>
            <w:pPr>
              <w:pStyle w:val="Compact"/>
              <w:spacing w:before="0" w:after="0" w:line="240" w:lineRule="auto"/>
              <w:ind w:firstLine="0" w:left="0"/>
            </w:pPr>
            <w:r>
              <w:rPr>
                <w:sz w:val="20"/>
                <w:szCs w:val="20"/>
              </w:rPr>
              <w:t xml:space="preserve">25.9</w:t>
            </w:r>
          </w:p>
        </w:tc>
        <w:tc>
          <w:tcPr/>
          <w:p>
            <w:pPr>
              <w:pStyle w:val="Compact"/>
              <w:spacing w:before="0" w:after="0" w:line="240" w:lineRule="auto"/>
              <w:ind w:firstLine="0" w:left="0"/>
            </w:pPr>
            <w:r>
              <w:rPr>
                <w:sz w:val="20"/>
                <w:szCs w:val="20"/>
              </w:rPr>
              <w:t xml:space="preserve">2.65 [1.94, 3.36]</w:t>
            </w:r>
          </w:p>
        </w:tc>
        <w:tc>
          <w:tcPr/>
          <w:p>
            <w:pPr>
              <w:pStyle w:val="Compact"/>
              <w:spacing w:before="0" w:after="0" w:line="240" w:lineRule="auto"/>
              <w:ind w:firstLine="0" w:left="0"/>
            </w:pPr>
            <w:r>
              <w:rPr>
                <w:sz w:val="20"/>
                <w:szCs w:val="20"/>
              </w:rPr>
              <w:t xml:space="preserve">5.90</w:t>
            </w:r>
          </w:p>
        </w:tc>
        <w:tc>
          <w:tcPr/>
          <w:p>
            <w:pPr>
              <w:pStyle w:val="Compact"/>
              <w:spacing w:before="0" w:after="0" w:line="240" w:lineRule="auto"/>
              <w:ind w:firstLine="0" w:left="0"/>
            </w:pPr>
            <w:r>
              <w:rPr>
                <w:sz w:val="20"/>
                <w:szCs w:val="20"/>
              </w:rPr>
              <w:t xml:space="preserve">419</w:t>
            </w:r>
          </w:p>
        </w:tc>
      </w:tr>
      <w:tr>
        <w:tc>
          <w:tcPr/>
          <w:p>
            <w:pPr>
              <w:pStyle w:val="Compact"/>
              <w:spacing w:before="0" w:after="0" w:line="240" w:lineRule="auto"/>
              <w:ind w:firstLine="0" w:left="0"/>
            </w:pPr>
            <w:r>
              <w:rPr>
                <w:sz w:val="20"/>
                <w:szCs w:val="20"/>
              </w:rPr>
              <w:t xml:space="preserve">VIII Eastern Visayas</w:t>
            </w:r>
          </w:p>
        </w:tc>
        <w:tc>
          <w:tcPr/>
          <w:p>
            <w:pPr>
              <w:pStyle w:val="Compact"/>
              <w:spacing w:before="0" w:after="0" w:line="240" w:lineRule="auto"/>
              <w:ind w:firstLine="0" w:left="0"/>
            </w:pPr>
            <w:r>
              <w:rPr>
                <w:sz w:val="20"/>
                <w:szCs w:val="20"/>
              </w:rPr>
              <w:t xml:space="preserve">30.7</w:t>
            </w:r>
          </w:p>
        </w:tc>
        <w:tc>
          <w:tcPr/>
          <w:p>
            <w:pPr>
              <w:pStyle w:val="Compact"/>
              <w:spacing w:before="0" w:after="0" w:line="240" w:lineRule="auto"/>
              <w:ind w:firstLine="0" w:left="0"/>
            </w:pPr>
            <w:r>
              <w:rPr>
                <w:sz w:val="20"/>
                <w:szCs w:val="20"/>
              </w:rPr>
              <w:t xml:space="preserve">27.4</w:t>
            </w:r>
          </w:p>
        </w:tc>
        <w:tc>
          <w:tcPr/>
          <w:p>
            <w:pPr>
              <w:pStyle w:val="Compact"/>
              <w:spacing w:before="0" w:after="0" w:line="240" w:lineRule="auto"/>
              <w:ind w:firstLine="0" w:left="0"/>
            </w:pPr>
            <w:r>
              <w:rPr>
                <w:sz w:val="20"/>
                <w:szCs w:val="20"/>
              </w:rPr>
              <w:t xml:space="preserve">2.85 [2.07, 3.62]</w:t>
            </w:r>
          </w:p>
        </w:tc>
        <w:tc>
          <w:tcPr/>
          <w:p>
            <w:pPr>
              <w:pStyle w:val="Compact"/>
              <w:spacing w:before="0" w:after="0" w:line="240" w:lineRule="auto"/>
              <w:ind w:firstLine="0" w:left="0"/>
            </w:pPr>
            <w:r>
              <w:rPr>
                <w:sz w:val="20"/>
                <w:szCs w:val="20"/>
              </w:rPr>
              <w:t xml:space="preserve">6.80</w:t>
            </w:r>
          </w:p>
        </w:tc>
        <w:tc>
          <w:tcPr/>
          <w:p>
            <w:pPr>
              <w:pStyle w:val="Compact"/>
              <w:spacing w:before="0" w:after="0" w:line="240" w:lineRule="auto"/>
              <w:ind w:firstLine="0" w:left="0"/>
            </w:pPr>
            <w:r>
              <w:rPr>
                <w:sz w:val="20"/>
                <w:szCs w:val="20"/>
              </w:rPr>
              <w:t xml:space="preserve">410</w:t>
            </w:r>
          </w:p>
        </w:tc>
      </w:tr>
      <w:tr>
        <w:tc>
          <w:tcPr/>
          <w:p>
            <w:pPr>
              <w:pStyle w:val="Compact"/>
              <w:spacing w:before="0" w:after="0" w:line="240" w:lineRule="auto"/>
              <w:ind w:firstLine="0" w:left="0"/>
            </w:pPr>
            <w:r>
              <w:rPr>
                <w:sz w:val="20"/>
                <w:szCs w:val="20"/>
              </w:rPr>
              <w:t xml:space="preserve">IX Zamboanga Peninsula</w:t>
            </w:r>
          </w:p>
        </w:tc>
        <w:tc>
          <w:tcPr/>
          <w:p>
            <w:pPr>
              <w:pStyle w:val="Compact"/>
              <w:spacing w:before="0" w:after="0" w:line="240" w:lineRule="auto"/>
              <w:ind w:firstLine="0" w:left="0"/>
            </w:pPr>
            <w:r>
              <w:rPr>
                <w:sz w:val="20"/>
                <w:szCs w:val="20"/>
              </w:rPr>
              <w:t xml:space="preserve">32.7</w:t>
            </w:r>
          </w:p>
        </w:tc>
        <w:tc>
          <w:tcPr/>
          <w:p>
            <w:pPr>
              <w:pStyle w:val="Compact"/>
              <w:spacing w:before="0" w:after="0" w:line="240" w:lineRule="auto"/>
              <w:ind w:firstLine="0" w:left="0"/>
            </w:pPr>
            <w:r>
              <w:rPr>
                <w:sz w:val="20"/>
                <w:szCs w:val="20"/>
              </w:rPr>
              <w:t xml:space="preserve">29.4</w:t>
            </w:r>
          </w:p>
        </w:tc>
        <w:tc>
          <w:tcPr/>
          <w:p>
            <w:pPr>
              <w:pStyle w:val="Compact"/>
              <w:spacing w:before="0" w:after="0" w:line="240" w:lineRule="auto"/>
              <w:ind w:firstLine="0" w:left="0"/>
            </w:pPr>
            <w:r>
              <w:rPr>
                <w:sz w:val="20"/>
                <w:szCs w:val="20"/>
              </w:rPr>
              <w:t xml:space="preserve">3.07 [2.23, 3.91]</w:t>
            </w:r>
          </w:p>
        </w:tc>
        <w:tc>
          <w:tcPr/>
          <w:p>
            <w:pPr>
              <w:pStyle w:val="Compact"/>
              <w:spacing w:before="0" w:after="0" w:line="240" w:lineRule="auto"/>
              <w:ind w:firstLine="0" w:left="0"/>
            </w:pPr>
            <w:r>
              <w:rPr>
                <w:sz w:val="20"/>
                <w:szCs w:val="20"/>
              </w:rPr>
              <w:t xml:space="preserve">7.07</w:t>
            </w:r>
          </w:p>
        </w:tc>
        <w:tc>
          <w:tcPr/>
          <w:p>
            <w:pPr>
              <w:pStyle w:val="Compact"/>
              <w:spacing w:before="0" w:after="0" w:line="240" w:lineRule="auto"/>
              <w:ind w:firstLine="0" w:left="0"/>
            </w:pPr>
            <w:r>
              <w:rPr>
                <w:sz w:val="20"/>
                <w:szCs w:val="20"/>
              </w:rPr>
              <w:t xml:space="preserve">457</w:t>
            </w:r>
          </w:p>
        </w:tc>
      </w:tr>
      <w:tr>
        <w:tc>
          <w:tcPr/>
          <w:p>
            <w:pPr>
              <w:pStyle w:val="Compact"/>
              <w:spacing w:before="0" w:after="0" w:line="240" w:lineRule="auto"/>
              <w:ind w:firstLine="0" w:left="0"/>
            </w:pPr>
            <w:r>
              <w:rPr>
                <w:sz w:val="20"/>
                <w:szCs w:val="20"/>
              </w:rPr>
              <w:t xml:space="preserve">X Northern Mindanao</w:t>
            </w:r>
          </w:p>
        </w:tc>
        <w:tc>
          <w:tcPr/>
          <w:p>
            <w:pPr>
              <w:pStyle w:val="Compact"/>
              <w:spacing w:before="0" w:after="0" w:line="240" w:lineRule="auto"/>
              <w:ind w:firstLine="0" w:left="0"/>
            </w:pPr>
            <w:r>
              <w:rPr>
                <w:sz w:val="20"/>
                <w:szCs w:val="20"/>
              </w:rPr>
              <w:t xml:space="preserve">23.1</w:t>
            </w:r>
          </w:p>
        </w:tc>
        <w:tc>
          <w:tcPr/>
          <w:p>
            <w:pPr>
              <w:pStyle w:val="Compact"/>
              <w:spacing w:before="0" w:after="0" w:line="240" w:lineRule="auto"/>
              <w:ind w:firstLine="0" w:left="0"/>
            </w:pPr>
            <w:r>
              <w:rPr>
                <w:sz w:val="20"/>
                <w:szCs w:val="20"/>
              </w:rPr>
              <w:t xml:space="preserve">31.7</w:t>
            </w:r>
          </w:p>
        </w:tc>
        <w:tc>
          <w:tcPr/>
          <w:p>
            <w:pPr>
              <w:pStyle w:val="Compact"/>
              <w:spacing w:before="0" w:after="0" w:line="240" w:lineRule="auto"/>
              <w:ind w:firstLine="0" w:left="0"/>
            </w:pPr>
            <w:r>
              <w:rPr>
                <w:sz w:val="20"/>
                <w:szCs w:val="20"/>
              </w:rPr>
              <w:t xml:space="preserve">3.17 [2.28, 4.06]</w:t>
            </w:r>
          </w:p>
        </w:tc>
        <w:tc>
          <w:tcPr/>
          <w:p>
            <w:pPr>
              <w:pStyle w:val="Compact"/>
              <w:spacing w:before="0" w:after="0" w:line="240" w:lineRule="auto"/>
              <w:ind w:firstLine="0" w:left="0"/>
            </w:pPr>
            <w:r>
              <w:rPr>
                <w:sz w:val="20"/>
                <w:szCs w:val="20"/>
              </w:rPr>
              <w:t xml:space="preserve">5.30</w:t>
            </w:r>
          </w:p>
        </w:tc>
        <w:tc>
          <w:tcPr/>
          <w:p>
            <w:pPr>
              <w:pStyle w:val="Compact"/>
              <w:spacing w:before="0" w:after="0" w:line="240" w:lineRule="auto"/>
              <w:ind w:firstLine="0" w:left="0"/>
            </w:pPr>
            <w:r>
              <w:rPr>
                <w:sz w:val="20"/>
                <w:szCs w:val="20"/>
              </w:rPr>
              <w:t xml:space="preserve">474</w:t>
            </w:r>
          </w:p>
        </w:tc>
      </w:tr>
      <w:tr>
        <w:tc>
          <w:tcPr/>
          <w:p>
            <w:pPr>
              <w:pStyle w:val="Compact"/>
              <w:spacing w:before="0" w:after="0" w:line="240" w:lineRule="auto"/>
              <w:ind w:firstLine="0" w:left="0"/>
            </w:pPr>
            <w:r>
              <w:rPr>
                <w:sz w:val="20"/>
                <w:szCs w:val="20"/>
              </w:rPr>
              <w:t xml:space="preserve">XI Davao</w:t>
            </w:r>
          </w:p>
        </w:tc>
        <w:tc>
          <w:tcPr/>
          <w:p>
            <w:pPr>
              <w:pStyle w:val="Compact"/>
              <w:spacing w:before="0" w:after="0" w:line="240" w:lineRule="auto"/>
              <w:ind w:firstLine="0" w:left="0"/>
            </w:pPr>
            <w:r>
              <w:rPr>
                <w:sz w:val="20"/>
                <w:szCs w:val="20"/>
              </w:rPr>
              <w:t xml:space="preserve">19.1</w:t>
            </w:r>
          </w:p>
        </w:tc>
        <w:tc>
          <w:tcPr/>
          <w:p>
            <w:pPr>
              <w:pStyle w:val="Compact"/>
              <w:spacing w:before="0" w:after="0" w:line="240" w:lineRule="auto"/>
              <w:ind w:firstLine="0" w:left="0"/>
            </w:pPr>
            <w:r>
              <w:rPr>
                <w:sz w:val="20"/>
                <w:szCs w:val="20"/>
              </w:rPr>
              <w:t xml:space="preserve">29.3</w:t>
            </w:r>
          </w:p>
        </w:tc>
        <w:tc>
          <w:tcPr/>
          <w:p>
            <w:pPr>
              <w:pStyle w:val="Compact"/>
              <w:spacing w:before="0" w:after="0" w:line="240" w:lineRule="auto"/>
              <w:ind w:firstLine="0" w:left="0"/>
            </w:pPr>
            <w:r>
              <w:rPr>
                <w:sz w:val="20"/>
                <w:szCs w:val="20"/>
              </w:rPr>
              <w:t xml:space="preserve">2.97 [2.14, 3.79]</w:t>
            </w:r>
          </w:p>
        </w:tc>
        <w:tc>
          <w:tcPr/>
          <w:p>
            <w:pPr>
              <w:pStyle w:val="Compact"/>
              <w:spacing w:before="0" w:after="0" w:line="240" w:lineRule="auto"/>
              <w:ind w:firstLine="0" w:left="0"/>
            </w:pPr>
            <w:r>
              <w:rPr>
                <w:sz w:val="20"/>
                <w:szCs w:val="20"/>
              </w:rPr>
              <w:t xml:space="preserve">8.52</w:t>
            </w:r>
          </w:p>
        </w:tc>
        <w:tc>
          <w:tcPr/>
          <w:p>
            <w:pPr>
              <w:pStyle w:val="Compact"/>
              <w:spacing w:before="0" w:after="0" w:line="240" w:lineRule="auto"/>
              <w:ind w:firstLine="0" w:left="0"/>
            </w:pPr>
            <w:r>
              <w:rPr>
                <w:sz w:val="20"/>
                <w:szCs w:val="20"/>
              </w:rPr>
              <w:t xml:space="preserve">417</w:t>
            </w:r>
          </w:p>
        </w:tc>
      </w:tr>
      <w:tr>
        <w:tc>
          <w:tcPr/>
          <w:p>
            <w:pPr>
              <w:pStyle w:val="Compact"/>
              <w:spacing w:before="0" w:after="0" w:line="240" w:lineRule="auto"/>
              <w:ind w:firstLine="0" w:left="0"/>
            </w:pPr>
            <w:r>
              <w:rPr>
                <w:sz w:val="20"/>
                <w:szCs w:val="20"/>
              </w:rPr>
              <w:t xml:space="preserve">XII SOCCSKSARGEN†</w:t>
            </w:r>
          </w:p>
        </w:tc>
        <w:tc>
          <w:tcPr/>
          <w:p>
            <w:pPr>
              <w:pStyle w:val="Compact"/>
              <w:spacing w:before="0" w:after="0" w:line="240" w:lineRule="auto"/>
              <w:ind w:firstLine="0" w:left="0"/>
            </w:pPr>
            <w:r>
              <w:rPr>
                <w:sz w:val="20"/>
                <w:szCs w:val="20"/>
              </w:rPr>
              <w:t xml:space="preserve">27.3</w:t>
            </w:r>
          </w:p>
        </w:tc>
        <w:tc>
          <w:tcPr/>
          <w:p>
            <w:pPr>
              <w:pStyle w:val="Compact"/>
              <w:spacing w:before="0" w:after="0" w:line="240" w:lineRule="auto"/>
              <w:ind w:firstLine="0" w:left="0"/>
            </w:pPr>
            <w:r>
              <w:rPr>
                <w:sz w:val="20"/>
                <w:szCs w:val="20"/>
              </w:rPr>
              <w:t xml:space="preserve">29.6</w:t>
            </w:r>
          </w:p>
        </w:tc>
        <w:tc>
          <w:tcPr/>
          <w:p>
            <w:pPr>
              <w:pStyle w:val="Compact"/>
              <w:spacing w:before="0" w:after="0" w:line="240" w:lineRule="auto"/>
              <w:ind w:firstLine="0" w:left="0"/>
            </w:pPr>
            <w:r>
              <w:rPr>
                <w:sz w:val="20"/>
                <w:szCs w:val="20"/>
              </w:rPr>
              <w:t xml:space="preserve">3.00 [2.16, 3.84]</w:t>
            </w:r>
          </w:p>
        </w:tc>
        <w:tc>
          <w:tcPr/>
          <w:p>
            <w:pPr>
              <w:pStyle w:val="Compact"/>
              <w:spacing w:before="0" w:after="0" w:line="240" w:lineRule="auto"/>
              <w:ind w:firstLine="0" w:left="0"/>
            </w:pPr>
            <w:r>
              <w:rPr>
                <w:sz w:val="20"/>
                <w:szCs w:val="20"/>
              </w:rPr>
              <w:t xml:space="preserve">6.10</w:t>
            </w:r>
          </w:p>
        </w:tc>
        <w:tc>
          <w:tcPr/>
          <w:p>
            <w:pPr>
              <w:pStyle w:val="Compact"/>
              <w:spacing w:before="0" w:after="0" w:line="240" w:lineRule="auto"/>
              <w:ind w:firstLine="0" w:left="0"/>
            </w:pPr>
            <w:r>
              <w:rPr>
                <w:sz w:val="20"/>
                <w:szCs w:val="20"/>
              </w:rPr>
              <w:t xml:space="preserve">390</w:t>
            </w:r>
          </w:p>
        </w:tc>
      </w:tr>
      <w:tr>
        <w:tc>
          <w:tcPr/>
          <w:p>
            <w:pPr>
              <w:pStyle w:val="Compact"/>
              <w:spacing w:before="0" w:after="0" w:line="240" w:lineRule="auto"/>
              <w:ind w:firstLine="0" w:left="0"/>
            </w:pPr>
            <w:r>
              <w:rPr>
                <w:sz w:val="20"/>
                <w:szCs w:val="20"/>
              </w:rPr>
              <w:t xml:space="preserve">XIII Caraga</w:t>
            </w:r>
          </w:p>
        </w:tc>
        <w:tc>
          <w:tcPr/>
          <w:p>
            <w:pPr>
              <w:pStyle w:val="Compact"/>
              <w:spacing w:before="0" w:after="0" w:line="240" w:lineRule="auto"/>
              <w:ind w:firstLine="0" w:left="0"/>
            </w:pPr>
            <w:r>
              <w:rPr>
                <w:sz w:val="20"/>
                <w:szCs w:val="20"/>
              </w:rPr>
              <w:t xml:space="preserve">30.5</w:t>
            </w:r>
          </w:p>
        </w:tc>
        <w:tc>
          <w:tcPr/>
          <w:p>
            <w:pPr>
              <w:pStyle w:val="Compact"/>
              <w:spacing w:before="0" w:after="0" w:line="240" w:lineRule="auto"/>
              <w:ind w:firstLine="0" w:left="0"/>
            </w:pPr>
            <w:r>
              <w:rPr>
                <w:sz w:val="20"/>
                <w:szCs w:val="20"/>
              </w:rPr>
              <w:t xml:space="preserve">31.1</w:t>
            </w:r>
          </w:p>
        </w:tc>
        <w:tc>
          <w:tcPr/>
          <w:p>
            <w:pPr>
              <w:pStyle w:val="Compact"/>
              <w:spacing w:before="0" w:after="0" w:line="240" w:lineRule="auto"/>
              <w:ind w:firstLine="0" w:left="0"/>
            </w:pPr>
            <w:r>
              <w:rPr>
                <w:sz w:val="20"/>
                <w:szCs w:val="20"/>
              </w:rPr>
              <w:t xml:space="preserve">3.11 [2.25, 3.96]</w:t>
            </w:r>
          </w:p>
        </w:tc>
        <w:tc>
          <w:tcPr/>
          <w:p>
            <w:pPr>
              <w:pStyle w:val="Compact"/>
              <w:spacing w:before="0" w:after="0" w:line="240" w:lineRule="auto"/>
              <w:ind w:firstLine="0" w:left="0"/>
            </w:pPr>
            <w:r>
              <w:rPr>
                <w:sz w:val="20"/>
                <w:szCs w:val="20"/>
              </w:rPr>
              <w:t xml:space="preserve">7.10</w:t>
            </w:r>
          </w:p>
        </w:tc>
        <w:tc>
          <w:tcPr/>
          <w:p>
            <w:pPr>
              <w:pStyle w:val="Compact"/>
              <w:spacing w:before="0" w:after="0" w:line="240" w:lineRule="auto"/>
              <w:ind w:firstLine="0" w:left="0"/>
            </w:pPr>
            <w:r>
              <w:rPr>
                <w:sz w:val="20"/>
                <w:szCs w:val="20"/>
              </w:rPr>
              <w:t xml:space="preserve">409</w:t>
            </w:r>
          </w:p>
        </w:tc>
      </w:tr>
      <w:tr>
        <w:tc>
          <w:tcPr/>
          <w:p>
            <w:pPr>
              <w:pStyle w:val="Compact"/>
              <w:spacing w:before="0" w:after="0" w:line="240" w:lineRule="auto"/>
              <w:ind w:firstLine="0" w:left="0"/>
            </w:pPr>
            <w:r>
              <w:rPr>
                <w:sz w:val="20"/>
                <w:szCs w:val="20"/>
              </w:rPr>
              <w:t xml:space="preserve">BARMM†</w:t>
            </w:r>
          </w:p>
        </w:tc>
        <w:tc>
          <w:tcPr/>
          <w:p>
            <w:pPr>
              <w:pStyle w:val="Compact"/>
              <w:spacing w:before="0" w:after="0" w:line="240" w:lineRule="auto"/>
              <w:ind w:firstLine="0" w:left="0"/>
            </w:pPr>
            <w:r>
              <w:rPr>
                <w:sz w:val="20"/>
                <w:szCs w:val="20"/>
              </w:rPr>
              <w:t xml:space="preserve">60.4</w:t>
            </w:r>
          </w:p>
        </w:tc>
        <w:tc>
          <w:tcPr/>
          <w:p>
            <w:pPr>
              <w:pStyle w:val="Compact"/>
              <w:spacing w:before="0" w:after="0" w:line="240" w:lineRule="auto"/>
              <w:ind w:firstLine="0" w:left="0"/>
            </w:pPr>
            <w:r>
              <w:rPr>
                <w:sz w:val="20"/>
                <w:szCs w:val="20"/>
              </w:rPr>
              <w:t xml:space="preserve">33.5</w:t>
            </w:r>
          </w:p>
        </w:tc>
        <w:tc>
          <w:tcPr/>
          <w:p>
            <w:pPr>
              <w:pStyle w:val="Compact"/>
              <w:spacing w:before="0" w:after="0" w:line="240" w:lineRule="auto"/>
              <w:ind w:firstLine="0" w:left="0"/>
            </w:pPr>
            <w:r>
              <w:rPr>
                <w:sz w:val="20"/>
                <w:szCs w:val="20"/>
              </w:rPr>
              <w:t xml:space="preserve">3.30 [2.38, 4.21]</w:t>
            </w:r>
          </w:p>
        </w:tc>
        <w:tc>
          <w:tcPr/>
          <w:p>
            <w:pPr>
              <w:pStyle w:val="Compact"/>
              <w:spacing w:before="0" w:after="0" w:line="240" w:lineRule="auto"/>
              <w:ind w:firstLine="0" w:left="0"/>
            </w:pPr>
            <w:r>
              <w:rPr>
                <w:sz w:val="20"/>
                <w:szCs w:val="20"/>
              </w:rPr>
              <w:t xml:space="preserve">7.88</w:t>
            </w:r>
          </w:p>
        </w:tc>
        <w:tc>
          <w:tcPr/>
          <w:p>
            <w:pPr>
              <w:pStyle w:val="Compact"/>
              <w:spacing w:before="0" w:after="0" w:line="240" w:lineRule="auto"/>
              <w:ind w:firstLine="0" w:left="0"/>
            </w:pPr>
            <w:r>
              <w:rPr>
                <w:sz w:val="20"/>
                <w:szCs w:val="20"/>
              </w:rPr>
              <w:t xml:space="preserve">444</w:t>
            </w:r>
          </w:p>
        </w:tc>
      </w:tr>
      <w:tr>
        <w:tc>
          <w:tcPr/>
          <w:p>
            <w:pPr>
              <w:pStyle w:val="Compact"/>
              <w:spacing w:before="0" w:after="0" w:line="240" w:lineRule="auto"/>
              <w:ind w:firstLine="0" w:left="0"/>
            </w:pPr>
            <w:r>
              <w:rPr>
                <w:sz w:val="20"/>
                <w:szCs w:val="20"/>
              </w:rPr>
              <w:t xml:space="preserve">Philippines</w:t>
            </w:r>
          </w:p>
        </w:tc>
        <w:tc>
          <w:tcPr/>
          <w:p>
            <w:pPr>
              <w:pStyle w:val="Compact"/>
              <w:spacing w:before="0" w:after="0" w:line="240" w:lineRule="auto"/>
              <w:ind w:firstLine="0" w:left="0"/>
            </w:pPr>
            <w:r>
              <w:rPr>
                <w:sz w:val="20"/>
                <w:szCs w:val="20"/>
              </w:rPr>
              <w:t xml:space="preserve">16.7</w:t>
            </w:r>
          </w:p>
        </w:tc>
        <w:tc>
          <w:tcPr/>
          <w:p>
            <w:pPr>
              <w:pStyle w:val="Compact"/>
              <w:spacing w:before="0" w:after="0" w:line="240" w:lineRule="auto"/>
              <w:ind w:firstLine="0" w:left="0"/>
            </w:pPr>
            <w:r>
              <w:rPr>
                <w:sz w:val="20"/>
                <w:szCs w:val="20"/>
              </w:rPr>
              <w:t xml:space="preserve">32.5</w:t>
            </w:r>
          </w:p>
        </w:tc>
        <w:tc>
          <w:tcPr/>
          <w:p>
            <w:pPr>
              <w:pStyle w:val="Compact"/>
              <w:spacing w:before="0" w:after="0" w:line="240" w:lineRule="auto"/>
              <w:ind w:firstLine="0" w:left="0"/>
            </w:pPr>
            <w:r>
              <w:rPr>
                <w:sz w:val="20"/>
                <w:szCs w:val="20"/>
              </w:rPr>
              <w:t xml:space="preserve">3.13 [2.16, 4.10]</w:t>
            </w:r>
          </w:p>
        </w:tc>
        <w:tc>
          <w:tcPr/>
          <w:p>
            <w:pPr>
              <w:pStyle w:val="Compact"/>
              <w:spacing w:before="0" w:after="0" w:line="240" w:lineRule="auto"/>
              <w:ind w:firstLine="0" w:left="0"/>
            </w:pPr>
            <w:r>
              <w:rPr>
                <w:sz w:val="20"/>
                <w:szCs w:val="20"/>
              </w:rPr>
              <w:t xml:space="preserve">5.98</w:t>
            </w:r>
          </w:p>
        </w:tc>
        <w:tc>
          <w:tcPr/>
          <w:p>
            <w:pPr>
              <w:pStyle w:val="Compact"/>
              <w:spacing w:before="0" w:after="0" w:line="240" w:lineRule="auto"/>
              <w:ind w:firstLine="0" w:left="0"/>
            </w:pPr>
            <w:r>
              <w:rPr>
                <w:sz w:val="20"/>
                <w:szCs w:val="20"/>
              </w:rPr>
              <w:t xml:space="preserve">467</w:t>
            </w:r>
          </w:p>
        </w:tc>
      </w:tr>
    </w:tbl>
    <w:p>
      <w:pPr>
        <w:pStyle w:val="TableNote"/>
      </w:pPr>
      <w:r>
        <w:rPr>
          <w:i/>
          <w:iCs/>
        </w:rPr>
        <w:t xml:space="preserve">Notes:</w:t>
      </w:r>
      <w:r>
        <w:t xml:space="preserve"> </w:t>
      </w:r>
      <w:r>
        <w:t xml:space="preserve">100 × log points. Fuel-driven rise from panel responses estimated to December 2025 (national model for the Philippines); indicative range in brackets. Extra cost for a family of five at the official poverty line. †Boundary changed in 2024.</w:t>
      </w:r>
    </w:p>
    <w:p>
      <w:pPr>
        <w:pStyle w:val="BodyText"/>
      </w:pPr>
      <w:r>
        <w:t xml:space="preserve">Between December 2025 and August 2026 the bottom-30% CPI rose 6.16% and the all-income CPI 4.92%, a gap of +1.24 points (Figure 7). Rice and other cereals contributed +1.67: their prices rose 18.3% in the poor’s basket, where they weigh 19.6%, against 15.7% and 9.4% in the average basket. Fares added +0.15 and household fuels +0.13; private vehicle fuel (−0.38) and rent (−0.23) worked the other way. Historically, cereal prices barely respond to pump prices within a year (Table 7), so the 2026 rice increase likely reflects fertilizer and freight costs and import policy</w:t>
      </w:r>
      <w:r>
        <w:t xml:space="preserve"> </w:t>
      </w:r>
      <w:r>
        <w:t xml:space="preserve">(</w:t>
      </w:r>
      <w:hyperlink w:anchor="ref-usda_fas_2026">
        <w:r>
          <w:rPr>
            <w:rStyle w:val="Hyperlink"/>
          </w:rPr>
          <w:t xml:space="preserve">USDA Foreign Agricultural Service 2026</w:t>
        </w:r>
      </w:hyperlink>
      <w:r>
        <w:t xml:space="preserve">)</w:t>
      </w:r>
      <w:r>
        <w:t xml:space="preserve"> </w:t>
      </w:r>
      <w:r>
        <w:t xml:space="preserve">as much as fuel; the data cannot separate these. LPG responds equally in both baskets and has equal budget shares (1.27% and 1.33%); kerosene responds strongly but is 0.27% of the poor’s basket; charcoal and wood (4.02% of the poor’s basket) do not respond.</w:t>
      </w:r>
    </w:p>
    <w:p>
      <w:pPr>
        <w:pStyle w:val="CaptionedFigure"/>
      </w:pPr>
      <w:r>
        <w:drawing>
          <wp:inline>
            <wp:extent cx="5052060" cy="2360311"/>
            <wp:effectExtent b="0" l="0" r="0" t="0"/>
            <wp:docPr descr="Figure 7. Contribution of each item group to the difference between bottom-30% and all-income price changes, December 2025–August 2026." title="" id="48" name="Picture"/>
            <a:graphic>
              <a:graphicData uri="http://schemas.openxmlformats.org/drawingml/2006/picture">
                <pic:pic>
                  <pic:nvPicPr>
                    <pic:cNvPr descr="../output/figures/fig08_rq3_decomposition.png" id="49" name="Picture"/>
                    <pic:cNvPicPr>
                      <a:picLocks noChangeArrowheads="1" noChangeAspect="1"/>
                    </pic:cNvPicPr>
                  </pic:nvPicPr>
                  <pic:blipFill>
                    <a:blip r:embed="rId47"/>
                    <a:stretch>
                      <a:fillRect/>
                    </a:stretch>
                  </pic:blipFill>
                  <pic:spPr bwMode="auto">
                    <a:xfrm>
                      <a:off x="0" y="0"/>
                      <a:ext cx="5052060" cy="2360311"/>
                    </a:xfrm>
                    <a:prstGeom prst="rect">
                      <a:avLst/>
                    </a:prstGeom>
                    <a:noFill/>
                    <a:ln w="9525">
                      <a:noFill/>
                      <a:headEnd/>
                      <a:tailEnd/>
                    </a:ln>
                  </pic:spPr>
                </pic:pic>
              </a:graphicData>
            </a:graphic>
          </wp:inline>
        </w:drawing>
      </w:r>
    </w:p>
    <w:p>
      <w:pPr>
        <w:pStyle w:val="ImageCaption"/>
      </w:pPr>
      <w:r>
        <w:t xml:space="preserve">Figure 7. Contribution of each item group to the difference between bottom-30% and all-income price changes, December 2025–August 2026.</w:t>
      </w:r>
    </w:p>
    <w:p>
      <w:pPr>
        <w:pStyle w:val="TableCaption"/>
      </w:pPr>
      <w:r>
        <w:t xml:space="preserve">Table 7. Household fuels, fares and cereals: budget shares and responses after 12 months, 2013–2026</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Caption w:val="Table 7. Household fuels, fares and cereals: budget shares and responses after 12 months, 2013–2026"/>
      </w:tblPr>
      <w:tblGrid>
        <w:gridCol w:w="1584"/>
        <w:gridCol w:w="1584"/>
        <w:gridCol w:w="1584"/>
        <w:gridCol w:w="1584"/>
        <w:gridCol w:w="1584"/>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Item</w:t>
            </w:r>
          </w:p>
        </w:tc>
        <w:tc>
          <w:tcPr>
            <w:tcBorders>
              <w:bottom w:val="single" w:sz="6" w:space="0" w:color="000000"/>
            </w:tcBorders>
          </w:tcPr>
          <w:p>
            <w:pPr>
              <w:pStyle w:val="Compact"/>
              <w:spacing w:before="0" w:after="0" w:line="240" w:lineRule="auto"/>
              <w:ind w:firstLine="0" w:left="0"/>
            </w:pPr>
            <w:r>
              <w:rPr>
                <w:sz w:val="20"/>
                <w:szCs w:val="20"/>
              </w:rPr>
              <w:t xml:space="preserve">Weight, all (%)</w:t>
            </w:r>
          </w:p>
        </w:tc>
        <w:tc>
          <w:tcPr>
            <w:tcBorders>
              <w:bottom w:val="single" w:sz="6" w:space="0" w:color="000000"/>
            </w:tcBorders>
          </w:tcPr>
          <w:p>
            <w:pPr>
              <w:pStyle w:val="Compact"/>
              <w:spacing w:before="0" w:after="0" w:line="240" w:lineRule="auto"/>
              <w:ind w:firstLine="0" w:left="0"/>
            </w:pPr>
            <w:r>
              <w:rPr>
                <w:sz w:val="20"/>
                <w:szCs w:val="20"/>
              </w:rPr>
              <w:t xml:space="preserve">Weight, bottom 30% (%)</w:t>
            </w:r>
          </w:p>
        </w:tc>
        <w:tc>
          <w:tcPr>
            <w:tcBorders>
              <w:bottom w:val="single" w:sz="6" w:space="0" w:color="000000"/>
            </w:tcBorders>
          </w:tcPr>
          <w:p>
            <w:pPr>
              <w:pStyle w:val="Compact"/>
              <w:spacing w:before="0" w:after="0" w:line="240" w:lineRule="auto"/>
              <w:ind w:firstLine="0" w:left="0"/>
            </w:pPr>
            <w:r>
              <w:rPr>
                <w:sz w:val="20"/>
                <w:szCs w:val="20"/>
              </w:rPr>
              <w:t xml:space="preserve">Response, all-income index</w:t>
            </w:r>
          </w:p>
        </w:tc>
        <w:tc>
          <w:tcPr>
            <w:tcBorders>
              <w:bottom w:val="single" w:sz="6" w:space="0" w:color="000000"/>
            </w:tcBorders>
          </w:tcPr>
          <w:p>
            <w:pPr>
              <w:pStyle w:val="Compact"/>
              <w:spacing w:before="0" w:after="0" w:line="240" w:lineRule="auto"/>
              <w:ind w:firstLine="0" w:left="0"/>
            </w:pPr>
            <w:r>
              <w:rPr>
                <w:sz w:val="20"/>
                <w:szCs w:val="20"/>
              </w:rPr>
              <w:t xml:space="preserve">Response, bottom-30% index</w:t>
            </w:r>
          </w:p>
        </w:tc>
      </w:tr>
      <w:tr>
        <w:tc>
          <w:tcPr/>
          <w:p>
            <w:pPr>
              <w:pStyle w:val="Compact"/>
              <w:spacing w:before="0" w:after="0" w:line="240" w:lineRule="auto"/>
              <w:ind w:firstLine="0" w:left="0"/>
            </w:pPr>
            <w:r>
              <w:rPr>
                <w:sz w:val="20"/>
                <w:szCs w:val="20"/>
              </w:rPr>
              <w:t xml:space="preserve">04.5.2 Gas (LPG)</w:t>
            </w:r>
          </w:p>
        </w:tc>
        <w:tc>
          <w:tcPr/>
          <w:p>
            <w:pPr>
              <w:pStyle w:val="Compact"/>
              <w:spacing w:before="0" w:after="0" w:line="240" w:lineRule="auto"/>
              <w:ind w:firstLine="0" w:left="0"/>
            </w:pPr>
            <w:r>
              <w:rPr>
                <w:sz w:val="20"/>
                <w:szCs w:val="20"/>
              </w:rPr>
              <w:t xml:space="preserve">1.27</w:t>
            </w:r>
          </w:p>
        </w:tc>
        <w:tc>
          <w:tcPr/>
          <w:p>
            <w:pPr>
              <w:pStyle w:val="Compact"/>
              <w:spacing w:before="0" w:after="0" w:line="240" w:lineRule="auto"/>
              <w:ind w:firstLine="0" w:left="0"/>
            </w:pPr>
            <w:r>
              <w:rPr>
                <w:sz w:val="20"/>
                <w:szCs w:val="20"/>
              </w:rPr>
              <w:t xml:space="preserve">1.33</w:t>
            </w:r>
          </w:p>
        </w:tc>
        <w:tc>
          <w:tcPr/>
          <w:p>
            <w:pPr>
              <w:pStyle w:val="Compact"/>
              <w:spacing w:before="0" w:after="0" w:line="240" w:lineRule="auto"/>
              <w:ind w:firstLine="0" w:left="0"/>
            </w:pPr>
            <w:r>
              <w:rPr>
                <w:sz w:val="20"/>
                <w:szCs w:val="20"/>
              </w:rPr>
              <w:t xml:space="preserve">0.730*** (0.152)</w:t>
            </w:r>
          </w:p>
        </w:tc>
        <w:tc>
          <w:tcPr/>
          <w:p>
            <w:pPr>
              <w:pStyle w:val="Compact"/>
              <w:spacing w:before="0" w:after="0" w:line="240" w:lineRule="auto"/>
              <w:ind w:firstLine="0" w:left="0"/>
            </w:pPr>
            <w:r>
              <w:rPr>
                <w:sz w:val="20"/>
                <w:szCs w:val="20"/>
              </w:rPr>
              <w:t xml:space="preserve">0.722*** (0.148)</w:t>
            </w:r>
          </w:p>
        </w:tc>
      </w:tr>
      <w:tr>
        <w:tc>
          <w:tcPr/>
          <w:p>
            <w:pPr>
              <w:pStyle w:val="Compact"/>
              <w:spacing w:before="0" w:after="0" w:line="240" w:lineRule="auto"/>
              <w:ind w:firstLine="0" w:left="0"/>
            </w:pPr>
            <w:r>
              <w:rPr>
                <w:sz w:val="20"/>
                <w:szCs w:val="20"/>
              </w:rPr>
              <w:t xml:space="preserve">04.5.3 Liquid fuels (kerosene)</w:t>
            </w:r>
          </w:p>
        </w:tc>
        <w:tc>
          <w:tcPr/>
          <w:p>
            <w:pPr>
              <w:pStyle w:val="Compact"/>
              <w:spacing w:before="0" w:after="0" w:line="240" w:lineRule="auto"/>
              <w:ind w:firstLine="0" w:left="0"/>
            </w:pPr>
            <w:r>
              <w:rPr>
                <w:sz w:val="20"/>
                <w:szCs w:val="20"/>
              </w:rPr>
              <w:t xml:space="preserve">0.04</w:t>
            </w:r>
          </w:p>
        </w:tc>
        <w:tc>
          <w:tcPr/>
          <w:p>
            <w:pPr>
              <w:pStyle w:val="Compact"/>
              <w:spacing w:before="0" w:after="0" w:line="240" w:lineRule="auto"/>
              <w:ind w:firstLine="0" w:left="0"/>
            </w:pPr>
            <w:r>
              <w:rPr>
                <w:sz w:val="20"/>
                <w:szCs w:val="20"/>
              </w:rPr>
              <w:t xml:space="preserve">0.27</w:t>
            </w:r>
          </w:p>
        </w:tc>
        <w:tc>
          <w:tcPr/>
          <w:p>
            <w:pPr>
              <w:pStyle w:val="Compact"/>
              <w:spacing w:before="0" w:after="0" w:line="240" w:lineRule="auto"/>
              <w:ind w:firstLine="0" w:left="0"/>
            </w:pPr>
            <w:r>
              <w:rPr>
                <w:sz w:val="20"/>
                <w:szCs w:val="20"/>
              </w:rPr>
              <w:t xml:space="preserve">1.152*** (0.114)</w:t>
            </w:r>
          </w:p>
        </w:tc>
        <w:tc>
          <w:tcPr/>
          <w:p>
            <w:pPr>
              <w:pStyle w:val="Compact"/>
              <w:spacing w:before="0" w:after="0" w:line="240" w:lineRule="auto"/>
              <w:ind w:firstLine="0" w:left="0"/>
            </w:pPr>
            <w:r>
              <w:rPr>
                <w:sz w:val="20"/>
                <w:szCs w:val="20"/>
              </w:rPr>
              <w:t xml:space="preserve">1.111*** (0.107)</w:t>
            </w:r>
          </w:p>
        </w:tc>
      </w:tr>
      <w:tr>
        <w:tc>
          <w:tcPr/>
          <w:p>
            <w:pPr>
              <w:pStyle w:val="Compact"/>
              <w:spacing w:before="0" w:after="0" w:line="240" w:lineRule="auto"/>
              <w:ind w:firstLine="0" w:left="0"/>
            </w:pPr>
            <w:r>
              <w:rPr>
                <w:sz w:val="20"/>
                <w:szCs w:val="20"/>
              </w:rPr>
              <w:t xml:space="preserve">04.5.4 Solid fuels (charcoal, wood)</w:t>
            </w:r>
          </w:p>
        </w:tc>
        <w:tc>
          <w:tcPr/>
          <w:p>
            <w:pPr>
              <w:pStyle w:val="Compact"/>
              <w:spacing w:before="0" w:after="0" w:line="240" w:lineRule="auto"/>
              <w:ind w:firstLine="0" w:left="0"/>
            </w:pPr>
            <w:r>
              <w:rPr>
                <w:sz w:val="20"/>
                <w:szCs w:val="20"/>
              </w:rPr>
              <w:t xml:space="preserve">0.87</w:t>
            </w:r>
          </w:p>
        </w:tc>
        <w:tc>
          <w:tcPr/>
          <w:p>
            <w:pPr>
              <w:pStyle w:val="Compact"/>
              <w:spacing w:before="0" w:after="0" w:line="240" w:lineRule="auto"/>
              <w:ind w:firstLine="0" w:left="0"/>
            </w:pPr>
            <w:r>
              <w:rPr>
                <w:sz w:val="20"/>
                <w:szCs w:val="20"/>
              </w:rPr>
              <w:t xml:space="preserve">4.02</w:t>
            </w:r>
          </w:p>
        </w:tc>
        <w:tc>
          <w:tcPr/>
          <w:p>
            <w:pPr>
              <w:pStyle w:val="Compact"/>
              <w:spacing w:before="0" w:after="0" w:line="240" w:lineRule="auto"/>
              <w:ind w:firstLine="0" w:left="0"/>
            </w:pPr>
            <w:r>
              <w:rPr>
                <w:sz w:val="20"/>
                <w:szCs w:val="20"/>
              </w:rPr>
              <w:t xml:space="preserve">0.013 (0.026)</w:t>
            </w:r>
          </w:p>
        </w:tc>
        <w:tc>
          <w:tcPr/>
          <w:p>
            <w:pPr>
              <w:pStyle w:val="Compact"/>
              <w:spacing w:before="0" w:after="0" w:line="240" w:lineRule="auto"/>
              <w:ind w:firstLine="0" w:left="0"/>
            </w:pPr>
            <w:r>
              <w:rPr>
                <w:sz w:val="20"/>
                <w:szCs w:val="20"/>
              </w:rPr>
              <w:t xml:space="preserve">0.038 (0.024)</w:t>
            </w:r>
          </w:p>
        </w:tc>
      </w:tr>
      <w:tr>
        <w:tc>
          <w:tcPr/>
          <w:p>
            <w:pPr>
              <w:pStyle w:val="Compact"/>
              <w:spacing w:before="0" w:after="0" w:line="240" w:lineRule="auto"/>
              <w:ind w:firstLine="0" w:left="0"/>
            </w:pPr>
            <w:r>
              <w:rPr>
                <w:sz w:val="20"/>
                <w:szCs w:val="20"/>
              </w:rPr>
              <w:t xml:space="preserve">07.3 Passenger transport (fares)</w:t>
            </w:r>
          </w:p>
        </w:tc>
        <w:tc>
          <w:tcPr/>
          <w:p>
            <w:pPr>
              <w:pStyle w:val="Compact"/>
              <w:spacing w:before="0" w:after="0" w:line="240" w:lineRule="auto"/>
              <w:ind w:firstLine="0" w:left="0"/>
            </w:pPr>
            <w:r>
              <w:rPr>
                <w:sz w:val="20"/>
                <w:szCs w:val="20"/>
              </w:rPr>
              <w:t xml:space="preserve">4.54</w:t>
            </w:r>
          </w:p>
        </w:tc>
        <w:tc>
          <w:tcPr/>
          <w:p>
            <w:pPr>
              <w:pStyle w:val="Compact"/>
              <w:spacing w:before="0" w:after="0" w:line="240" w:lineRule="auto"/>
              <w:ind w:firstLine="0" w:left="0"/>
            </w:pPr>
            <w:r>
              <w:rPr>
                <w:sz w:val="20"/>
                <w:szCs w:val="20"/>
              </w:rPr>
              <w:t xml:space="preserve">3.72</w:t>
            </w:r>
          </w:p>
        </w:tc>
        <w:tc>
          <w:tcPr/>
          <w:p>
            <w:pPr>
              <w:pStyle w:val="Compact"/>
              <w:spacing w:before="0" w:after="0" w:line="240" w:lineRule="auto"/>
              <w:ind w:firstLine="0" w:left="0"/>
            </w:pPr>
            <w:r>
              <w:rPr>
                <w:sz w:val="20"/>
                <w:szCs w:val="20"/>
              </w:rPr>
              <w:t xml:space="preserve">0.071 (0.079)</w:t>
            </w:r>
          </w:p>
        </w:tc>
        <w:tc>
          <w:tcPr/>
          <w:p>
            <w:pPr>
              <w:pStyle w:val="Compact"/>
              <w:spacing w:before="0" w:after="0" w:line="240" w:lineRule="auto"/>
              <w:ind w:firstLine="0" w:left="0"/>
            </w:pPr>
            <w:r>
              <w:rPr>
                <w:sz w:val="20"/>
                <w:szCs w:val="20"/>
              </w:rPr>
              <w:t xml:space="preserve">0.010 (0.101)</w:t>
            </w:r>
          </w:p>
        </w:tc>
      </w:tr>
      <w:tr>
        <w:tc>
          <w:tcPr/>
          <w:p>
            <w:pPr>
              <w:pStyle w:val="Compact"/>
              <w:spacing w:before="0" w:after="0" w:line="240" w:lineRule="auto"/>
              <w:ind w:firstLine="0" w:left="0"/>
            </w:pPr>
            <w:r>
              <w:rPr>
                <w:sz w:val="20"/>
                <w:szCs w:val="20"/>
              </w:rPr>
              <w:t xml:space="preserve">01.1.1 Cereals and cereal products</w:t>
            </w:r>
          </w:p>
        </w:tc>
        <w:tc>
          <w:tcPr/>
          <w:p>
            <w:pPr>
              <w:pStyle w:val="Compact"/>
              <w:spacing w:before="0" w:after="0" w:line="240" w:lineRule="auto"/>
              <w:ind w:firstLine="0" w:left="0"/>
            </w:pPr>
            <w:r>
              <w:rPr>
                <w:sz w:val="20"/>
                <w:szCs w:val="20"/>
              </w:rPr>
              <w:t xml:space="preserve">12.32</w:t>
            </w:r>
          </w:p>
        </w:tc>
        <w:tc>
          <w:tcPr/>
          <w:p>
            <w:pPr>
              <w:pStyle w:val="Compact"/>
              <w:spacing w:before="0" w:after="0" w:line="240" w:lineRule="auto"/>
              <w:ind w:firstLine="0" w:left="0"/>
            </w:pPr>
            <w:r>
              <w:rPr>
                <w:sz w:val="20"/>
                <w:szCs w:val="20"/>
              </w:rPr>
              <w:t xml:space="preserve">23.64</w:t>
            </w:r>
          </w:p>
        </w:tc>
        <w:tc>
          <w:tcPr/>
          <w:p>
            <w:pPr>
              <w:pStyle w:val="Compact"/>
              <w:spacing w:before="0" w:after="0" w:line="240" w:lineRule="auto"/>
              <w:ind w:firstLine="0" w:left="0"/>
            </w:pPr>
            <w:r>
              <w:rPr>
                <w:sz w:val="20"/>
                <w:szCs w:val="20"/>
              </w:rPr>
              <w:t xml:space="preserve">0.019 (0.084)</w:t>
            </w:r>
          </w:p>
        </w:tc>
        <w:tc>
          <w:tcPr/>
          <w:p>
            <w:pPr>
              <w:pStyle w:val="Compact"/>
              <w:spacing w:before="0" w:after="0" w:line="240" w:lineRule="auto"/>
              <w:ind w:firstLine="0" w:left="0"/>
            </w:pPr>
            <w:r>
              <w:rPr>
                <w:sz w:val="20"/>
                <w:szCs w:val="20"/>
              </w:rPr>
              <w:t xml:space="preserve">0.012 (0.101)</w:t>
            </w:r>
          </w:p>
        </w:tc>
      </w:tr>
    </w:tbl>
    <w:p>
      <w:pPr>
        <w:pStyle w:val="TableNote"/>
      </w:pPr>
      <w:r>
        <w:rPr>
          <w:i/>
          <w:iCs/>
        </w:rPr>
        <w:t xml:space="preserve">Notes:</w:t>
      </w:r>
      <w:r>
        <w:t xml:space="preserve"> </w:t>
      </w:r>
      <w:r>
        <w:t xml:space="preserve">Cumulative response per 1% fuel price increase, national, Newey–West standard errors in parentheses. *</w:t>
      </w:r>
      <w:r>
        <w:t xml:space="preserve"> </w:t>
      </w:r>
      <w:r>
        <w:rPr>
          <w:i/>
          <w:iCs/>
        </w:rPr>
        <w:t xml:space="preserve">p</w:t>
      </w:r>
      <w:r>
        <w:t xml:space="preserve"> </w:t>
      </w:r>
      <w:r>
        <w:t xml:space="preserve">&lt; 0.10, **</w:t>
      </w:r>
      <w:r>
        <w:t xml:space="preserve"> </w:t>
      </w:r>
      <w:r>
        <w:rPr>
          <w:i/>
          <w:iCs/>
        </w:rPr>
        <w:t xml:space="preserve">p</w:t>
      </w:r>
      <w:r>
        <w:t xml:space="preserve"> </w:t>
      </w:r>
      <w:r>
        <w:t xml:space="preserve">&lt; 0.05, ***</w:t>
      </w:r>
      <w:r>
        <w:t xml:space="preserve"> </w:t>
      </w:r>
      <w:r>
        <w:rPr>
          <w:i/>
          <w:iCs/>
        </w:rPr>
        <w:t xml:space="preserve">p</w:t>
      </w:r>
      <w:r>
        <w:t xml:space="preserve"> </w:t>
      </w:r>
      <w:r>
        <w:t xml:space="preserve">&lt; 0.01.</w:t>
      </w:r>
    </w:p>
    <w:bookmarkEnd w:id="50"/>
    <w:bookmarkEnd w:id="51"/>
    <w:bookmarkStart w:id="52" w:name="discussion-and-policy-implications"/>
    <w:p>
      <w:pPr>
        <w:pStyle w:val="Heading1"/>
      </w:pPr>
      <w:r>
        <w:t xml:space="preserve">5. Discussion and policy implications</w:t>
      </w:r>
    </w:p>
    <w:p>
      <w:pPr>
        <w:pStyle w:val="FirstParagraph"/>
      </w:pPr>
      <w:r>
        <w:t xml:space="preserve">The cross-country finding that fuel shocks are progressive does not carry over to the Philippines. The reason is instructive: the poor’s budget shares would make the shock progressive, but the prices they pay within food, utilities and fares rise more. Studies that rebuild income-group indices from survey budget shares with common prices cannot see this channel, so they may overstate how progressive fuel shocks are wherever the poor buy different items within categories.</w:t>
      </w:r>
    </w:p>
    <w:p>
      <w:pPr>
        <w:pStyle w:val="BodyText"/>
      </w:pPr>
      <w:r>
        <w:t xml:space="preserve">For policy, three implications follow. First, fuel tax relief is poorly targeted, but not because the poor are spared. Relief on gasoline and diesel, which RA 12316 allows but the government did not use in 2026, would mainly benefit households that own vehicles; motor fuel is 2.39% of the average basket and 1.59% of the poor’s. Relief on LPG is neutral between groups, and kerosene relief, though well aimed, is small: about PHP 37 per 11-kg LPG tank is roughly 8% of the fuel-driven monthly cost for a poverty-line family. Second, the channels that matter for the poor, food, especially rice, and fares, are reached by rice supply measures and fare policy, and by transport subsidies only if they are tied to fare restraint. Third, transfers can be sized and allocated by region with the bottom-30% CPI: on the 2026 evidence, PHP 467–907 a month for a poverty-line family of five, kept for at least a year because prices do not fall when fuel eases. For monetary policy, retail fuel prices, not crude prices, measure the inflationary impulse, which builds over at least a year.</w:t>
      </w:r>
    </w:p>
    <w:p>
      <w:pPr>
        <w:pStyle w:val="BodyText"/>
      </w:pPr>
      <w:r>
        <w:t xml:space="preserve">The study has limitations. Retail fuel prices may partly respond to domestic conditions; crude oil gives the same sign, but a pure oil supply shock</w:t>
      </w:r>
      <w:r>
        <w:t xml:space="preserve"> </w:t>
      </w:r>
      <w:r>
        <w:t xml:space="preserve">(</w:t>
      </w:r>
      <w:hyperlink w:anchor="ref-kilian_2009">
        <w:r>
          <w:rPr>
            <w:rStyle w:val="Hyperlink"/>
          </w:rPr>
          <w:t xml:space="preserve">Kilian 2009</w:t>
        </w:r>
      </w:hyperlink>
      <w:r>
        <w:t xml:space="preserve">;</w:t>
      </w:r>
      <w:r>
        <w:t xml:space="preserve"> </w:t>
      </w:r>
      <w:hyperlink w:anchor="ref-baumeister_hamilton_2019">
        <w:r>
          <w:rPr>
            <w:rStyle w:val="Hyperlink"/>
          </w:rPr>
          <w:t xml:space="preserve">Baumeister and Hamilton 2019</w:t>
        </w:r>
      </w:hyperlink>
      <w:r>
        <w:t xml:space="preserve">;</w:t>
      </w:r>
      <w:r>
        <w:t xml:space="preserve"> </w:t>
      </w:r>
      <w:hyperlink w:anchor="ref-kanzig_2021">
        <w:r>
          <w:rPr>
            <w:rStyle w:val="Hyperlink"/>
          </w:rPr>
          <w:t xml:space="preserve">Känzig 2021</w:t>
        </w:r>
      </w:hyperlink>
      <w:r>
        <w:t xml:space="preserve">)</w:t>
      </w:r>
      <w:r>
        <w:t xml:space="preserve"> </w:t>
      </w:r>
      <w:r>
        <w:t xml:space="preserve">would strengthen the causal reading. The comparison is between the bottom 30% and all households, which understates rich–poor differences. Pre-2018 bottom-30% series are back-calculated. The regressive effect is concentrated in 2001–2012 and sensitive to macroeconomic controls. The 2026 analysis covers eight months, and its decomposition is descriptive. Price indices ignore substitution and income effects.</w:t>
      </w:r>
    </w:p>
    <w:bookmarkEnd w:id="52"/>
    <w:bookmarkStart w:id="53" w:name="conclusion"/>
    <w:p>
      <w:pPr>
        <w:pStyle w:val="Heading1"/>
      </w:pPr>
      <w:r>
        <w:t xml:space="preserve">6. Conclusion</w:t>
      </w:r>
    </w:p>
    <w:p>
      <w:pPr>
        <w:pStyle w:val="FirstParagraph"/>
      </w:pPr>
      <w:r>
        <w:t xml:space="preserve">Fuel price shocks pass through quickly and lastingly to Philippine consumer prices, and their burden falls at least as heavily on poor households as on others, contrary to the cross-country evidence. The 2026 shock confirmed this pattern and added a large rice-price channel. Protecting the poor from oil shocks therefore calls for transfers sized to their own price index, attention to rice and fares, and restraint in broad fuel tax relief.</w:t>
      </w:r>
    </w:p>
    <w:bookmarkEnd w:id="53"/>
    <w:bookmarkStart w:id="54" w:name="declarations"/>
    <w:p>
      <w:pPr>
        <w:pStyle w:val="Heading1"/>
      </w:pPr>
      <w:r>
        <w:t xml:space="preserve">Declarations</w:t>
      </w:r>
    </w:p>
    <w:p>
      <w:pPr>
        <w:pStyle w:val="FirstParagraph"/>
      </w:pPr>
      <w:r>
        <w:rPr>
          <w:b/>
          <w:bCs/>
        </w:rPr>
        <w:t xml:space="preserve">Data and code availability.</w:t>
      </w:r>
      <w:r>
        <w:t xml:space="preserve"> </w:t>
      </w:r>
      <w:r>
        <w:t xml:space="preserve">All data are public. The replication package (raw files with a source log, cleaned data in CSV, full code in Python and Stata 17, and a codebook) reproduces every number, table and figure; the online appendix lists every source with its link.</w:t>
      </w:r>
    </w:p>
    <w:p>
      <w:pPr>
        <w:pStyle w:val="BodyText"/>
      </w:pPr>
      <w:r>
        <w:rPr>
          <w:b/>
          <w:bCs/>
        </w:rPr>
        <w:t xml:space="preserve">Funding.</w:t>
      </w:r>
      <w:r>
        <w:t xml:space="preserve"> </w:t>
      </w:r>
      <w:r>
        <w:t xml:space="preserve">[To be completed.]</w:t>
      </w:r>
      <w:r>
        <w:t xml:space="preserve"> </w:t>
      </w:r>
      <w:r>
        <w:rPr>
          <w:b/>
          <w:bCs/>
        </w:rPr>
        <w:t xml:space="preserve">Conflict of interest.</w:t>
      </w:r>
      <w:r>
        <w:t xml:space="preserve"> </w:t>
      </w:r>
      <w:r>
        <w:t xml:space="preserve">[To be completed.]</w:t>
      </w:r>
      <w:r>
        <w:t xml:space="preserve"> </w:t>
      </w:r>
      <w:r>
        <w:rPr>
          <w:b/>
          <w:bCs/>
        </w:rPr>
        <w:t xml:space="preserve">Acknowledgements.</w:t>
      </w:r>
      <w:r>
        <w:t xml:space="preserve"> </w:t>
      </w:r>
      <w:r>
        <w:t xml:space="preserve">[To be completed.]</w:t>
      </w:r>
    </w:p>
    <w:bookmarkEnd w:id="54"/>
    <w:bookmarkStart w:id="102" w:name="references"/>
    <w:p>
      <w:pPr>
        <w:pStyle w:val="Heading1"/>
      </w:pPr>
      <w:r>
        <w:t xml:space="preserve">References</w:t>
      </w:r>
    </w:p>
    <w:bookmarkStart w:id="101" w:name="refs"/>
    <w:bookmarkStart w:id="56" w:name="ref-allon_pineda_etal_2026"/>
    <w:p>
      <w:pPr>
        <w:pStyle w:val="Bibliography"/>
      </w:pPr>
      <w:r>
        <w:t xml:space="preserve">Allon-Pineda, Joan Christine S., Jan Christopher G. Ocampo, and Eduard Renzo D. Santos. 2026.</w:t>
      </w:r>
      <w:r>
        <w:t xml:space="preserve"> </w:t>
      </w:r>
      <w:r>
        <w:t xml:space="preserve">“Second-Round Effects and Asymmetry in Oil and Food Price Shocks to Inflation.”</w:t>
      </w:r>
      <w:r>
        <w:t xml:space="preserve"> </w:t>
      </w:r>
      <w:r>
        <w:rPr>
          <w:i/>
          <w:iCs/>
        </w:rPr>
        <w:t xml:space="preserve">Latin American Journal of Central Banking</w:t>
      </w:r>
      <w:r>
        <w:t xml:space="preserve"> </w:t>
      </w:r>
      <w:r>
        <w:t xml:space="preserve">7 (3): 100180.</w:t>
      </w:r>
      <w:r>
        <w:t xml:space="preserve"> </w:t>
      </w:r>
      <w:hyperlink r:id="rId55">
        <w:r>
          <w:rPr>
            <w:rStyle w:val="Hyperlink"/>
          </w:rPr>
          <w:t xml:space="preserve">https://doi.org/10.1016/j.latcb.2025.100180</w:t>
        </w:r>
      </w:hyperlink>
      <w:r>
        <w:t xml:space="preserve">.</w:t>
      </w:r>
    </w:p>
    <w:bookmarkEnd w:id="56"/>
    <w:bookmarkStart w:id="58" w:name="ref-baumeister_hamilton_2019"/>
    <w:p>
      <w:pPr>
        <w:pStyle w:val="Bibliography"/>
      </w:pPr>
      <w:r>
        <w:t xml:space="preserve">Baumeister, Christiane, and James D. Hamilton. 2019.</w:t>
      </w:r>
      <w:r>
        <w:t xml:space="preserve"> </w:t>
      </w:r>
      <w:r>
        <w:t xml:space="preserve">“Structural Interpretation of Vector Autoregressions with Incomplete Identification: Revisiting the Role of Oil Supply and Demand Shocks.”</w:t>
      </w:r>
      <w:r>
        <w:t xml:space="preserve"> </w:t>
      </w:r>
      <w:r>
        <w:rPr>
          <w:i/>
          <w:iCs/>
        </w:rPr>
        <w:t xml:space="preserve">American Economic Review</w:t>
      </w:r>
      <w:r>
        <w:t xml:space="preserve"> </w:t>
      </w:r>
      <w:r>
        <w:t xml:space="preserve">109 (5): 1873–910.</w:t>
      </w:r>
      <w:r>
        <w:t xml:space="preserve"> </w:t>
      </w:r>
      <w:hyperlink r:id="rId57">
        <w:r>
          <w:rPr>
            <w:rStyle w:val="Hyperlink"/>
          </w:rPr>
          <w:t xml:space="preserve">https://doi.org/10.1257/aer.20151569</w:t>
        </w:r>
      </w:hyperlink>
      <w:r>
        <w:t xml:space="preserve">.</w:t>
      </w:r>
    </w:p>
    <w:bookmarkEnd w:id="58"/>
    <w:bookmarkStart w:id="59" w:name="ref-blanchard_gali_2010"/>
    <w:p>
      <w:pPr>
        <w:pStyle w:val="Bibliography"/>
      </w:pPr>
      <w:r>
        <w:t xml:space="preserve">Blanchard, Olivier J., and Jordi Galí. 2010.</w:t>
      </w:r>
      <w:r>
        <w:t xml:space="preserve"> </w:t>
      </w:r>
      <w:r>
        <w:t xml:space="preserve">“The Macroeconomic Effects of Oil Price Shocks: Why Are the 2000s so Different from the 1970s?”</w:t>
      </w:r>
      <w:r>
        <w:t xml:space="preserve"> In</w:t>
      </w:r>
      <w:r>
        <w:t xml:space="preserve"> </w:t>
      </w:r>
      <w:r>
        <w:rPr>
          <w:i/>
          <w:iCs/>
        </w:rPr>
        <w:t xml:space="preserve">International Dimensions of Monetary Policy</w:t>
      </w:r>
      <w:r>
        <w:t xml:space="preserve">, edited by Jordi Galí and Mark J. Gertler. University of Chicago Press.</w:t>
      </w:r>
    </w:p>
    <w:bookmarkEnd w:id="59"/>
    <w:bookmarkStart w:id="61" w:name="ref-choi_etal_2018"/>
    <w:p>
      <w:pPr>
        <w:pStyle w:val="Bibliography"/>
      </w:pPr>
      <w:r>
        <w:t xml:space="preserve">Choi, Sangyup, Davide Furceri, Prakash Loungani, Saurabh Mishra, and Marcos Poplawski-Ribeiro. 2018.</w:t>
      </w:r>
      <w:r>
        <w:t xml:space="preserve"> </w:t>
      </w:r>
      <w:r>
        <w:t xml:space="preserve">“Oil Prices and Inflation Dynamics: Evidence from Advanced and Developing Economies.”</w:t>
      </w:r>
      <w:r>
        <w:t xml:space="preserve"> </w:t>
      </w:r>
      <w:r>
        <w:rPr>
          <w:i/>
          <w:iCs/>
        </w:rPr>
        <w:t xml:space="preserve">Journal of International Money and Finance</w:t>
      </w:r>
      <w:r>
        <w:t xml:space="preserve"> </w:t>
      </w:r>
      <w:r>
        <w:t xml:space="preserve">82: 71–96.</w:t>
      </w:r>
      <w:r>
        <w:t xml:space="preserve"> </w:t>
      </w:r>
      <w:hyperlink r:id="rId60">
        <w:r>
          <w:rPr>
            <w:rStyle w:val="Hyperlink"/>
          </w:rPr>
          <w:t xml:space="preserve">https://doi.org/10.1016/j.jimonfin.2017.12.004</w:t>
        </w:r>
      </w:hyperlink>
      <w:r>
        <w:t xml:space="preserve">.</w:t>
      </w:r>
    </w:p>
    <w:bookmarkEnd w:id="61"/>
    <w:bookmarkStart w:id="63" w:name="ref-deaton_1989"/>
    <w:p>
      <w:pPr>
        <w:pStyle w:val="Bibliography"/>
      </w:pPr>
      <w:r>
        <w:t xml:space="preserve">Deaton, Angus. 1989.</w:t>
      </w:r>
      <w:r>
        <w:t xml:space="preserve"> </w:t>
      </w:r>
      <w:r>
        <w:t xml:space="preserve">“Rice Prices and Income Distribution in</w:t>
      </w:r>
      <w:r>
        <w:t xml:space="preserve"> </w:t>
      </w:r>
      <w:r>
        <w:t xml:space="preserve">Thailand</w:t>
      </w:r>
      <w:r>
        <w:t xml:space="preserve">: A Non-Parametric Analysis.”</w:t>
      </w:r>
      <w:r>
        <w:t xml:space="preserve"> </w:t>
      </w:r>
      <w:r>
        <w:rPr>
          <w:i/>
          <w:iCs/>
        </w:rPr>
        <w:t xml:space="preserve">The Economic Journal</w:t>
      </w:r>
      <w:r>
        <w:t xml:space="preserve"> </w:t>
      </w:r>
      <w:r>
        <w:t xml:space="preserve">99 (395): 1–37.</w:t>
      </w:r>
      <w:r>
        <w:t xml:space="preserve"> </w:t>
      </w:r>
      <w:hyperlink r:id="rId62">
        <w:r>
          <w:rPr>
            <w:rStyle w:val="Hyperlink"/>
          </w:rPr>
          <w:t xml:space="preserve">https://doi.org/10.2307/2234068</w:t>
        </w:r>
      </w:hyperlink>
      <w:r>
        <w:t xml:space="preserve">.</w:t>
      </w:r>
    </w:p>
    <w:bookmarkEnd w:id="63"/>
    <w:bookmarkStart w:id="65" w:name="ref-domingo_etal_2009"/>
    <w:p>
      <w:pPr>
        <w:pStyle w:val="Bibliography"/>
      </w:pPr>
      <w:r>
        <w:t xml:space="preserve">Domingo, Sonny, Kathrina Gonzales, Christian Mina, and Celia Reyes. 2009.</w:t>
      </w:r>
      <w:r>
        <w:t xml:space="preserve"> </w:t>
      </w:r>
      <w:r>
        <w:rPr>
          <w:i/>
          <w:iCs/>
        </w:rPr>
        <w:t xml:space="preserve">Analysis of the Impact of Changes in the Prices of Rice and Fuel on Poverty in the</w:t>
      </w:r>
      <w:r>
        <w:rPr>
          <w:i/>
          <w:iCs/>
        </w:rPr>
        <w:t xml:space="preserve"> </w:t>
      </w:r>
      <w:r>
        <w:rPr>
          <w:i/>
          <w:iCs/>
        </w:rPr>
        <w:t xml:space="preserve">Philippines</w:t>
      </w:r>
      <w:r>
        <w:t xml:space="preserve">. PIDS Discussion Paper Nos. 2009-07. Philippine Institute for Development Studies.</w:t>
      </w:r>
      <w:r>
        <w:t xml:space="preserve"> </w:t>
      </w:r>
      <w:hyperlink r:id="rId64">
        <w:r>
          <w:rPr>
            <w:rStyle w:val="Hyperlink"/>
          </w:rPr>
          <w:t xml:space="preserve">https://doi.org/10.62986/dp2009.07</w:t>
        </w:r>
      </w:hyperlink>
      <w:r>
        <w:t xml:space="preserve">.</w:t>
      </w:r>
    </w:p>
    <w:bookmarkEnd w:id="65"/>
    <w:bookmarkStart w:id="67" w:name="ref-driscoll_kraay_1998"/>
    <w:p>
      <w:pPr>
        <w:pStyle w:val="Bibliography"/>
      </w:pPr>
      <w:r>
        <w:t xml:space="preserve">Driscoll, John C., and Aart C. Kraay. 1998.</w:t>
      </w:r>
      <w:r>
        <w:t xml:space="preserve"> </w:t>
      </w:r>
      <w:r>
        <w:t xml:space="preserve">“Consistent Covariance Matrix Estimation with Spatially Dependent Panel Data.”</w:t>
      </w:r>
      <w:r>
        <w:t xml:space="preserve"> </w:t>
      </w:r>
      <w:r>
        <w:rPr>
          <w:i/>
          <w:iCs/>
        </w:rPr>
        <w:t xml:space="preserve">Review of Economics and Statistics</w:t>
      </w:r>
      <w:r>
        <w:t xml:space="preserve"> </w:t>
      </w:r>
      <w:r>
        <w:t xml:space="preserve">80 (4): 549–60.</w:t>
      </w:r>
      <w:r>
        <w:t xml:space="preserve"> </w:t>
      </w:r>
      <w:hyperlink r:id="rId66">
        <w:r>
          <w:rPr>
            <w:rStyle w:val="Hyperlink"/>
          </w:rPr>
          <w:t xml:space="preserve">https://doi.org/10.1162/003465398557825</w:t>
        </w:r>
      </w:hyperlink>
      <w:r>
        <w:t xml:space="preserve">.</w:t>
      </w:r>
    </w:p>
    <w:bookmarkEnd w:id="67"/>
    <w:bookmarkStart w:id="69" w:name="ref-fujii_2013"/>
    <w:p>
      <w:pPr>
        <w:pStyle w:val="Bibliography"/>
      </w:pPr>
      <w:r>
        <w:t xml:space="preserve">Fujii, Tomoki. 2013.</w:t>
      </w:r>
      <w:r>
        <w:t xml:space="preserve"> </w:t>
      </w:r>
      <w:r>
        <w:t xml:space="preserve">“Impact of Food Inflation on Poverty in the</w:t>
      </w:r>
      <w:r>
        <w:t xml:space="preserve"> </w:t>
      </w:r>
      <w:r>
        <w:t xml:space="preserve">Philippines</w:t>
      </w:r>
      <w:r>
        <w:t xml:space="preserve">.”</w:t>
      </w:r>
      <w:r>
        <w:t xml:space="preserve"> </w:t>
      </w:r>
      <w:r>
        <w:rPr>
          <w:i/>
          <w:iCs/>
        </w:rPr>
        <w:t xml:space="preserve">Food Policy</w:t>
      </w:r>
      <w:r>
        <w:t xml:space="preserve"> </w:t>
      </w:r>
      <w:r>
        <w:t xml:space="preserve">39: 13–27.</w:t>
      </w:r>
      <w:r>
        <w:t xml:space="preserve"> </w:t>
      </w:r>
      <w:hyperlink r:id="rId68">
        <w:r>
          <w:rPr>
            <w:rStyle w:val="Hyperlink"/>
          </w:rPr>
          <w:t xml:space="preserve">https://doi.org/10.1016/j.foodpol.2012.11.009</w:t>
        </w:r>
      </w:hyperlink>
      <w:r>
        <w:t xml:space="preserve">.</w:t>
      </w:r>
    </w:p>
    <w:bookmarkEnd w:id="69"/>
    <w:bookmarkStart w:id="71" w:name="ref-hobijn_lagakos_2005"/>
    <w:p>
      <w:pPr>
        <w:pStyle w:val="Bibliography"/>
      </w:pPr>
      <w:r>
        <w:t xml:space="preserve">Hobijn, Bart, and David Lagakos. 2005.</w:t>
      </w:r>
      <w:r>
        <w:t xml:space="preserve"> </w:t>
      </w:r>
      <w:r>
        <w:t xml:space="preserve">“Inflation Inequality in the</w:t>
      </w:r>
      <w:r>
        <w:t xml:space="preserve"> </w:t>
      </w:r>
      <w:r>
        <w:t xml:space="preserve">United States</w:t>
      </w:r>
      <w:r>
        <w:t xml:space="preserve">.”</w:t>
      </w:r>
      <w:r>
        <w:t xml:space="preserve"> </w:t>
      </w:r>
      <w:r>
        <w:rPr>
          <w:i/>
          <w:iCs/>
        </w:rPr>
        <w:t xml:space="preserve">Review of Income and Wealth</w:t>
      </w:r>
      <w:r>
        <w:t xml:space="preserve"> </w:t>
      </w:r>
      <w:r>
        <w:t xml:space="preserve">51 (4): 581–606.</w:t>
      </w:r>
      <w:r>
        <w:t xml:space="preserve"> </w:t>
      </w:r>
      <w:hyperlink r:id="rId70">
        <w:r>
          <w:rPr>
            <w:rStyle w:val="Hyperlink"/>
          </w:rPr>
          <w:t xml:space="preserve">https://doi.org/10.1111/j.1475-4991.2005.00170.x</w:t>
        </w:r>
      </w:hyperlink>
      <w:r>
        <w:t xml:space="preserve">.</w:t>
      </w:r>
    </w:p>
    <w:bookmarkEnd w:id="71"/>
    <w:bookmarkStart w:id="73" w:name="ref-jaravel_2021"/>
    <w:p>
      <w:pPr>
        <w:pStyle w:val="Bibliography"/>
      </w:pPr>
      <w:r>
        <w:t xml:space="preserve">Jaravel, Xavier. 2021.</w:t>
      </w:r>
      <w:r>
        <w:t xml:space="preserve"> </w:t>
      </w:r>
      <w:r>
        <w:t xml:space="preserve">“Inflation Inequality: Measurement, Causes, and Policy Implications.”</w:t>
      </w:r>
      <w:r>
        <w:t xml:space="preserve"> </w:t>
      </w:r>
      <w:r>
        <w:rPr>
          <w:i/>
          <w:iCs/>
        </w:rPr>
        <w:t xml:space="preserve">Annual Review of Economics</w:t>
      </w:r>
      <w:r>
        <w:t xml:space="preserve"> </w:t>
      </w:r>
      <w:r>
        <w:t xml:space="preserve">13: 599–629.</w:t>
      </w:r>
      <w:r>
        <w:t xml:space="preserve"> </w:t>
      </w:r>
      <w:hyperlink r:id="rId72">
        <w:r>
          <w:rPr>
            <w:rStyle w:val="Hyperlink"/>
          </w:rPr>
          <w:t xml:space="preserve">https://doi.org/10.1146/annurev-economics-091520-082042</w:t>
        </w:r>
      </w:hyperlink>
      <w:r>
        <w:t xml:space="preserve">.</w:t>
      </w:r>
    </w:p>
    <w:bookmarkEnd w:id="73"/>
    <w:bookmarkStart w:id="75" w:name="ref-jongwanich_park_2011"/>
    <w:p>
      <w:pPr>
        <w:pStyle w:val="Bibliography"/>
      </w:pPr>
      <w:r>
        <w:t xml:space="preserve">Jongwanich, Juthathip, and Donghyun Park. 2011.</w:t>
      </w:r>
      <w:r>
        <w:t xml:space="preserve"> </w:t>
      </w:r>
      <w:r>
        <w:t xml:space="preserve">“Inflation in Developing</w:t>
      </w:r>
      <w:r>
        <w:t xml:space="preserve"> </w:t>
      </w:r>
      <w:r>
        <w:t xml:space="preserve">Asia</w:t>
      </w:r>
      <w:r>
        <w:t xml:space="preserve">: Pass-Through from Global Food and Oil Price Shocks.”</w:t>
      </w:r>
      <w:r>
        <w:t xml:space="preserve"> </w:t>
      </w:r>
      <w:r>
        <w:rPr>
          <w:i/>
          <w:iCs/>
        </w:rPr>
        <w:t xml:space="preserve">Asian-Pacific Economic Literature</w:t>
      </w:r>
      <w:r>
        <w:t xml:space="preserve"> </w:t>
      </w:r>
      <w:r>
        <w:t xml:space="preserve">25 (1): 79–92.</w:t>
      </w:r>
      <w:r>
        <w:t xml:space="preserve"> </w:t>
      </w:r>
      <w:hyperlink r:id="rId74">
        <w:r>
          <w:rPr>
            <w:rStyle w:val="Hyperlink"/>
          </w:rPr>
          <w:t xml:space="preserve">https://doi.org/10.1111/j.1467-8411.2011.01275.x</w:t>
        </w:r>
      </w:hyperlink>
      <w:r>
        <w:t xml:space="preserve">.</w:t>
      </w:r>
    </w:p>
    <w:bookmarkEnd w:id="75"/>
    <w:bookmarkStart w:id="77" w:name="ref-jorda_2005"/>
    <w:p>
      <w:pPr>
        <w:pStyle w:val="Bibliography"/>
      </w:pPr>
      <w:r>
        <w:t xml:space="preserve">Jordà, Òscar. 2005.</w:t>
      </w:r>
      <w:r>
        <w:t xml:space="preserve"> </w:t>
      </w:r>
      <w:r>
        <w:t xml:space="preserve">“Estimation and Inference of Impulse Responses by Local Projections.”</w:t>
      </w:r>
      <w:r>
        <w:t xml:space="preserve"> </w:t>
      </w:r>
      <w:r>
        <w:rPr>
          <w:i/>
          <w:iCs/>
        </w:rPr>
        <w:t xml:space="preserve">American Economic Review</w:t>
      </w:r>
      <w:r>
        <w:t xml:space="preserve"> </w:t>
      </w:r>
      <w:r>
        <w:t xml:space="preserve">95 (1): 161–82.</w:t>
      </w:r>
      <w:r>
        <w:t xml:space="preserve"> </w:t>
      </w:r>
      <w:hyperlink r:id="rId76">
        <w:r>
          <w:rPr>
            <w:rStyle w:val="Hyperlink"/>
          </w:rPr>
          <w:t xml:space="preserve">https://doi.org/10.1257/0002828053828518</w:t>
        </w:r>
      </w:hyperlink>
      <w:r>
        <w:t xml:space="preserve">.</w:t>
      </w:r>
    </w:p>
    <w:bookmarkEnd w:id="77"/>
    <w:bookmarkStart w:id="79" w:name="ref-kanzig_2021"/>
    <w:p>
      <w:pPr>
        <w:pStyle w:val="Bibliography"/>
      </w:pPr>
      <w:r>
        <w:t xml:space="preserve">Känzig, Diego R. 2021.</w:t>
      </w:r>
      <w:r>
        <w:t xml:space="preserve"> </w:t>
      </w:r>
      <w:r>
        <w:t xml:space="preserve">“The Macroeconomic Effects of Oil Supply News: Evidence from</w:t>
      </w:r>
      <w:r>
        <w:t xml:space="preserve"> </w:t>
      </w:r>
      <w:r>
        <w:t xml:space="preserve">OPEC</w:t>
      </w:r>
      <w:r>
        <w:t xml:space="preserve"> </w:t>
      </w:r>
      <w:r>
        <w:t xml:space="preserve">Announcements.”</w:t>
      </w:r>
      <w:r>
        <w:t xml:space="preserve"> </w:t>
      </w:r>
      <w:r>
        <w:rPr>
          <w:i/>
          <w:iCs/>
        </w:rPr>
        <w:t xml:space="preserve">American Economic Review</w:t>
      </w:r>
      <w:r>
        <w:t xml:space="preserve"> </w:t>
      </w:r>
      <w:r>
        <w:t xml:space="preserve">111 (4): 1092–125.</w:t>
      </w:r>
      <w:r>
        <w:t xml:space="preserve"> </w:t>
      </w:r>
      <w:hyperlink r:id="rId78">
        <w:r>
          <w:rPr>
            <w:rStyle w:val="Hyperlink"/>
          </w:rPr>
          <w:t xml:space="preserve">https://doi.org/10.1257/aer.20190964</w:t>
        </w:r>
      </w:hyperlink>
      <w:r>
        <w:t xml:space="preserve">.</w:t>
      </w:r>
    </w:p>
    <w:bookmarkEnd w:id="79"/>
    <w:bookmarkStart w:id="81" w:name="ref-kaplan_schulhofer_2017"/>
    <w:p>
      <w:pPr>
        <w:pStyle w:val="Bibliography"/>
      </w:pPr>
      <w:r>
        <w:t xml:space="preserve">Kaplan, Greg, and Sam Schulhofer-Wohl. 2017.</w:t>
      </w:r>
      <w:r>
        <w:t xml:space="preserve"> </w:t>
      </w:r>
      <w:r>
        <w:t xml:space="preserve">“Inflation at the Household Level.”</w:t>
      </w:r>
      <w:r>
        <w:t xml:space="preserve"> </w:t>
      </w:r>
      <w:r>
        <w:rPr>
          <w:i/>
          <w:iCs/>
        </w:rPr>
        <w:t xml:space="preserve">Journal of Monetary Economics</w:t>
      </w:r>
      <w:r>
        <w:t xml:space="preserve"> </w:t>
      </w:r>
      <w:r>
        <w:t xml:space="preserve">91: 19–38.</w:t>
      </w:r>
      <w:r>
        <w:t xml:space="preserve"> </w:t>
      </w:r>
      <w:hyperlink r:id="rId80">
        <w:r>
          <w:rPr>
            <w:rStyle w:val="Hyperlink"/>
          </w:rPr>
          <w:t xml:space="preserve">https://doi.org/10.1016/j.jmoneco.2017.08.002</w:t>
        </w:r>
      </w:hyperlink>
      <w:r>
        <w:t xml:space="preserve">.</w:t>
      </w:r>
    </w:p>
    <w:bookmarkEnd w:id="81"/>
    <w:bookmarkStart w:id="83" w:name="ref-kilian_2008"/>
    <w:p>
      <w:pPr>
        <w:pStyle w:val="Bibliography"/>
      </w:pPr>
      <w:r>
        <w:t xml:space="preserve">Kilian, Lutz. 2008.</w:t>
      </w:r>
      <w:r>
        <w:t xml:space="preserve"> </w:t>
      </w:r>
      <w:r>
        <w:t xml:space="preserve">“The Economic Effects of Energy Price Shocks.”</w:t>
      </w:r>
      <w:r>
        <w:t xml:space="preserve"> </w:t>
      </w:r>
      <w:r>
        <w:rPr>
          <w:i/>
          <w:iCs/>
        </w:rPr>
        <w:t xml:space="preserve">Journal of Economic Literature</w:t>
      </w:r>
      <w:r>
        <w:t xml:space="preserve"> </w:t>
      </w:r>
      <w:r>
        <w:t xml:space="preserve">46 (4): 871–909.</w:t>
      </w:r>
      <w:r>
        <w:t xml:space="preserve"> </w:t>
      </w:r>
      <w:hyperlink r:id="rId82">
        <w:r>
          <w:rPr>
            <w:rStyle w:val="Hyperlink"/>
          </w:rPr>
          <w:t xml:space="preserve">https://doi.org/10.1257/jel.46.4.871</w:t>
        </w:r>
      </w:hyperlink>
      <w:r>
        <w:t xml:space="preserve">.</w:t>
      </w:r>
    </w:p>
    <w:bookmarkEnd w:id="83"/>
    <w:bookmarkStart w:id="85" w:name="ref-kilian_2009"/>
    <w:p>
      <w:pPr>
        <w:pStyle w:val="Bibliography"/>
      </w:pPr>
      <w:r>
        <w:t xml:space="preserve">Kilian, Lutz. 2009.</w:t>
      </w:r>
      <w:r>
        <w:t xml:space="preserve"> </w:t>
      </w:r>
      <w:r>
        <w:t xml:space="preserve">“Not All Oil Price Shocks Are Alike: Disentangling Demand and Supply Shocks in the Crude Oil Market.”</w:t>
      </w:r>
      <w:r>
        <w:t xml:space="preserve"> </w:t>
      </w:r>
      <w:r>
        <w:rPr>
          <w:i/>
          <w:iCs/>
        </w:rPr>
        <w:t xml:space="preserve">American Economic Review</w:t>
      </w:r>
      <w:r>
        <w:t xml:space="preserve"> </w:t>
      </w:r>
      <w:r>
        <w:t xml:space="preserve">99 (3): 1053–69.</w:t>
      </w:r>
      <w:r>
        <w:t xml:space="preserve"> </w:t>
      </w:r>
      <w:hyperlink r:id="rId84">
        <w:r>
          <w:rPr>
            <w:rStyle w:val="Hyperlink"/>
          </w:rPr>
          <w:t xml:space="preserve">https://doi.org/10.1257/aer.99.3.1053</w:t>
        </w:r>
      </w:hyperlink>
      <w:r>
        <w:t xml:space="preserve">.</w:t>
      </w:r>
    </w:p>
    <w:bookmarkEnd w:id="85"/>
    <w:bookmarkStart w:id="87" w:name="ref-kpodar_abdallah_2017"/>
    <w:p>
      <w:pPr>
        <w:pStyle w:val="Bibliography"/>
      </w:pPr>
      <w:r>
        <w:t xml:space="preserve">Kpodar, Kangni, and Chadi Abdallah. 2017.</w:t>
      </w:r>
      <w:r>
        <w:t xml:space="preserve"> </w:t>
      </w:r>
      <w:r>
        <w:t xml:space="preserve">“Dynamic Fuel Price Pass-Through: Evidence from a New Global Retail Fuel Price Database.”</w:t>
      </w:r>
      <w:r>
        <w:t xml:space="preserve"> </w:t>
      </w:r>
      <w:r>
        <w:rPr>
          <w:i/>
          <w:iCs/>
        </w:rPr>
        <w:t xml:space="preserve">Energy Economics</w:t>
      </w:r>
      <w:r>
        <w:t xml:space="preserve"> </w:t>
      </w:r>
      <w:r>
        <w:t xml:space="preserve">66: 303–12.</w:t>
      </w:r>
      <w:r>
        <w:t xml:space="preserve"> </w:t>
      </w:r>
      <w:hyperlink r:id="rId86">
        <w:r>
          <w:rPr>
            <w:rStyle w:val="Hyperlink"/>
          </w:rPr>
          <w:t xml:space="preserve">https://doi.org/10.1016/j.eneco.2017.06.017</w:t>
        </w:r>
      </w:hyperlink>
      <w:r>
        <w:t xml:space="preserve">.</w:t>
      </w:r>
    </w:p>
    <w:bookmarkEnd w:id="87"/>
    <w:bookmarkStart w:id="89" w:name="ref-kpodar_liu_2022"/>
    <w:p>
      <w:pPr>
        <w:pStyle w:val="Bibliography"/>
      </w:pPr>
      <w:r>
        <w:t xml:space="preserve">Kpodar, Kangni, and Boya Liu. 2022.</w:t>
      </w:r>
      <w:r>
        <w:t xml:space="preserve"> </w:t>
      </w:r>
      <w:r>
        <w:t xml:space="preserve">“The Distributional Implications of the Impact of Fuel Price Increases on Inflation.”</w:t>
      </w:r>
      <w:r>
        <w:t xml:space="preserve"> </w:t>
      </w:r>
      <w:r>
        <w:rPr>
          <w:i/>
          <w:iCs/>
        </w:rPr>
        <w:t xml:space="preserve">Energy Economics</w:t>
      </w:r>
      <w:r>
        <w:t xml:space="preserve"> </w:t>
      </w:r>
      <w:r>
        <w:t xml:space="preserve">108: 105909.</w:t>
      </w:r>
      <w:r>
        <w:t xml:space="preserve"> </w:t>
      </w:r>
      <w:hyperlink r:id="rId88">
        <w:r>
          <w:rPr>
            <w:rStyle w:val="Hyperlink"/>
          </w:rPr>
          <w:t xml:space="preserve">https://doi.org/10.1016/j.eneco.2022.105909</w:t>
        </w:r>
      </w:hyperlink>
      <w:r>
        <w:t xml:space="preserve">.</w:t>
      </w:r>
    </w:p>
    <w:bookmarkEnd w:id="89"/>
    <w:bookmarkStart w:id="90" w:name="ref-miller_blair_2009"/>
    <w:p>
      <w:pPr>
        <w:pStyle w:val="Bibliography"/>
      </w:pPr>
      <w:r>
        <w:t xml:space="preserve">Miller, Ronald E., and Peter D. Blair. 2009.</w:t>
      </w:r>
      <w:r>
        <w:t xml:space="preserve"> </w:t>
      </w:r>
      <w:r>
        <w:rPr>
          <w:i/>
          <w:iCs/>
        </w:rPr>
        <w:t xml:space="preserve">Input–Output Analysis: Foundations and Extensions</w:t>
      </w:r>
      <w:r>
        <w:t xml:space="preserve">. 2nd ed. Cambridge University Press.</w:t>
      </w:r>
    </w:p>
    <w:bookmarkEnd w:id="90"/>
    <w:bookmarkStart w:id="92" w:name="ref-newey_west_1987"/>
    <w:p>
      <w:pPr>
        <w:pStyle w:val="Bibliography"/>
      </w:pPr>
      <w:r>
        <w:t xml:space="preserve">Newey, Whitney K., and Kenneth D. West. 1987.</w:t>
      </w:r>
      <w:r>
        <w:t xml:space="preserve"> </w:t>
      </w:r>
      <w:r>
        <w:t xml:space="preserve">“A Simple, Positive Semi-Definite, Heteroskedasticity and Autocorrelation Consistent Covariance Matrix.”</w:t>
      </w:r>
      <w:r>
        <w:t xml:space="preserve"> </w:t>
      </w:r>
      <w:r>
        <w:rPr>
          <w:i/>
          <w:iCs/>
        </w:rPr>
        <w:t xml:space="preserve">Econometrica</w:t>
      </w:r>
      <w:r>
        <w:t xml:space="preserve"> </w:t>
      </w:r>
      <w:r>
        <w:t xml:space="preserve">55 (3): 703–8.</w:t>
      </w:r>
      <w:r>
        <w:t xml:space="preserve"> </w:t>
      </w:r>
      <w:hyperlink r:id="rId91">
        <w:r>
          <w:rPr>
            <w:rStyle w:val="Hyperlink"/>
          </w:rPr>
          <w:t xml:space="preserve">https://doi.org/10.2307/1913610</w:t>
        </w:r>
      </w:hyperlink>
      <w:r>
        <w:t xml:space="preserve">.</w:t>
      </w:r>
    </w:p>
    <w:bookmarkEnd w:id="92"/>
    <w:bookmarkStart w:id="94" w:name="ref-psa_openstat_2026"/>
    <w:p>
      <w:pPr>
        <w:pStyle w:val="Bibliography"/>
      </w:pPr>
      <w:r>
        <w:t xml:space="preserve">Philippine Statistics Authority. 2026.</w:t>
      </w:r>
      <w:r>
        <w:t xml:space="preserve"> </w:t>
      </w:r>
      <w:r>
        <w:rPr>
          <w:i/>
          <w:iCs/>
        </w:rPr>
        <w:t xml:space="preserve">OpenSTAT</w:t>
      </w:r>
      <w:r>
        <w:rPr>
          <w:i/>
          <w:iCs/>
        </w:rPr>
        <w:t xml:space="preserve">: Consumer Price Index for All Income Households and for the Bottom 30% Income Households (2018=100), and Official Poverty Statistics</w:t>
      </w:r>
      <w:r>
        <w:t xml:space="preserve">.</w:t>
      </w:r>
      <w:r>
        <w:t xml:space="preserve"> </w:t>
      </w:r>
      <w:hyperlink r:id="rId93">
        <w:r>
          <w:rPr>
            <w:rStyle w:val="Hyperlink"/>
          </w:rPr>
          <w:t xml:space="preserve">Https://openstat.psa.gov.ph</w:t>
        </w:r>
      </w:hyperlink>
      <w:r>
        <w:t xml:space="preserve">.</w:t>
      </w:r>
    </w:p>
    <w:bookmarkEnd w:id="94"/>
    <w:bookmarkStart w:id="96" w:name="ref-ra12316_2026"/>
    <w:p>
      <w:pPr>
        <w:pStyle w:val="Bibliography"/>
      </w:pPr>
      <w:r>
        <w:t xml:space="preserve">Republic of the Philippines. 2026.</w:t>
      </w:r>
      <w:r>
        <w:t xml:space="preserve"> </w:t>
      </w:r>
      <w:r>
        <w:rPr>
          <w:i/>
          <w:iCs/>
        </w:rPr>
        <w:t xml:space="preserve">Republic Act No. 12316: An Act Authorizing the President to Suspend or Reduce Excise Tax on Petroleum Products, Amending for the Purpose Section 148 of the National Internal Revenue Code of 1997, as Amended</w:t>
      </w:r>
      <w:r>
        <w:t xml:space="preserve">.</w:t>
      </w:r>
      <w:r>
        <w:t xml:space="preserve"> </w:t>
      </w:r>
      <w:hyperlink r:id="rId95">
        <w:r>
          <w:rPr>
            <w:rStyle w:val="Hyperlink"/>
          </w:rPr>
          <w:t xml:space="preserve">Https://lawphil.net/statutes/repacts/ra2026/ra_12316_2026.html</w:t>
        </w:r>
      </w:hyperlink>
      <w:r>
        <w:t xml:space="preserve">.</w:t>
      </w:r>
    </w:p>
    <w:bookmarkEnd w:id="96"/>
    <w:bookmarkStart w:id="98" w:name="ref-teulings_zubanov_2014"/>
    <w:p>
      <w:pPr>
        <w:pStyle w:val="Bibliography"/>
      </w:pPr>
      <w:r>
        <w:t xml:space="preserve">Teulings, Coen N., and Nikolay Zubanov. 2014.</w:t>
      </w:r>
      <w:r>
        <w:t xml:space="preserve"> </w:t>
      </w:r>
      <w:r>
        <w:t xml:space="preserve">“Is Economic Recovery a Myth? Robust Estimation of Impulse Responses.”</w:t>
      </w:r>
      <w:r>
        <w:t xml:space="preserve"> </w:t>
      </w:r>
      <w:r>
        <w:rPr>
          <w:i/>
          <w:iCs/>
        </w:rPr>
        <w:t xml:space="preserve">Journal of Applied Econometrics</w:t>
      </w:r>
      <w:r>
        <w:t xml:space="preserve"> </w:t>
      </w:r>
      <w:r>
        <w:t xml:space="preserve">29 (3): 497–514.</w:t>
      </w:r>
      <w:r>
        <w:t xml:space="preserve"> </w:t>
      </w:r>
      <w:hyperlink r:id="rId97">
        <w:r>
          <w:rPr>
            <w:rStyle w:val="Hyperlink"/>
          </w:rPr>
          <w:t xml:space="preserve">https://doi.org/10.1002/jae.2333</w:t>
        </w:r>
      </w:hyperlink>
      <w:r>
        <w:t xml:space="preserve">.</w:t>
      </w:r>
    </w:p>
    <w:bookmarkEnd w:id="98"/>
    <w:bookmarkStart w:id="99" w:name="ref-usda_fas_2026"/>
    <w:p>
      <w:pPr>
        <w:pStyle w:val="Bibliography"/>
      </w:pPr>
      <w:r>
        <w:t xml:space="preserve">USDA Foreign Agricultural Service. 2026.</w:t>
      </w:r>
      <w:r>
        <w:t xml:space="preserve"> </w:t>
      </w:r>
      <w:r>
        <w:rPr>
          <w:i/>
          <w:iCs/>
        </w:rPr>
        <w:t xml:space="preserve">Philippines: Grain and Feed Annual</w:t>
      </w:r>
      <w:r>
        <w:t xml:space="preserve">. Nos. RP2026-0007. GAIN Report RP2026-0007, Manila.</w:t>
      </w:r>
    </w:p>
    <w:bookmarkEnd w:id="99"/>
    <w:bookmarkStart w:id="100" w:name="ref-valera_etal_2025"/>
    <w:p>
      <w:pPr>
        <w:pStyle w:val="Bibliography"/>
      </w:pPr>
      <w:r>
        <w:t xml:space="preserve">Valera, Harold Glenn, Mark Holmes, and Vic Delloro. 2025.</w:t>
      </w:r>
      <w:r>
        <w:t xml:space="preserve"> </w:t>
      </w:r>
      <w:r>
        <w:rPr>
          <w:i/>
          <w:iCs/>
        </w:rPr>
        <w:t xml:space="preserve">The Changing Effect of Energy and Rice Prices and Remittances on Overall Inflation in Emerging Markets: Evidence from the</w:t>
      </w:r>
      <w:r>
        <w:rPr>
          <w:i/>
          <w:iCs/>
        </w:rPr>
        <w:t xml:space="preserve"> </w:t>
      </w:r>
      <w:r>
        <w:rPr>
          <w:i/>
          <w:iCs/>
        </w:rPr>
        <w:t xml:space="preserve">Philippines</w:t>
      </w:r>
      <w:r>
        <w:t xml:space="preserve">. BSP Discussion Paper Nos. 2025-02. Bangko Sentral ng Pilipinas.</w:t>
      </w:r>
    </w:p>
    <w:bookmarkEnd w:id="100"/>
    <w:bookmarkEnd w:id="101"/>
    <w:bookmarkEnd w:id="102"/>
    <w:bookmarkStart w:id="130" w:name="online-appendix"/>
    <w:p>
      <w:pPr>
        <w:pStyle w:val="Heading1"/>
      </w:pPr>
      <w:r>
        <w:t xml:space="preserve">Online Appendix</w:t>
      </w:r>
    </w:p>
    <w:bookmarkStart w:id="109" w:name="a.1-supplementary-results"/>
    <w:p>
      <w:pPr>
        <w:pStyle w:val="Heading2"/>
      </w:pPr>
      <w:r>
        <w:t xml:space="preserve">A.1 Supplementary results</w:t>
      </w:r>
    </w:p>
    <w:p>
      <w:pPr>
        <w:pStyle w:val="TableCaption"/>
      </w:pPr>
      <w:r>
        <w:t xml:space="preserve">Table A1. Response after 12 months by CPI division and the gap implied by budget shares alone</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Caption w:val="Table A1. Response after 12 months by CPI division and the gap implied by budget shares alone"/>
      </w:tblPr>
      <w:tblGrid>
        <w:gridCol w:w="1584"/>
        <w:gridCol w:w="1584"/>
        <w:gridCol w:w="1584"/>
        <w:gridCol w:w="1584"/>
        <w:gridCol w:w="1584"/>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COICOP division</w:t>
            </w:r>
          </w:p>
        </w:tc>
        <w:tc>
          <w:tcPr>
            <w:tcBorders>
              <w:bottom w:val="single" w:sz="6" w:space="0" w:color="000000"/>
            </w:tcBorders>
          </w:tcPr>
          <w:p>
            <w:pPr>
              <w:pStyle w:val="Compact"/>
              <w:spacing w:before="0" w:after="0" w:line="240" w:lineRule="auto"/>
              <w:ind w:firstLine="0" w:left="0"/>
            </w:pPr>
            <w:r>
              <w:rPr>
                <w:sz w:val="20"/>
                <w:szCs w:val="20"/>
              </w:rPr>
              <w:t xml:space="preserve">Weight, all income (%)</w:t>
            </w:r>
          </w:p>
        </w:tc>
        <w:tc>
          <w:tcPr>
            <w:tcBorders>
              <w:bottom w:val="single" w:sz="6" w:space="0" w:color="000000"/>
            </w:tcBorders>
          </w:tcPr>
          <w:p>
            <w:pPr>
              <w:pStyle w:val="Compact"/>
              <w:spacing w:before="0" w:after="0" w:line="240" w:lineRule="auto"/>
              <w:ind w:firstLine="0" w:left="0"/>
            </w:pPr>
            <w:r>
              <w:rPr>
                <w:sz w:val="20"/>
                <w:szCs w:val="20"/>
              </w:rPr>
              <w:t xml:space="preserve">Weight, bottom 30% (%)</w:t>
            </w:r>
          </w:p>
        </w:tc>
        <w:tc>
          <w:tcPr>
            <w:tcBorders>
              <w:bottom w:val="single" w:sz="6" w:space="0" w:color="000000"/>
            </w:tcBorders>
          </w:tcPr>
          <w:p>
            <w:pPr>
              <w:pStyle w:val="Compact"/>
              <w:spacing w:before="0" w:after="0" w:line="240" w:lineRule="auto"/>
              <w:ind w:firstLine="0" w:left="0"/>
            </w:pPr>
            <w:r>
              <w:rPr>
                <w:sz w:val="20"/>
                <w:szCs w:val="20"/>
              </w:rPr>
              <w:t xml:space="preserve">Response after 12 months</w:t>
            </w:r>
          </w:p>
        </w:tc>
        <w:tc>
          <w:tcPr>
            <w:tcBorders>
              <w:bottom w:val="single" w:sz="6" w:space="0" w:color="000000"/>
            </w:tcBorders>
          </w:tcPr>
          <w:p>
            <w:pPr>
              <w:pStyle w:val="Compact"/>
              <w:spacing w:before="0" w:after="0" w:line="240" w:lineRule="auto"/>
              <w:ind w:firstLine="0" w:left="0"/>
            </w:pPr>
            <w:r>
              <w:rPr>
                <w:sz w:val="20"/>
                <w:szCs w:val="20"/>
              </w:rPr>
              <w:t xml:space="preserve">Contribution to the gap if prices were the same</w:t>
            </w:r>
          </w:p>
        </w:tc>
      </w:tr>
      <w:tr>
        <w:tc>
          <w:tcPr/>
          <w:p>
            <w:pPr>
              <w:pStyle w:val="Compact"/>
              <w:spacing w:before="0" w:after="0" w:line="240" w:lineRule="auto"/>
              <w:ind w:firstLine="0" w:left="0"/>
            </w:pPr>
            <w:r>
              <w:rPr>
                <w:sz w:val="20"/>
                <w:szCs w:val="20"/>
              </w:rPr>
              <w:t xml:space="preserve">07 Transport</w:t>
            </w:r>
          </w:p>
        </w:tc>
        <w:tc>
          <w:tcPr/>
          <w:p>
            <w:pPr>
              <w:pStyle w:val="Compact"/>
              <w:spacing w:before="0" w:after="0" w:line="240" w:lineRule="auto"/>
              <w:ind w:firstLine="0" w:left="0"/>
            </w:pPr>
            <w:r>
              <w:rPr>
                <w:sz w:val="20"/>
                <w:szCs w:val="20"/>
              </w:rPr>
              <w:t xml:space="preserve">9.0</w:t>
            </w:r>
          </w:p>
        </w:tc>
        <w:tc>
          <w:tcPr/>
          <w:p>
            <w:pPr>
              <w:pStyle w:val="Compact"/>
              <w:spacing w:before="0" w:after="0" w:line="240" w:lineRule="auto"/>
              <w:ind w:firstLine="0" w:left="0"/>
            </w:pPr>
            <w:r>
              <w:rPr>
                <w:sz w:val="20"/>
                <w:szCs w:val="20"/>
              </w:rPr>
              <w:t xml:space="preserve">6.1</w:t>
            </w:r>
          </w:p>
        </w:tc>
        <w:tc>
          <w:tcPr/>
          <w:p>
            <w:pPr>
              <w:pStyle w:val="Compact"/>
              <w:spacing w:before="0" w:after="0" w:line="240" w:lineRule="auto"/>
              <w:ind w:firstLine="0" w:left="0"/>
            </w:pPr>
            <w:r>
              <w:rPr>
                <w:sz w:val="20"/>
                <w:szCs w:val="20"/>
              </w:rPr>
              <w:t xml:space="preserve">0.370*** (0.044)</w:t>
            </w:r>
          </w:p>
        </w:tc>
        <w:tc>
          <w:tcPr/>
          <w:p>
            <w:pPr>
              <w:pStyle w:val="Compact"/>
              <w:spacing w:before="0" w:after="0" w:line="240" w:lineRule="auto"/>
              <w:ind w:firstLine="0" w:left="0"/>
            </w:pPr>
            <w:r>
              <w:rPr>
                <w:sz w:val="20"/>
                <w:szCs w:val="20"/>
              </w:rPr>
              <w:t xml:space="preserve">+0.0108</w:t>
            </w:r>
          </w:p>
        </w:tc>
      </w:tr>
      <w:tr>
        <w:tc>
          <w:tcPr/>
          <w:p>
            <w:pPr>
              <w:pStyle w:val="Compact"/>
              <w:spacing w:before="0" w:after="0" w:line="240" w:lineRule="auto"/>
              <w:ind w:firstLine="0" w:left="0"/>
            </w:pPr>
            <w:r>
              <w:rPr>
                <w:sz w:val="20"/>
                <w:szCs w:val="20"/>
              </w:rPr>
              <w:t xml:space="preserve">12 Financial services</w:t>
            </w:r>
          </w:p>
        </w:tc>
        <w:tc>
          <w:tcPr/>
          <w:p>
            <w:pPr>
              <w:pStyle w:val="Compact"/>
              <w:spacing w:before="0" w:after="0" w:line="240" w:lineRule="auto"/>
              <w:ind w:firstLine="0" w:left="0"/>
            </w:pPr>
            <w:r>
              <w:rPr>
                <w:sz w:val="20"/>
                <w:szCs w:val="20"/>
              </w:rPr>
              <w:t xml:space="preserve">0.0</w:t>
            </w:r>
          </w:p>
        </w:tc>
        <w:tc>
          <w:tcPr/>
          <w:p>
            <w:pPr>
              <w:pStyle w:val="Compact"/>
              <w:spacing w:before="0" w:after="0" w:line="240" w:lineRule="auto"/>
              <w:ind w:firstLine="0" w:left="0"/>
            </w:pPr>
            <w:r>
              <w:rPr>
                <w:sz w:val="20"/>
                <w:szCs w:val="20"/>
              </w:rPr>
              <w:t xml:space="preserve">0.0</w:t>
            </w:r>
          </w:p>
        </w:tc>
        <w:tc>
          <w:tcPr/>
          <w:p>
            <w:pPr>
              <w:pStyle w:val="Compact"/>
              <w:spacing w:before="0" w:after="0" w:line="240" w:lineRule="auto"/>
              <w:ind w:firstLine="0" w:left="0"/>
            </w:pPr>
            <w:r>
              <w:rPr>
                <w:sz w:val="20"/>
                <w:szCs w:val="20"/>
              </w:rPr>
              <w:t xml:space="preserve">0.358** (0.158)</w:t>
            </w:r>
          </w:p>
        </w:tc>
        <w:tc>
          <w:tcPr/>
          <w:p>
            <w:pPr>
              <w:pStyle w:val="Compact"/>
              <w:spacing w:before="0" w:after="0" w:line="240" w:lineRule="auto"/>
              <w:ind w:firstLine="0" w:left="0"/>
            </w:pPr>
            <w:r>
              <w:rPr>
                <w:sz w:val="20"/>
                <w:szCs w:val="20"/>
              </w:rPr>
              <w:t xml:space="preserve">+0.0001</w:t>
            </w:r>
          </w:p>
        </w:tc>
      </w:tr>
      <w:tr>
        <w:tc>
          <w:tcPr/>
          <w:p>
            <w:pPr>
              <w:pStyle w:val="Compact"/>
              <w:spacing w:before="0" w:after="0" w:line="240" w:lineRule="auto"/>
              <w:ind w:firstLine="0" w:left="0"/>
            </w:pPr>
            <w:r>
              <w:rPr>
                <w:sz w:val="20"/>
                <w:szCs w:val="20"/>
              </w:rPr>
              <w:t xml:space="preserve">04 Housing, water, electricity, gas</w:t>
            </w:r>
          </w:p>
        </w:tc>
        <w:tc>
          <w:tcPr/>
          <w:p>
            <w:pPr>
              <w:pStyle w:val="Compact"/>
              <w:spacing w:before="0" w:after="0" w:line="240" w:lineRule="auto"/>
              <w:ind w:firstLine="0" w:left="0"/>
            </w:pPr>
            <w:r>
              <w:rPr>
                <w:sz w:val="20"/>
                <w:szCs w:val="20"/>
              </w:rPr>
              <w:t xml:space="preserve">21.4</w:t>
            </w:r>
          </w:p>
        </w:tc>
        <w:tc>
          <w:tcPr/>
          <w:p>
            <w:pPr>
              <w:pStyle w:val="Compact"/>
              <w:spacing w:before="0" w:after="0" w:line="240" w:lineRule="auto"/>
              <w:ind w:firstLine="0" w:left="0"/>
            </w:pPr>
            <w:r>
              <w:rPr>
                <w:sz w:val="20"/>
                <w:szCs w:val="20"/>
              </w:rPr>
              <w:t xml:space="preserve">15.5</w:t>
            </w:r>
          </w:p>
        </w:tc>
        <w:tc>
          <w:tcPr/>
          <w:p>
            <w:pPr>
              <w:pStyle w:val="Compact"/>
              <w:spacing w:before="0" w:after="0" w:line="240" w:lineRule="auto"/>
              <w:ind w:firstLine="0" w:left="0"/>
            </w:pPr>
            <w:r>
              <w:rPr>
                <w:sz w:val="20"/>
                <w:szCs w:val="20"/>
              </w:rPr>
              <w:t xml:space="preserve">0.158*** (0.015)</w:t>
            </w:r>
          </w:p>
        </w:tc>
        <w:tc>
          <w:tcPr/>
          <w:p>
            <w:pPr>
              <w:pStyle w:val="Compact"/>
              <w:spacing w:before="0" w:after="0" w:line="240" w:lineRule="auto"/>
              <w:ind w:firstLine="0" w:left="0"/>
            </w:pPr>
            <w:r>
              <w:rPr>
                <w:sz w:val="20"/>
                <w:szCs w:val="20"/>
              </w:rPr>
              <w:t xml:space="preserve">+0.0092</w:t>
            </w:r>
          </w:p>
        </w:tc>
      </w:tr>
      <w:tr>
        <w:tc>
          <w:tcPr/>
          <w:p>
            <w:pPr>
              <w:pStyle w:val="Compact"/>
              <w:spacing w:before="0" w:after="0" w:line="240" w:lineRule="auto"/>
              <w:ind w:firstLine="0" w:left="0"/>
            </w:pPr>
            <w:r>
              <w:rPr>
                <w:sz w:val="20"/>
                <w:szCs w:val="20"/>
              </w:rPr>
              <w:t xml:space="preserve">01 Food and non-alcoholic beverages</w:t>
            </w:r>
          </w:p>
        </w:tc>
        <w:tc>
          <w:tcPr/>
          <w:p>
            <w:pPr>
              <w:pStyle w:val="Compact"/>
              <w:spacing w:before="0" w:after="0" w:line="240" w:lineRule="auto"/>
              <w:ind w:firstLine="0" w:left="0"/>
            </w:pPr>
            <w:r>
              <w:rPr>
                <w:sz w:val="20"/>
                <w:szCs w:val="20"/>
              </w:rPr>
              <w:t xml:space="preserve">37.7</w:t>
            </w:r>
          </w:p>
        </w:tc>
        <w:tc>
          <w:tcPr/>
          <w:p>
            <w:pPr>
              <w:pStyle w:val="Compact"/>
              <w:spacing w:before="0" w:after="0" w:line="240" w:lineRule="auto"/>
              <w:ind w:firstLine="0" w:left="0"/>
            </w:pPr>
            <w:r>
              <w:rPr>
                <w:sz w:val="20"/>
                <w:szCs w:val="20"/>
              </w:rPr>
              <w:t xml:space="preserve">54.9</w:t>
            </w:r>
          </w:p>
        </w:tc>
        <w:tc>
          <w:tcPr/>
          <w:p>
            <w:pPr>
              <w:pStyle w:val="Compact"/>
              <w:spacing w:before="0" w:after="0" w:line="240" w:lineRule="auto"/>
              <w:ind w:firstLine="0" w:left="0"/>
            </w:pPr>
            <w:r>
              <w:rPr>
                <w:sz w:val="20"/>
                <w:szCs w:val="20"/>
              </w:rPr>
              <w:t xml:space="preserve">0.072** (0.033)</w:t>
            </w:r>
          </w:p>
        </w:tc>
        <w:tc>
          <w:tcPr/>
          <w:p>
            <w:pPr>
              <w:pStyle w:val="Compact"/>
              <w:spacing w:before="0" w:after="0" w:line="240" w:lineRule="auto"/>
              <w:ind w:firstLine="0" w:left="0"/>
            </w:pPr>
            <w:r>
              <w:rPr>
                <w:sz w:val="20"/>
                <w:szCs w:val="20"/>
              </w:rPr>
              <w:t xml:space="preserve">−0.0124</w:t>
            </w:r>
          </w:p>
        </w:tc>
      </w:tr>
      <w:tr>
        <w:tc>
          <w:tcPr/>
          <w:p>
            <w:pPr>
              <w:pStyle w:val="Compact"/>
              <w:spacing w:before="0" w:after="0" w:line="240" w:lineRule="auto"/>
              <w:ind w:firstLine="0" w:left="0"/>
            </w:pPr>
            <w:r>
              <w:rPr>
                <w:sz w:val="20"/>
                <w:szCs w:val="20"/>
              </w:rPr>
              <w:t xml:space="preserve">11 Restaurants and accommodation</w:t>
            </w:r>
          </w:p>
        </w:tc>
        <w:tc>
          <w:tcPr/>
          <w:p>
            <w:pPr>
              <w:pStyle w:val="Compact"/>
              <w:spacing w:before="0" w:after="0" w:line="240" w:lineRule="auto"/>
              <w:ind w:firstLine="0" w:left="0"/>
            </w:pPr>
            <w:r>
              <w:rPr>
                <w:sz w:val="20"/>
                <w:szCs w:val="20"/>
              </w:rPr>
              <w:t xml:space="preserve">9.6</w:t>
            </w:r>
          </w:p>
        </w:tc>
        <w:tc>
          <w:tcPr/>
          <w:p>
            <w:pPr>
              <w:pStyle w:val="Compact"/>
              <w:spacing w:before="0" w:after="0" w:line="240" w:lineRule="auto"/>
              <w:ind w:firstLine="0" w:left="0"/>
            </w:pPr>
            <w:r>
              <w:rPr>
                <w:sz w:val="20"/>
                <w:szCs w:val="20"/>
              </w:rPr>
              <w:t xml:space="preserve">7.5</w:t>
            </w:r>
          </w:p>
        </w:tc>
        <w:tc>
          <w:tcPr/>
          <w:p>
            <w:pPr>
              <w:pStyle w:val="Compact"/>
              <w:spacing w:before="0" w:after="0" w:line="240" w:lineRule="auto"/>
              <w:ind w:firstLine="0" w:left="0"/>
            </w:pPr>
            <w:r>
              <w:rPr>
                <w:sz w:val="20"/>
                <w:szCs w:val="20"/>
              </w:rPr>
              <w:t xml:space="preserve">0.063*** (0.018)</w:t>
            </w:r>
          </w:p>
        </w:tc>
        <w:tc>
          <w:tcPr/>
          <w:p>
            <w:pPr>
              <w:pStyle w:val="Compact"/>
              <w:spacing w:before="0" w:after="0" w:line="240" w:lineRule="auto"/>
              <w:ind w:firstLine="0" w:left="0"/>
            </w:pPr>
            <w:r>
              <w:rPr>
                <w:sz w:val="20"/>
                <w:szCs w:val="20"/>
              </w:rPr>
              <w:t xml:space="preserve">+0.0013</w:t>
            </w:r>
          </w:p>
        </w:tc>
      </w:tr>
      <w:tr>
        <w:tc>
          <w:tcPr/>
          <w:p>
            <w:pPr>
              <w:pStyle w:val="Compact"/>
              <w:spacing w:before="0" w:after="0" w:line="240" w:lineRule="auto"/>
              <w:ind w:firstLine="0" w:left="0"/>
            </w:pPr>
            <w:r>
              <w:rPr>
                <w:sz w:val="20"/>
                <w:szCs w:val="20"/>
              </w:rPr>
              <w:t xml:space="preserve">03 Clothing and footwear</w:t>
            </w:r>
          </w:p>
        </w:tc>
        <w:tc>
          <w:tcPr/>
          <w:p>
            <w:pPr>
              <w:pStyle w:val="Compact"/>
              <w:spacing w:before="0" w:after="0" w:line="240" w:lineRule="auto"/>
              <w:ind w:firstLine="0" w:left="0"/>
            </w:pPr>
            <w:r>
              <w:rPr>
                <w:sz w:val="20"/>
                <w:szCs w:val="20"/>
              </w:rPr>
              <w:t xml:space="preserve">3.1</w:t>
            </w:r>
          </w:p>
        </w:tc>
        <w:tc>
          <w:tcPr/>
          <w:p>
            <w:pPr>
              <w:pStyle w:val="Compact"/>
              <w:spacing w:before="0" w:after="0" w:line="240" w:lineRule="auto"/>
              <w:ind w:firstLine="0" w:left="0"/>
            </w:pPr>
            <w:r>
              <w:rPr>
                <w:sz w:val="20"/>
                <w:szCs w:val="20"/>
              </w:rPr>
              <w:t xml:space="preserve">2.5</w:t>
            </w:r>
          </w:p>
        </w:tc>
        <w:tc>
          <w:tcPr/>
          <w:p>
            <w:pPr>
              <w:pStyle w:val="Compact"/>
              <w:spacing w:before="0" w:after="0" w:line="240" w:lineRule="auto"/>
              <w:ind w:firstLine="0" w:left="0"/>
            </w:pPr>
            <w:r>
              <w:rPr>
                <w:sz w:val="20"/>
                <w:szCs w:val="20"/>
              </w:rPr>
              <w:t xml:space="preserve">0.032*** (0.009)</w:t>
            </w:r>
          </w:p>
        </w:tc>
        <w:tc>
          <w:tcPr/>
          <w:p>
            <w:pPr>
              <w:pStyle w:val="Compact"/>
              <w:spacing w:before="0" w:after="0" w:line="240" w:lineRule="auto"/>
              <w:ind w:firstLine="0" w:left="0"/>
            </w:pPr>
            <w:r>
              <w:rPr>
                <w:sz w:val="20"/>
                <w:szCs w:val="20"/>
              </w:rPr>
              <w:t xml:space="preserve">+0.0002</w:t>
            </w:r>
          </w:p>
        </w:tc>
      </w:tr>
      <w:tr>
        <w:tc>
          <w:tcPr/>
          <w:p>
            <w:pPr>
              <w:pStyle w:val="Compact"/>
              <w:spacing w:before="0" w:after="0" w:line="240" w:lineRule="auto"/>
              <w:ind w:firstLine="0" w:left="0"/>
            </w:pPr>
            <w:r>
              <w:rPr>
                <w:sz w:val="20"/>
                <w:szCs w:val="20"/>
              </w:rPr>
              <w:t xml:space="preserve">05 Furnishings and household equipment</w:t>
            </w:r>
          </w:p>
        </w:tc>
        <w:tc>
          <w:tcPr/>
          <w:p>
            <w:pPr>
              <w:pStyle w:val="Compact"/>
              <w:spacing w:before="0" w:after="0" w:line="240" w:lineRule="auto"/>
              <w:ind w:firstLine="0" w:left="0"/>
            </w:pPr>
            <w:r>
              <w:rPr>
                <w:sz w:val="20"/>
                <w:szCs w:val="20"/>
              </w:rPr>
              <w:t xml:space="preserve">3.2</w:t>
            </w:r>
          </w:p>
        </w:tc>
        <w:tc>
          <w:tcPr/>
          <w:p>
            <w:pPr>
              <w:pStyle w:val="Compact"/>
              <w:spacing w:before="0" w:after="0" w:line="240" w:lineRule="auto"/>
              <w:ind w:firstLine="0" w:left="0"/>
            </w:pPr>
            <w:r>
              <w:rPr>
                <w:sz w:val="20"/>
                <w:szCs w:val="20"/>
              </w:rPr>
              <w:t xml:space="preserve">2.4</w:t>
            </w:r>
          </w:p>
        </w:tc>
        <w:tc>
          <w:tcPr/>
          <w:p>
            <w:pPr>
              <w:pStyle w:val="Compact"/>
              <w:spacing w:before="0" w:after="0" w:line="240" w:lineRule="auto"/>
              <w:ind w:firstLine="0" w:left="0"/>
            </w:pPr>
            <w:r>
              <w:rPr>
                <w:sz w:val="20"/>
                <w:szCs w:val="20"/>
              </w:rPr>
              <w:t xml:space="preserve">0.031*** (0.010)</w:t>
            </w:r>
          </w:p>
        </w:tc>
        <w:tc>
          <w:tcPr/>
          <w:p>
            <w:pPr>
              <w:pStyle w:val="Compact"/>
              <w:spacing w:before="0" w:after="0" w:line="240" w:lineRule="auto"/>
              <w:ind w:firstLine="0" w:left="0"/>
            </w:pPr>
            <w:r>
              <w:rPr>
                <w:sz w:val="20"/>
                <w:szCs w:val="20"/>
              </w:rPr>
              <w:t xml:space="preserve">+0.0003</w:t>
            </w:r>
          </w:p>
        </w:tc>
      </w:tr>
      <w:tr>
        <w:tc>
          <w:tcPr/>
          <w:p>
            <w:pPr>
              <w:pStyle w:val="Compact"/>
              <w:spacing w:before="0" w:after="0" w:line="240" w:lineRule="auto"/>
              <w:ind w:firstLine="0" w:left="0"/>
            </w:pPr>
            <w:r>
              <w:rPr>
                <w:sz w:val="20"/>
                <w:szCs w:val="20"/>
              </w:rPr>
              <w:t xml:space="preserve">06 Health</w:t>
            </w:r>
          </w:p>
        </w:tc>
        <w:tc>
          <w:tcPr/>
          <w:p>
            <w:pPr>
              <w:pStyle w:val="Compact"/>
              <w:spacing w:before="0" w:after="0" w:line="240" w:lineRule="auto"/>
              <w:ind w:firstLine="0" w:left="0"/>
            </w:pPr>
            <w:r>
              <w:rPr>
                <w:sz w:val="20"/>
                <w:szCs w:val="20"/>
              </w:rPr>
              <w:t xml:space="preserve">2.9</w:t>
            </w:r>
          </w:p>
        </w:tc>
        <w:tc>
          <w:tcPr/>
          <w:p>
            <w:pPr>
              <w:pStyle w:val="Compact"/>
              <w:spacing w:before="0" w:after="0" w:line="240" w:lineRule="auto"/>
              <w:ind w:firstLine="0" w:left="0"/>
            </w:pPr>
            <w:r>
              <w:rPr>
                <w:sz w:val="20"/>
                <w:szCs w:val="20"/>
              </w:rPr>
              <w:t xml:space="preserve">1.4</w:t>
            </w:r>
          </w:p>
        </w:tc>
        <w:tc>
          <w:tcPr/>
          <w:p>
            <w:pPr>
              <w:pStyle w:val="Compact"/>
              <w:spacing w:before="0" w:after="0" w:line="240" w:lineRule="auto"/>
              <w:ind w:firstLine="0" w:left="0"/>
            </w:pPr>
            <w:r>
              <w:rPr>
                <w:sz w:val="20"/>
                <w:szCs w:val="20"/>
              </w:rPr>
              <w:t xml:space="preserve">0.027** (0.013)</w:t>
            </w:r>
          </w:p>
        </w:tc>
        <w:tc>
          <w:tcPr/>
          <w:p>
            <w:pPr>
              <w:pStyle w:val="Compact"/>
              <w:spacing w:before="0" w:after="0" w:line="240" w:lineRule="auto"/>
              <w:ind w:firstLine="0" w:left="0"/>
            </w:pPr>
            <w:r>
              <w:rPr>
                <w:sz w:val="20"/>
                <w:szCs w:val="20"/>
              </w:rPr>
              <w:t xml:space="preserve">+0.0004</w:t>
            </w:r>
          </w:p>
        </w:tc>
      </w:tr>
      <w:tr>
        <w:tc>
          <w:tcPr/>
          <w:p>
            <w:pPr>
              <w:pStyle w:val="Compact"/>
              <w:spacing w:before="0" w:after="0" w:line="240" w:lineRule="auto"/>
              <w:ind w:firstLine="0" w:left="0"/>
            </w:pPr>
            <w:r>
              <w:rPr>
                <w:sz w:val="20"/>
                <w:szCs w:val="20"/>
              </w:rPr>
              <w:t xml:space="preserve">13 Personal care and miscellaneous</w:t>
            </w:r>
          </w:p>
        </w:tc>
        <w:tc>
          <w:tcPr/>
          <w:p>
            <w:pPr>
              <w:pStyle w:val="Compact"/>
              <w:spacing w:before="0" w:after="0" w:line="240" w:lineRule="auto"/>
              <w:ind w:firstLine="0" w:left="0"/>
            </w:pPr>
            <w:r>
              <w:rPr>
                <w:sz w:val="20"/>
                <w:szCs w:val="20"/>
              </w:rPr>
              <w:t xml:space="preserve">4.5</w:t>
            </w:r>
          </w:p>
        </w:tc>
        <w:tc>
          <w:tcPr/>
          <w:p>
            <w:pPr>
              <w:pStyle w:val="Compact"/>
              <w:spacing w:before="0" w:after="0" w:line="240" w:lineRule="auto"/>
              <w:ind w:firstLine="0" w:left="0"/>
            </w:pPr>
            <w:r>
              <w:rPr>
                <w:sz w:val="20"/>
                <w:szCs w:val="20"/>
              </w:rPr>
              <w:t xml:space="preserve">4.8</w:t>
            </w:r>
          </w:p>
        </w:tc>
        <w:tc>
          <w:tcPr/>
          <w:p>
            <w:pPr>
              <w:pStyle w:val="Compact"/>
              <w:spacing w:before="0" w:after="0" w:line="240" w:lineRule="auto"/>
              <w:ind w:firstLine="0" w:left="0"/>
            </w:pPr>
            <w:r>
              <w:rPr>
                <w:sz w:val="20"/>
                <w:szCs w:val="20"/>
              </w:rPr>
              <w:t xml:space="preserve">0.025*** (0.009)</w:t>
            </w:r>
          </w:p>
        </w:tc>
        <w:tc>
          <w:tcPr/>
          <w:p>
            <w:pPr>
              <w:pStyle w:val="Compact"/>
              <w:spacing w:before="0" w:after="0" w:line="240" w:lineRule="auto"/>
              <w:ind w:firstLine="0" w:left="0"/>
            </w:pPr>
            <w:r>
              <w:rPr>
                <w:sz w:val="20"/>
                <w:szCs w:val="20"/>
              </w:rPr>
              <w:t xml:space="preserve">−0.0001</w:t>
            </w:r>
          </w:p>
        </w:tc>
      </w:tr>
      <w:tr>
        <w:tc>
          <w:tcPr/>
          <w:p>
            <w:pPr>
              <w:pStyle w:val="Compact"/>
              <w:spacing w:before="0" w:after="0" w:line="240" w:lineRule="auto"/>
              <w:ind w:firstLine="0" w:left="0"/>
            </w:pPr>
            <w:r>
              <w:rPr>
                <w:sz w:val="20"/>
                <w:szCs w:val="20"/>
              </w:rPr>
              <w:t xml:space="preserve">09 Recreation, sport and culture</w:t>
            </w:r>
          </w:p>
        </w:tc>
        <w:tc>
          <w:tcPr/>
          <w:p>
            <w:pPr>
              <w:pStyle w:val="Compact"/>
              <w:spacing w:before="0" w:after="0" w:line="240" w:lineRule="auto"/>
              <w:ind w:firstLine="0" w:left="0"/>
            </w:pPr>
            <w:r>
              <w:rPr>
                <w:sz w:val="20"/>
                <w:szCs w:val="20"/>
              </w:rPr>
              <w:t xml:space="preserve">1.0</w:t>
            </w:r>
          </w:p>
        </w:tc>
        <w:tc>
          <w:tcPr/>
          <w:p>
            <w:pPr>
              <w:pStyle w:val="Compact"/>
              <w:spacing w:before="0" w:after="0" w:line="240" w:lineRule="auto"/>
              <w:ind w:firstLine="0" w:left="0"/>
            </w:pPr>
            <w:r>
              <w:rPr>
                <w:sz w:val="20"/>
                <w:szCs w:val="20"/>
              </w:rPr>
              <w:t xml:space="preserve">0.7</w:t>
            </w:r>
          </w:p>
        </w:tc>
        <w:tc>
          <w:tcPr/>
          <w:p>
            <w:pPr>
              <w:pStyle w:val="Compact"/>
              <w:spacing w:before="0" w:after="0" w:line="240" w:lineRule="auto"/>
              <w:ind w:firstLine="0" w:left="0"/>
            </w:pPr>
            <w:r>
              <w:rPr>
                <w:sz w:val="20"/>
                <w:szCs w:val="20"/>
              </w:rPr>
              <w:t xml:space="preserve">0.024 (0.025)</w:t>
            </w:r>
          </w:p>
        </w:tc>
        <w:tc>
          <w:tcPr/>
          <w:p>
            <w:pPr>
              <w:pStyle w:val="Compact"/>
              <w:spacing w:before="0" w:after="0" w:line="240" w:lineRule="auto"/>
              <w:ind w:firstLine="0" w:left="0"/>
            </w:pPr>
            <w:r>
              <w:rPr>
                <w:sz w:val="20"/>
                <w:szCs w:val="20"/>
              </w:rPr>
              <w:t xml:space="preserve">+0.0001</w:t>
            </w:r>
          </w:p>
        </w:tc>
      </w:tr>
      <w:tr>
        <w:tc>
          <w:tcPr/>
          <w:p>
            <w:pPr>
              <w:pStyle w:val="Compact"/>
              <w:spacing w:before="0" w:after="0" w:line="240" w:lineRule="auto"/>
              <w:ind w:firstLine="0" w:left="0"/>
            </w:pPr>
            <w:r>
              <w:rPr>
                <w:sz w:val="20"/>
                <w:szCs w:val="20"/>
              </w:rPr>
              <w:t xml:space="preserve">08 Information and communication</w:t>
            </w:r>
          </w:p>
        </w:tc>
        <w:tc>
          <w:tcPr/>
          <w:p>
            <w:pPr>
              <w:pStyle w:val="Compact"/>
              <w:spacing w:before="0" w:after="0" w:line="240" w:lineRule="auto"/>
              <w:ind w:firstLine="0" w:left="0"/>
            </w:pPr>
            <w:r>
              <w:rPr>
                <w:sz w:val="20"/>
                <w:szCs w:val="20"/>
              </w:rPr>
              <w:t xml:space="preserve">3.4</w:t>
            </w:r>
          </w:p>
        </w:tc>
        <w:tc>
          <w:tcPr/>
          <w:p>
            <w:pPr>
              <w:pStyle w:val="Compact"/>
              <w:spacing w:before="0" w:after="0" w:line="240" w:lineRule="auto"/>
              <w:ind w:firstLine="0" w:left="0"/>
            </w:pPr>
            <w:r>
              <w:rPr>
                <w:sz w:val="20"/>
                <w:szCs w:val="20"/>
              </w:rPr>
              <w:t xml:space="preserve">1.0</w:t>
            </w:r>
          </w:p>
        </w:tc>
        <w:tc>
          <w:tcPr/>
          <w:p>
            <w:pPr>
              <w:pStyle w:val="Compact"/>
              <w:spacing w:before="0" w:after="0" w:line="240" w:lineRule="auto"/>
              <w:ind w:firstLine="0" w:left="0"/>
            </w:pPr>
            <w:r>
              <w:rPr>
                <w:sz w:val="20"/>
                <w:szCs w:val="20"/>
              </w:rPr>
              <w:t xml:space="preserve">0.019*** (0.007)</w:t>
            </w:r>
          </w:p>
        </w:tc>
        <w:tc>
          <w:tcPr/>
          <w:p>
            <w:pPr>
              <w:pStyle w:val="Compact"/>
              <w:spacing w:before="0" w:after="0" w:line="240" w:lineRule="auto"/>
              <w:ind w:firstLine="0" w:left="0"/>
            </w:pPr>
            <w:r>
              <w:rPr>
                <w:sz w:val="20"/>
                <w:szCs w:val="20"/>
              </w:rPr>
              <w:t xml:space="preserve">+0.0005</w:t>
            </w:r>
          </w:p>
        </w:tc>
      </w:tr>
      <w:tr>
        <w:tc>
          <w:tcPr/>
          <w:p>
            <w:pPr>
              <w:pStyle w:val="Compact"/>
              <w:spacing w:before="0" w:after="0" w:line="240" w:lineRule="auto"/>
              <w:ind w:firstLine="0" w:left="0"/>
            </w:pPr>
            <w:r>
              <w:rPr>
                <w:sz w:val="20"/>
                <w:szCs w:val="20"/>
              </w:rPr>
              <w:t xml:space="preserve">02 Alcoholic beverages and tobacco</w:t>
            </w:r>
          </w:p>
        </w:tc>
        <w:tc>
          <w:tcPr/>
          <w:p>
            <w:pPr>
              <w:pStyle w:val="Compact"/>
              <w:spacing w:before="0" w:after="0" w:line="240" w:lineRule="auto"/>
              <w:ind w:firstLine="0" w:left="0"/>
            </w:pPr>
            <w:r>
              <w:rPr>
                <w:sz w:val="20"/>
                <w:szCs w:val="20"/>
              </w:rPr>
              <w:t xml:space="preserve">2.2</w:t>
            </w:r>
          </w:p>
        </w:tc>
        <w:tc>
          <w:tcPr/>
          <w:p>
            <w:pPr>
              <w:pStyle w:val="Compact"/>
              <w:spacing w:before="0" w:after="0" w:line="240" w:lineRule="auto"/>
              <w:ind w:firstLine="0" w:left="0"/>
            </w:pPr>
            <w:r>
              <w:rPr>
                <w:sz w:val="20"/>
                <w:szCs w:val="20"/>
              </w:rPr>
              <w:t xml:space="preserve">2.6</w:t>
            </w:r>
          </w:p>
        </w:tc>
        <w:tc>
          <w:tcPr/>
          <w:p>
            <w:pPr>
              <w:pStyle w:val="Compact"/>
              <w:spacing w:before="0" w:after="0" w:line="240" w:lineRule="auto"/>
              <w:ind w:firstLine="0" w:left="0"/>
            </w:pPr>
            <w:r>
              <w:rPr>
                <w:sz w:val="20"/>
                <w:szCs w:val="20"/>
              </w:rPr>
              <w:t xml:space="preserve">0.018 (0.055)</w:t>
            </w:r>
          </w:p>
        </w:tc>
        <w:tc>
          <w:tcPr/>
          <w:p>
            <w:pPr>
              <w:pStyle w:val="Compact"/>
              <w:spacing w:before="0" w:after="0" w:line="240" w:lineRule="auto"/>
              <w:ind w:firstLine="0" w:left="0"/>
            </w:pPr>
            <w:r>
              <w:rPr>
                <w:sz w:val="20"/>
                <w:szCs w:val="20"/>
              </w:rPr>
              <w:t xml:space="preserve">−0.0001</w:t>
            </w:r>
          </w:p>
        </w:tc>
      </w:tr>
      <w:tr>
        <w:tc>
          <w:tcPr/>
          <w:p>
            <w:pPr>
              <w:pStyle w:val="Compact"/>
              <w:spacing w:before="0" w:after="0" w:line="240" w:lineRule="auto"/>
              <w:ind w:firstLine="0" w:left="0"/>
            </w:pPr>
            <w:r>
              <w:rPr>
                <w:sz w:val="20"/>
                <w:szCs w:val="20"/>
              </w:rPr>
              <w:t xml:space="preserve">10 Education services</w:t>
            </w:r>
          </w:p>
        </w:tc>
        <w:tc>
          <w:tcPr/>
          <w:p>
            <w:pPr>
              <w:pStyle w:val="Compact"/>
              <w:spacing w:before="0" w:after="0" w:line="240" w:lineRule="auto"/>
              <w:ind w:firstLine="0" w:left="0"/>
            </w:pPr>
            <w:r>
              <w:rPr>
                <w:sz w:val="20"/>
                <w:szCs w:val="20"/>
              </w:rPr>
              <w:t xml:space="preserve">2.0</w:t>
            </w:r>
          </w:p>
        </w:tc>
        <w:tc>
          <w:tcPr/>
          <w:p>
            <w:pPr>
              <w:pStyle w:val="Compact"/>
              <w:spacing w:before="0" w:after="0" w:line="240" w:lineRule="auto"/>
              <w:ind w:firstLine="0" w:left="0"/>
            </w:pPr>
            <w:r>
              <w:rPr>
                <w:sz w:val="20"/>
                <w:szCs w:val="20"/>
              </w:rPr>
              <w:t xml:space="preserve">0.4</w:t>
            </w:r>
          </w:p>
        </w:tc>
        <w:tc>
          <w:tcPr/>
          <w:p>
            <w:pPr>
              <w:pStyle w:val="Compact"/>
              <w:spacing w:before="0" w:after="0" w:line="240" w:lineRule="auto"/>
              <w:ind w:firstLine="0" w:left="0"/>
            </w:pPr>
            <w:r>
              <w:rPr>
                <w:sz w:val="20"/>
                <w:szCs w:val="20"/>
              </w:rPr>
              <w:t xml:space="preserve">−0.009 (0.022)</w:t>
            </w:r>
          </w:p>
        </w:tc>
        <w:tc>
          <w:tcPr/>
          <w:p>
            <w:pPr>
              <w:pStyle w:val="Compact"/>
              <w:spacing w:before="0" w:after="0" w:line="240" w:lineRule="auto"/>
              <w:ind w:firstLine="0" w:left="0"/>
            </w:pPr>
            <w:r>
              <w:rPr>
                <w:sz w:val="20"/>
                <w:szCs w:val="20"/>
              </w:rPr>
              <w:t xml:space="preserve">−0.0001</w:t>
            </w:r>
          </w:p>
        </w:tc>
      </w:tr>
      <w:tr>
        <w:tc>
          <w:tcPr/>
          <w:p>
            <w:pPr>
              <w:pStyle w:val="Compact"/>
              <w:spacing w:before="0" w:after="0" w:line="240" w:lineRule="auto"/>
              <w:ind w:firstLine="0" w:left="0"/>
            </w:pPr>
            <w:r>
              <w:rPr>
                <w:sz w:val="20"/>
                <w:szCs w:val="20"/>
              </w:rPr>
              <w:t xml:space="preserve">Total</w:t>
            </w:r>
          </w:p>
        </w:tc>
        <w:tc>
          <w:tcPr/>
          <w:p>
            <w:pPr>
              <w:pStyle w:val="Compact"/>
              <w:spacing w:before="0" w:after="0" w:line="240" w:lineRule="auto"/>
              <w:ind w:firstLine="0" w:left="0"/>
            </w:pPr>
            <w:r>
              <w:rPr>
                <w:sz w:val="20"/>
                <w:szCs w:val="20"/>
              </w:rPr>
              <w:t xml:space="preserve">100.0</w:t>
            </w:r>
          </w:p>
        </w:tc>
        <w:tc>
          <w:tcPr/>
          <w:p>
            <w:pPr>
              <w:pStyle w:val="Compact"/>
              <w:spacing w:before="0" w:after="0" w:line="240" w:lineRule="auto"/>
              <w:ind w:firstLine="0" w:left="0"/>
            </w:pPr>
            <w:r>
              <w:rPr>
                <w:sz w:val="20"/>
                <w:szCs w:val="20"/>
              </w:rPr>
              <w:t xml:space="preserve">100.0</w:t>
            </w:r>
          </w:p>
        </w:tc>
        <w:tc>
          <w:tcPr/>
          <w:p>
            <w:pPr>
              <w:pStyle w:val="Compact"/>
              <w:spacing w:before="0" w:after="0" w:line="240" w:lineRule="auto"/>
              <w:ind w:firstLine="0" w:left="0"/>
            </w:pPr>
          </w:p>
        </w:tc>
        <w:tc>
          <w:tcPr/>
          <w:p>
            <w:pPr>
              <w:pStyle w:val="Compact"/>
              <w:spacing w:before="0" w:after="0" w:line="240" w:lineRule="auto"/>
              <w:ind w:firstLine="0" w:left="0"/>
            </w:pPr>
            <w:r>
              <w:rPr>
                <w:sz w:val="20"/>
                <w:szCs w:val="20"/>
              </w:rPr>
              <w:t xml:space="preserve">+0.0101</w:t>
            </w:r>
          </w:p>
        </w:tc>
      </w:tr>
    </w:tbl>
    <w:p>
      <w:pPr>
        <w:pStyle w:val="TableNote"/>
      </w:pPr>
      <w:r>
        <w:rPr>
          <w:i/>
          <w:iCs/>
        </w:rPr>
        <w:t xml:space="preserve">Notes:</w:t>
      </w:r>
      <w:r>
        <w:t xml:space="preserve"> </w:t>
      </w:r>
      <w:r>
        <w:t xml:space="preserve">National; Newey–West standard errors in parentheses. Last column: response × (all-income share − bottom-30% share) ÷ 100; positive values push toward a progressive gap.</w:t>
      </w:r>
    </w:p>
    <w:p>
      <w:pPr>
        <w:pStyle w:val="TableCaption"/>
      </w:pPr>
      <w:r>
        <w:t xml:space="preserve">Table A2. The gap in groups of regions (17-region panel, Driscoll–Kraay standard errors)</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Caption w:val="Table A2. The gap in groups of regions (17-region panel, Driscoll–Kraay standard errors)"/>
      </w:tblPr>
      <w:tblGrid>
        <w:gridCol w:w="2640"/>
        <w:gridCol w:w="2640"/>
        <w:gridCol w:w="264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Group G</w:t>
            </w:r>
          </w:p>
        </w:tc>
        <w:tc>
          <w:tcPr>
            <w:tcBorders>
              <w:bottom w:val="single" w:sz="6" w:space="0" w:color="000000"/>
            </w:tcBorders>
          </w:tcPr>
          <w:p>
            <w:pPr>
              <w:pStyle w:val="Compact"/>
              <w:spacing w:before="0" w:after="0" w:line="240" w:lineRule="auto"/>
              <w:ind w:firstLine="0" w:left="0"/>
            </w:pPr>
            <w:r>
              <w:rPr>
                <w:sz w:val="20"/>
                <w:szCs w:val="20"/>
              </w:rPr>
              <w:t xml:space="preserve">Other regions, h = 12</w:t>
            </w:r>
          </w:p>
        </w:tc>
        <w:tc>
          <w:tcPr>
            <w:tcBorders>
              <w:bottom w:val="single" w:sz="6" w:space="0" w:color="000000"/>
            </w:tcBorders>
          </w:tcPr>
          <w:p>
            <w:pPr>
              <w:pStyle w:val="Compact"/>
              <w:spacing w:before="0" w:after="0" w:line="240" w:lineRule="auto"/>
              <w:ind w:firstLine="0" w:left="0"/>
            </w:pPr>
            <w:r>
              <w:rPr>
                <w:sz w:val="20"/>
                <w:szCs w:val="20"/>
              </w:rPr>
              <w:t xml:space="preserve">Extra effect in G, h = 12</w:t>
            </w:r>
          </w:p>
        </w:tc>
      </w:tr>
      <w:tr>
        <w:tc>
          <w:tcPr/>
          <w:p>
            <w:pPr>
              <w:pStyle w:val="Compact"/>
              <w:spacing w:before="0" w:after="0" w:line="240" w:lineRule="auto"/>
              <w:ind w:firstLine="0" w:left="0"/>
            </w:pPr>
            <w:r>
              <w:rPr>
                <w:sz w:val="20"/>
                <w:szCs w:val="20"/>
              </w:rPr>
              <w:t xml:space="preserve">High poverty (2018 incidence above the median)</w:t>
            </w:r>
          </w:p>
        </w:tc>
        <w:tc>
          <w:tcPr/>
          <w:p>
            <w:pPr>
              <w:pStyle w:val="Compact"/>
              <w:spacing w:before="0" w:after="0" w:line="240" w:lineRule="auto"/>
              <w:ind w:firstLine="0" w:left="0"/>
            </w:pPr>
            <w:r>
              <w:rPr>
                <w:sz w:val="20"/>
                <w:szCs w:val="20"/>
              </w:rPr>
              <w:t xml:space="preserve">−0.0131 (0.0100)</w:t>
            </w:r>
          </w:p>
        </w:tc>
        <w:tc>
          <w:tcPr/>
          <w:p>
            <w:pPr>
              <w:pStyle w:val="Compact"/>
              <w:spacing w:before="0" w:after="0" w:line="240" w:lineRule="auto"/>
              <w:ind w:firstLine="0" w:left="0"/>
            </w:pPr>
            <w:r>
              <w:rPr>
                <w:sz w:val="20"/>
                <w:szCs w:val="20"/>
              </w:rPr>
              <w:t xml:space="preserve">−0.0095 (0.0078)</w:t>
            </w:r>
          </w:p>
        </w:tc>
      </w:tr>
      <w:tr>
        <w:tc>
          <w:tcPr/>
          <w:p>
            <w:pPr>
              <w:pStyle w:val="Compact"/>
              <w:spacing w:before="0" w:after="0" w:line="240" w:lineRule="auto"/>
              <w:ind w:firstLine="0" w:left="0"/>
            </w:pPr>
            <w:r>
              <w:rPr>
                <w:sz w:val="20"/>
                <w:szCs w:val="20"/>
              </w:rPr>
              <w:t xml:space="preserve">High food share (above the median)</w:t>
            </w:r>
          </w:p>
        </w:tc>
        <w:tc>
          <w:tcPr/>
          <w:p>
            <w:pPr>
              <w:pStyle w:val="Compact"/>
              <w:spacing w:before="0" w:after="0" w:line="240" w:lineRule="auto"/>
              <w:ind w:firstLine="0" w:left="0"/>
            </w:pPr>
            <w:r>
              <w:rPr>
                <w:sz w:val="20"/>
                <w:szCs w:val="20"/>
              </w:rPr>
              <w:t xml:space="preserve">−0.0216** (0.0094)</w:t>
            </w:r>
          </w:p>
        </w:tc>
        <w:tc>
          <w:tcPr/>
          <w:p>
            <w:pPr>
              <w:pStyle w:val="Compact"/>
              <w:spacing w:before="0" w:after="0" w:line="240" w:lineRule="auto"/>
              <w:ind w:firstLine="0" w:left="0"/>
            </w:pPr>
            <w:r>
              <w:rPr>
                <w:sz w:val="20"/>
                <w:szCs w:val="20"/>
              </w:rPr>
              <w:t xml:space="preserve">0.0100* (0.0052)</w:t>
            </w:r>
          </w:p>
        </w:tc>
      </w:tr>
      <w:tr>
        <w:tc>
          <w:tcPr/>
          <w:p>
            <w:pPr>
              <w:pStyle w:val="Compact"/>
              <w:spacing w:before="0" w:after="0" w:line="240" w:lineRule="auto"/>
              <w:ind w:firstLine="0" w:left="0"/>
            </w:pPr>
            <w:r>
              <w:rPr>
                <w:sz w:val="20"/>
                <w:szCs w:val="20"/>
              </w:rPr>
              <w:t xml:space="preserve">Mindanao</w:t>
            </w:r>
          </w:p>
        </w:tc>
        <w:tc>
          <w:tcPr/>
          <w:p>
            <w:pPr>
              <w:pStyle w:val="Compact"/>
              <w:spacing w:before="0" w:after="0" w:line="240" w:lineRule="auto"/>
              <w:ind w:firstLine="0" w:left="0"/>
            </w:pPr>
            <w:r>
              <w:rPr>
                <w:sz w:val="20"/>
                <w:szCs w:val="20"/>
              </w:rPr>
              <w:t xml:space="preserve">−0.0118 (0.0096)</w:t>
            </w:r>
          </w:p>
        </w:tc>
        <w:tc>
          <w:tcPr/>
          <w:p>
            <w:pPr>
              <w:pStyle w:val="Compact"/>
              <w:spacing w:before="0" w:after="0" w:line="240" w:lineRule="auto"/>
              <w:ind w:firstLine="0" w:left="0"/>
            </w:pPr>
            <w:r>
              <w:rPr>
                <w:sz w:val="20"/>
                <w:szCs w:val="20"/>
              </w:rPr>
              <w:t xml:space="preserve">−0.0166* (0.0092)</w:t>
            </w:r>
          </w:p>
        </w:tc>
      </w:tr>
      <w:tr>
        <w:tc>
          <w:tcPr/>
          <w:p>
            <w:pPr>
              <w:pStyle w:val="Compact"/>
              <w:spacing w:before="0" w:after="0" w:line="240" w:lineRule="auto"/>
              <w:ind w:firstLine="0" w:left="0"/>
            </w:pPr>
            <w:r>
              <w:rPr>
                <w:sz w:val="20"/>
                <w:szCs w:val="20"/>
              </w:rPr>
              <w:t xml:space="preserve">Island regions (MIMAROPA, VI, VII, VIII)</w:t>
            </w:r>
          </w:p>
        </w:tc>
        <w:tc>
          <w:tcPr/>
          <w:p>
            <w:pPr>
              <w:pStyle w:val="Compact"/>
              <w:spacing w:before="0" w:after="0" w:line="240" w:lineRule="auto"/>
              <w:ind w:firstLine="0" w:left="0"/>
            </w:pPr>
            <w:r>
              <w:rPr>
                <w:sz w:val="20"/>
                <w:szCs w:val="20"/>
              </w:rPr>
              <w:t xml:space="preserve">−0.0147* (0.0079)</w:t>
            </w:r>
          </w:p>
        </w:tc>
        <w:tc>
          <w:tcPr/>
          <w:p>
            <w:pPr>
              <w:pStyle w:val="Compact"/>
              <w:spacing w:before="0" w:after="0" w:line="240" w:lineRule="auto"/>
              <w:ind w:firstLine="0" w:left="0"/>
            </w:pPr>
            <w:r>
              <w:rPr>
                <w:sz w:val="20"/>
                <w:szCs w:val="20"/>
              </w:rPr>
              <w:t xml:space="preserve">−0.0123 (0.0086)</w:t>
            </w:r>
          </w:p>
        </w:tc>
      </w:tr>
    </w:tbl>
    <w:p>
      <w:pPr>
        <w:pStyle w:val="CaptionedFigure"/>
      </w:pPr>
      <w:r>
        <w:drawing>
          <wp:inline>
            <wp:extent cx="4754880" cy="1890081"/>
            <wp:effectExtent b="0" l="0" r="0" t="0"/>
            <wp:docPr descr="Figure A1. Extra effect on the gap after 12 months in groups of regions (90% CI). None survives a correction for testing four groups." title="" id="104" name="Picture"/>
            <a:graphic>
              <a:graphicData uri="http://schemas.openxmlformats.org/drawingml/2006/picture">
                <pic:pic>
                  <pic:nvPicPr>
                    <pic:cNvPr descr="../output/figures/figA2_region_groups.png" id="105" name="Picture"/>
                    <pic:cNvPicPr>
                      <a:picLocks noChangeArrowheads="1" noChangeAspect="1"/>
                    </pic:cNvPicPr>
                  </pic:nvPicPr>
                  <pic:blipFill>
                    <a:blip r:embed="rId103"/>
                    <a:stretch>
                      <a:fillRect/>
                    </a:stretch>
                  </pic:blipFill>
                  <pic:spPr bwMode="auto">
                    <a:xfrm>
                      <a:off x="0" y="0"/>
                      <a:ext cx="4754880" cy="1890081"/>
                    </a:xfrm>
                    <a:prstGeom prst="rect">
                      <a:avLst/>
                    </a:prstGeom>
                    <a:noFill/>
                    <a:ln w="9525">
                      <a:noFill/>
                      <a:headEnd/>
                      <a:tailEnd/>
                    </a:ln>
                  </pic:spPr>
                </pic:pic>
              </a:graphicData>
            </a:graphic>
          </wp:inline>
        </w:drawing>
      </w:r>
    </w:p>
    <w:p>
      <w:pPr>
        <w:pStyle w:val="ImageCaption"/>
      </w:pPr>
      <w:r>
        <w:t xml:space="preserve">Figure A1. Extra effect on the gap after 12 months in groups of regions (90% CI). None survives a correction for testing four groups.</w:t>
      </w:r>
    </w:p>
    <w:p>
      <w:pPr>
        <w:pStyle w:val="TableCaption"/>
      </w:pPr>
      <w:r>
        <w:t xml:space="preserve">Table A3. Further robustness checks</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Caption w:val="Table A3. Further robustness checks"/>
      </w:tblPr>
      <w:tblGrid>
        <w:gridCol w:w="1980"/>
        <w:gridCol w:w="1980"/>
        <w:gridCol w:w="1980"/>
        <w:gridCol w:w="198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Specification</w:t>
            </w:r>
          </w:p>
        </w:tc>
        <w:tc>
          <w:tcPr>
            <w:tcBorders>
              <w:bottom w:val="single" w:sz="6" w:space="0" w:color="000000"/>
            </w:tcBorders>
          </w:tcPr>
          <w:p>
            <w:pPr>
              <w:pStyle w:val="Compact"/>
              <w:spacing w:before="0" w:after="0" w:line="240" w:lineRule="auto"/>
              <w:ind w:firstLine="0" w:left="0"/>
            </w:pPr>
            <w:r>
              <w:rPr>
                <w:sz w:val="20"/>
                <w:szCs w:val="20"/>
              </w:rPr>
              <w:t xml:space="preserve">Gap, h = 6</w:t>
            </w:r>
          </w:p>
        </w:tc>
        <w:tc>
          <w:tcPr>
            <w:tcBorders>
              <w:bottom w:val="single" w:sz="6" w:space="0" w:color="000000"/>
            </w:tcBorders>
          </w:tcPr>
          <w:p>
            <w:pPr>
              <w:pStyle w:val="Compact"/>
              <w:spacing w:before="0" w:after="0" w:line="240" w:lineRule="auto"/>
              <w:ind w:firstLine="0" w:left="0"/>
            </w:pPr>
            <w:r>
              <w:rPr>
                <w:sz w:val="20"/>
                <w:szCs w:val="20"/>
              </w:rPr>
              <w:t xml:space="preserve">Gap, h = 12</w:t>
            </w:r>
          </w:p>
        </w:tc>
        <w:tc>
          <w:tcPr>
            <w:tcBorders>
              <w:bottom w:val="single" w:sz="6" w:space="0" w:color="000000"/>
            </w:tcBorders>
          </w:tcPr>
          <w:p>
            <w:pPr>
              <w:pStyle w:val="Compact"/>
              <w:spacing w:before="0" w:after="0" w:line="240" w:lineRule="auto"/>
              <w:ind w:firstLine="0" w:left="0"/>
            </w:pPr>
            <w:r>
              <w:rPr>
                <w:sz w:val="20"/>
                <w:szCs w:val="20"/>
              </w:rPr>
              <w:t xml:space="preserve">CPI all, h = 12</w:t>
            </w:r>
          </w:p>
        </w:tc>
      </w:tr>
      <w:tr>
        <w:tc>
          <w:tcPr/>
          <w:p>
            <w:pPr>
              <w:pStyle w:val="Compact"/>
              <w:spacing w:before="0" w:after="0" w:line="240" w:lineRule="auto"/>
              <w:ind w:firstLine="0" w:left="0"/>
            </w:pPr>
            <w:r>
              <w:rPr>
                <w:sz w:val="20"/>
                <w:szCs w:val="20"/>
              </w:rPr>
              <w:t xml:space="preserve">6 lags</w:t>
            </w:r>
          </w:p>
        </w:tc>
        <w:tc>
          <w:tcPr/>
          <w:p>
            <w:pPr>
              <w:pStyle w:val="Compact"/>
              <w:spacing w:before="0" w:after="0" w:line="240" w:lineRule="auto"/>
              <w:ind w:firstLine="0" w:left="0"/>
            </w:pPr>
            <w:r>
              <w:rPr>
                <w:sz w:val="20"/>
                <w:szCs w:val="20"/>
              </w:rPr>
              <w:t xml:space="preserve">−0.0160* (0.0093)</w:t>
            </w:r>
          </w:p>
        </w:tc>
        <w:tc>
          <w:tcPr/>
          <w:p>
            <w:pPr>
              <w:pStyle w:val="Compact"/>
              <w:spacing w:before="0" w:after="0" w:line="240" w:lineRule="auto"/>
              <w:ind w:firstLine="0" w:left="0"/>
            </w:pPr>
            <w:r>
              <w:rPr>
                <w:sz w:val="20"/>
                <w:szCs w:val="20"/>
              </w:rPr>
              <w:t xml:space="preserve">−0.0157 (0.0121)</w:t>
            </w:r>
          </w:p>
        </w:tc>
        <w:tc>
          <w:tcPr/>
          <w:p>
            <w:pPr>
              <w:pStyle w:val="Compact"/>
              <w:spacing w:before="0" w:after="0" w:line="240" w:lineRule="auto"/>
              <w:ind w:firstLine="0" w:left="0"/>
            </w:pPr>
            <w:r>
              <w:rPr>
                <w:sz w:val="20"/>
                <w:szCs w:val="20"/>
              </w:rPr>
              <w:t xml:space="preserve">0.107*** (0.020)</w:t>
            </w:r>
          </w:p>
        </w:tc>
      </w:tr>
      <w:tr>
        <w:tc>
          <w:tcPr/>
          <w:p>
            <w:pPr>
              <w:pStyle w:val="Compact"/>
              <w:spacing w:before="0" w:after="0" w:line="240" w:lineRule="auto"/>
              <w:ind w:firstLine="0" w:left="0"/>
            </w:pPr>
            <w:r>
              <w:rPr>
                <w:sz w:val="20"/>
                <w:szCs w:val="20"/>
              </w:rPr>
              <w:t xml:space="preserve">18 lags</w:t>
            </w:r>
          </w:p>
        </w:tc>
        <w:tc>
          <w:tcPr/>
          <w:p>
            <w:pPr>
              <w:pStyle w:val="Compact"/>
              <w:spacing w:before="0" w:after="0" w:line="240" w:lineRule="auto"/>
              <w:ind w:firstLine="0" w:left="0"/>
            </w:pPr>
            <w:r>
              <w:rPr>
                <w:sz w:val="20"/>
                <w:szCs w:val="20"/>
              </w:rPr>
              <w:t xml:space="preserve">−0.0191* (0.0106)</w:t>
            </w:r>
          </w:p>
        </w:tc>
        <w:tc>
          <w:tcPr/>
          <w:p>
            <w:pPr>
              <w:pStyle w:val="Compact"/>
              <w:spacing w:before="0" w:after="0" w:line="240" w:lineRule="auto"/>
              <w:ind w:firstLine="0" w:left="0"/>
            </w:pPr>
            <w:r>
              <w:rPr>
                <w:sz w:val="20"/>
                <w:szCs w:val="20"/>
              </w:rPr>
              <w:t xml:space="preserve">−0.0109 (0.0115)</w:t>
            </w:r>
          </w:p>
        </w:tc>
        <w:tc>
          <w:tcPr/>
          <w:p>
            <w:pPr>
              <w:pStyle w:val="Compact"/>
              <w:spacing w:before="0" w:after="0" w:line="240" w:lineRule="auto"/>
              <w:ind w:firstLine="0" w:left="0"/>
            </w:pPr>
            <w:r>
              <w:rPr>
                <w:sz w:val="20"/>
                <w:szCs w:val="20"/>
              </w:rPr>
              <w:t xml:space="preserve">0.109*** (0.018)</w:t>
            </w:r>
          </w:p>
        </w:tc>
      </w:tr>
      <w:tr>
        <w:tc>
          <w:tcPr/>
          <w:p>
            <w:pPr>
              <w:pStyle w:val="Compact"/>
              <w:spacing w:before="0" w:after="0" w:line="240" w:lineRule="auto"/>
              <w:ind w:firstLine="0" w:left="0"/>
            </w:pPr>
            <w:r>
              <w:rPr>
                <w:sz w:val="20"/>
                <w:szCs w:val="20"/>
              </w:rPr>
              <w:t xml:space="preserve">Shock dates to Dec 2025 only</w:t>
            </w:r>
          </w:p>
        </w:tc>
        <w:tc>
          <w:tcPr/>
          <w:p>
            <w:pPr>
              <w:pStyle w:val="Compact"/>
              <w:spacing w:before="0" w:after="0" w:line="240" w:lineRule="auto"/>
              <w:ind w:firstLine="0" w:left="0"/>
            </w:pPr>
            <w:r>
              <w:rPr>
                <w:sz w:val="20"/>
                <w:szCs w:val="20"/>
              </w:rPr>
              <w:t xml:space="preserve">−0.0158 (0.0097)</w:t>
            </w:r>
          </w:p>
        </w:tc>
        <w:tc>
          <w:tcPr/>
          <w:p>
            <w:pPr>
              <w:pStyle w:val="Compact"/>
              <w:spacing w:before="0" w:after="0" w:line="240" w:lineRule="auto"/>
              <w:ind w:firstLine="0" w:left="0"/>
            </w:pPr>
            <w:r>
              <w:rPr>
                <w:sz w:val="20"/>
                <w:szCs w:val="20"/>
              </w:rPr>
              <w:t xml:space="preserve">−0.0097 (0.0113)</w:t>
            </w:r>
          </w:p>
        </w:tc>
        <w:tc>
          <w:tcPr/>
          <w:p>
            <w:pPr>
              <w:pStyle w:val="Compact"/>
              <w:spacing w:before="0" w:after="0" w:line="240" w:lineRule="auto"/>
              <w:ind w:firstLine="0" w:left="0"/>
            </w:pPr>
            <w:r>
              <w:rPr>
                <w:sz w:val="20"/>
                <w:szCs w:val="20"/>
              </w:rPr>
              <w:t xml:space="preserve">0.102*** (0.017)</w:t>
            </w:r>
          </w:p>
        </w:tc>
      </w:tr>
      <w:tr>
        <w:tc>
          <w:tcPr/>
          <w:p>
            <w:pPr>
              <w:pStyle w:val="Compact"/>
              <w:spacing w:before="0" w:after="0" w:line="240" w:lineRule="auto"/>
              <w:ind w:firstLine="0" w:left="0"/>
            </w:pPr>
            <w:r>
              <w:rPr>
                <w:sz w:val="20"/>
                <w:szCs w:val="20"/>
              </w:rPr>
              <w:t xml:space="preserve">Dummies for the base-change months (Jan 2012, Jan 2018)</w:t>
            </w:r>
          </w:p>
        </w:tc>
        <w:tc>
          <w:tcPr/>
          <w:p>
            <w:pPr>
              <w:pStyle w:val="Compact"/>
              <w:spacing w:before="0" w:after="0" w:line="240" w:lineRule="auto"/>
              <w:ind w:firstLine="0" w:left="0"/>
            </w:pPr>
            <w:r>
              <w:rPr>
                <w:sz w:val="20"/>
                <w:szCs w:val="20"/>
              </w:rPr>
              <w:t xml:space="preserve">−0.0155 (0.0102)</w:t>
            </w:r>
          </w:p>
        </w:tc>
        <w:tc>
          <w:tcPr/>
          <w:p>
            <w:pPr>
              <w:pStyle w:val="Compact"/>
              <w:spacing w:before="0" w:after="0" w:line="240" w:lineRule="auto"/>
              <w:ind w:firstLine="0" w:left="0"/>
            </w:pPr>
            <w:r>
              <w:rPr>
                <w:sz w:val="20"/>
                <w:szCs w:val="20"/>
              </w:rPr>
              <w:t xml:space="preserve">−0.0100 (0.0114)</w:t>
            </w:r>
          </w:p>
        </w:tc>
        <w:tc>
          <w:tcPr/>
          <w:p>
            <w:pPr>
              <w:pStyle w:val="Compact"/>
              <w:spacing w:before="0" w:after="0" w:line="240" w:lineRule="auto"/>
              <w:ind w:firstLine="0" w:left="0"/>
            </w:pPr>
            <w:r>
              <w:rPr>
                <w:sz w:val="20"/>
                <w:szCs w:val="20"/>
              </w:rPr>
              <w:t xml:space="preserve">0.102*** (0.018)</w:t>
            </w:r>
          </w:p>
        </w:tc>
      </w:tr>
      <w:tr>
        <w:tc>
          <w:tcPr/>
          <w:p>
            <w:pPr>
              <w:pStyle w:val="Compact"/>
              <w:spacing w:before="0" w:after="0" w:line="240" w:lineRule="auto"/>
              <w:ind w:firstLine="0" w:left="0"/>
            </w:pPr>
            <w:r>
              <w:rPr>
                <w:sz w:val="20"/>
                <w:szCs w:val="20"/>
              </w:rPr>
              <w:t xml:space="preserve">Reference study’s window (to Jun 2019)</w:t>
            </w:r>
          </w:p>
        </w:tc>
        <w:tc>
          <w:tcPr/>
          <w:p>
            <w:pPr>
              <w:pStyle w:val="Compact"/>
              <w:spacing w:before="0" w:after="0" w:line="240" w:lineRule="auto"/>
              <w:ind w:firstLine="0" w:left="0"/>
            </w:pPr>
            <w:r>
              <w:rPr>
                <w:sz w:val="20"/>
                <w:szCs w:val="20"/>
              </w:rPr>
              <w:t xml:space="preserve">−0.0315 (0.0202)</w:t>
            </w:r>
          </w:p>
        </w:tc>
        <w:tc>
          <w:tcPr/>
          <w:p>
            <w:pPr>
              <w:pStyle w:val="Compact"/>
              <w:spacing w:before="0" w:after="0" w:line="240" w:lineRule="auto"/>
              <w:ind w:firstLine="0" w:left="0"/>
            </w:pPr>
            <w:r>
              <w:rPr>
                <w:sz w:val="20"/>
                <w:szCs w:val="20"/>
              </w:rPr>
              <w:t xml:space="preserve">−0.0215 (0.0191)</w:t>
            </w:r>
          </w:p>
        </w:tc>
        <w:tc>
          <w:tcPr/>
          <w:p>
            <w:pPr>
              <w:pStyle w:val="Compact"/>
              <w:spacing w:before="0" w:after="0" w:line="240" w:lineRule="auto"/>
              <w:ind w:firstLine="0" w:left="0"/>
            </w:pPr>
            <w:r>
              <w:rPr>
                <w:sz w:val="20"/>
                <w:szCs w:val="20"/>
              </w:rPr>
              <w:t xml:space="preserve">0.093*** (0.016)</w:t>
            </w:r>
          </w:p>
        </w:tc>
      </w:tr>
      <w:tr>
        <w:tc>
          <w:tcPr/>
          <w:p>
            <w:pPr>
              <w:pStyle w:val="Compact"/>
              <w:spacing w:before="0" w:after="0" w:line="240" w:lineRule="auto"/>
              <w:ind w:firstLine="0" w:left="0"/>
            </w:pPr>
            <w:r>
              <w:rPr>
                <w:sz w:val="20"/>
                <w:szCs w:val="20"/>
              </w:rPr>
              <w:t xml:space="preserve">Shock: gasoline index, 2019–2026</w:t>
            </w:r>
          </w:p>
        </w:tc>
        <w:tc>
          <w:tcPr/>
          <w:p>
            <w:pPr>
              <w:pStyle w:val="Compact"/>
              <w:spacing w:before="0" w:after="0" w:line="240" w:lineRule="auto"/>
              <w:ind w:firstLine="0" w:left="0"/>
            </w:pPr>
            <w:r>
              <w:rPr>
                <w:sz w:val="20"/>
                <w:szCs w:val="20"/>
              </w:rPr>
              <w:t xml:space="preserve">−0.0016 (0.0122)</w:t>
            </w:r>
          </w:p>
        </w:tc>
        <w:tc>
          <w:tcPr/>
          <w:p>
            <w:pPr>
              <w:pStyle w:val="Compact"/>
              <w:spacing w:before="0" w:after="0" w:line="240" w:lineRule="auto"/>
              <w:ind w:firstLine="0" w:left="0"/>
            </w:pPr>
            <w:r>
              <w:rPr>
                <w:sz w:val="20"/>
                <w:szCs w:val="20"/>
              </w:rPr>
              <w:t xml:space="preserve">−0.0051 (0.0125)</w:t>
            </w:r>
          </w:p>
        </w:tc>
        <w:tc>
          <w:tcPr/>
          <w:p>
            <w:pPr>
              <w:pStyle w:val="Compact"/>
              <w:spacing w:before="0" w:after="0" w:line="240" w:lineRule="auto"/>
              <w:ind w:firstLine="0" w:left="0"/>
            </w:pPr>
            <w:r>
              <w:rPr>
                <w:sz w:val="20"/>
                <w:szCs w:val="20"/>
              </w:rPr>
              <w:t xml:space="preserve">0.096*** (0.027)</w:t>
            </w:r>
          </w:p>
        </w:tc>
      </w:tr>
      <w:tr>
        <w:tc>
          <w:tcPr/>
          <w:p>
            <w:pPr>
              <w:pStyle w:val="Compact"/>
              <w:spacing w:before="0" w:after="0" w:line="240" w:lineRule="auto"/>
              <w:ind w:firstLine="0" w:left="0"/>
            </w:pPr>
            <w:r>
              <w:rPr>
                <w:sz w:val="20"/>
                <w:szCs w:val="20"/>
              </w:rPr>
              <w:t xml:space="preserve">Shock: World Bank pump price, 2018–2025</w:t>
            </w:r>
          </w:p>
        </w:tc>
        <w:tc>
          <w:tcPr/>
          <w:p>
            <w:pPr>
              <w:pStyle w:val="Compact"/>
              <w:spacing w:before="0" w:after="0" w:line="240" w:lineRule="auto"/>
              <w:ind w:firstLine="0" w:left="0"/>
            </w:pPr>
            <w:r>
              <w:rPr>
                <w:sz w:val="20"/>
                <w:szCs w:val="20"/>
              </w:rPr>
              <w:t xml:space="preserve">−0.0063 (0.0096)</w:t>
            </w:r>
          </w:p>
        </w:tc>
        <w:tc>
          <w:tcPr/>
          <w:p>
            <w:pPr>
              <w:pStyle w:val="Compact"/>
              <w:spacing w:before="0" w:after="0" w:line="240" w:lineRule="auto"/>
              <w:ind w:firstLine="0" w:left="0"/>
            </w:pPr>
            <w:r>
              <w:rPr>
                <w:sz w:val="20"/>
                <w:szCs w:val="20"/>
              </w:rPr>
              <w:t xml:space="preserve">−0.0005 (0.0054)</w:t>
            </w:r>
          </w:p>
        </w:tc>
        <w:tc>
          <w:tcPr/>
          <w:p>
            <w:pPr>
              <w:pStyle w:val="Compact"/>
              <w:spacing w:before="0" w:after="0" w:line="240" w:lineRule="auto"/>
              <w:ind w:firstLine="0" w:left="0"/>
            </w:pPr>
            <w:r>
              <w:rPr>
                <w:sz w:val="20"/>
                <w:szCs w:val="20"/>
              </w:rPr>
              <w:t xml:space="preserve">0.072*** (0.019)</w:t>
            </w:r>
          </w:p>
        </w:tc>
      </w:tr>
      <w:tr>
        <w:tc>
          <w:tcPr/>
          <w:p>
            <w:pPr>
              <w:pStyle w:val="Compact"/>
              <w:spacing w:before="0" w:after="0" w:line="240" w:lineRule="auto"/>
              <w:ind w:firstLine="0" w:left="0"/>
            </w:pPr>
            <w:r>
              <w:rPr>
                <w:sz w:val="20"/>
                <w:szCs w:val="20"/>
              </w:rPr>
              <w:t xml:space="preserve">National, excluding 2008</w:t>
            </w:r>
          </w:p>
        </w:tc>
        <w:tc>
          <w:tcPr/>
          <w:p>
            <w:pPr>
              <w:pStyle w:val="Compact"/>
              <w:spacing w:before="0" w:after="0" w:line="240" w:lineRule="auto"/>
              <w:ind w:firstLine="0" w:left="0"/>
            </w:pPr>
            <w:r>
              <w:rPr>
                <w:sz w:val="20"/>
                <w:szCs w:val="20"/>
              </w:rPr>
              <w:t xml:space="preserve">−0.0131 (0.0088)</w:t>
            </w:r>
          </w:p>
        </w:tc>
        <w:tc>
          <w:tcPr/>
          <w:p>
            <w:pPr>
              <w:pStyle w:val="Compact"/>
              <w:spacing w:before="0" w:after="0" w:line="240" w:lineRule="auto"/>
              <w:ind w:firstLine="0" w:left="0"/>
            </w:pPr>
            <w:r>
              <w:rPr>
                <w:sz w:val="20"/>
                <w:szCs w:val="20"/>
              </w:rPr>
              <w:t xml:space="preserve">−0.0079 (0.0115)</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National, 2013–2026</w:t>
            </w:r>
          </w:p>
        </w:tc>
        <w:tc>
          <w:tcPr/>
          <w:p>
            <w:pPr>
              <w:pStyle w:val="Compact"/>
              <w:spacing w:before="0" w:after="0" w:line="240" w:lineRule="auto"/>
              <w:ind w:firstLine="0" w:left="0"/>
            </w:pPr>
            <w:r>
              <w:rPr>
                <w:sz w:val="20"/>
                <w:szCs w:val="20"/>
              </w:rPr>
              <w:t xml:space="preserve">−0.0046 (0.0095)</w:t>
            </w:r>
          </w:p>
        </w:tc>
        <w:tc>
          <w:tcPr/>
          <w:p>
            <w:pPr>
              <w:pStyle w:val="Compact"/>
              <w:spacing w:before="0" w:after="0" w:line="240" w:lineRule="auto"/>
              <w:ind w:firstLine="0" w:left="0"/>
            </w:pPr>
            <w:r>
              <w:rPr>
                <w:sz w:val="20"/>
                <w:szCs w:val="20"/>
              </w:rPr>
              <w:t xml:space="preserve">0.0031 (0.0092)</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Panel, excluding 2008</w:t>
            </w:r>
          </w:p>
        </w:tc>
        <w:tc>
          <w:tcPr/>
          <w:p>
            <w:pPr>
              <w:pStyle w:val="Compact"/>
              <w:spacing w:before="0" w:after="0" w:line="240" w:lineRule="auto"/>
              <w:ind w:firstLine="0" w:left="0"/>
            </w:pPr>
            <w:r>
              <w:rPr>
                <w:sz w:val="20"/>
                <w:szCs w:val="20"/>
              </w:rPr>
              <w:t xml:space="preserve">−0.0177** (0.0073)</w:t>
            </w:r>
          </w:p>
        </w:tc>
        <w:tc>
          <w:tcPr/>
          <w:p>
            <w:pPr>
              <w:pStyle w:val="Compact"/>
              <w:spacing w:before="0" w:after="0" w:line="240" w:lineRule="auto"/>
              <w:ind w:firstLine="0" w:left="0"/>
            </w:pPr>
            <w:r>
              <w:rPr>
                <w:sz w:val="20"/>
                <w:szCs w:val="20"/>
              </w:rPr>
              <w:t xml:space="preserve">−0.0135 (0.0092)</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Panel, dropping the re-mapped 2026 months</w:t>
            </w:r>
          </w:p>
        </w:tc>
        <w:tc>
          <w:tcPr/>
          <w:p>
            <w:pPr>
              <w:pStyle w:val="Compact"/>
              <w:spacing w:before="0" w:after="0" w:line="240" w:lineRule="auto"/>
              <w:ind w:firstLine="0" w:left="0"/>
            </w:pPr>
            <w:r>
              <w:rPr>
                <w:sz w:val="20"/>
                <w:szCs w:val="20"/>
              </w:rPr>
              <w:t xml:space="preserve">−0.0215*** (0.0083)</w:t>
            </w:r>
          </w:p>
        </w:tc>
        <w:tc>
          <w:tcPr/>
          <w:p>
            <w:pPr>
              <w:pStyle w:val="Compact"/>
              <w:spacing w:before="0" w:after="0" w:line="240" w:lineRule="auto"/>
              <w:ind w:firstLine="0" w:left="0"/>
            </w:pPr>
            <w:r>
              <w:rPr>
                <w:sz w:val="20"/>
                <w:szCs w:val="20"/>
              </w:rPr>
              <w:t xml:space="preserve">−0.0173** (0.0085)</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Panel, national instead of regional fuel index</w:t>
            </w:r>
          </w:p>
        </w:tc>
        <w:tc>
          <w:tcPr/>
          <w:p>
            <w:pPr>
              <w:pStyle w:val="Compact"/>
              <w:spacing w:before="0" w:after="0" w:line="240" w:lineRule="auto"/>
              <w:ind w:firstLine="0" w:left="0"/>
            </w:pPr>
            <w:r>
              <w:rPr>
                <w:sz w:val="20"/>
                <w:szCs w:val="20"/>
              </w:rPr>
              <w:t xml:space="preserve">−0.0225** (0.0095)</w:t>
            </w:r>
          </w:p>
        </w:tc>
        <w:tc>
          <w:tcPr/>
          <w:p>
            <w:pPr>
              <w:pStyle w:val="Compact"/>
              <w:spacing w:before="0" w:after="0" w:line="240" w:lineRule="auto"/>
              <w:ind w:firstLine="0" w:left="0"/>
            </w:pPr>
            <w:r>
              <w:rPr>
                <w:sz w:val="20"/>
                <w:szCs w:val="20"/>
              </w:rPr>
              <w:t xml:space="preserve">−0.0188** (0.0095)</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Asymmetry: extra effect of fuel increases (CPI all, h = 12)</w:t>
            </w:r>
          </w:p>
        </w:tc>
        <w:tc>
          <w:tcPr/>
          <w:p>
            <w:pPr>
              <w:pStyle w:val="Compact"/>
              <w:spacing w:before="0" w:after="0" w:line="240" w:lineRule="auto"/>
              <w:ind w:firstLine="0" w:left="0"/>
            </w:pPr>
          </w:p>
        </w:tc>
        <w:tc>
          <w:tcPr/>
          <w:p>
            <w:pPr>
              <w:pStyle w:val="Compact"/>
              <w:spacing w:before="0" w:after="0" w:line="240" w:lineRule="auto"/>
              <w:ind w:firstLine="0" w:left="0"/>
            </w:pPr>
          </w:p>
        </w:tc>
        <w:tc>
          <w:tcPr/>
          <w:p>
            <w:pPr>
              <w:pStyle w:val="Compact"/>
              <w:spacing w:before="0" w:after="0" w:line="240" w:lineRule="auto"/>
              <w:ind w:firstLine="0" w:left="0"/>
            </w:pPr>
            <w:r>
              <w:rPr>
                <w:sz w:val="20"/>
                <w:szCs w:val="20"/>
              </w:rPr>
              <w:t xml:space="preserve">0.079 (0.079)</w:t>
            </w:r>
          </w:p>
        </w:tc>
      </w:tr>
    </w:tbl>
    <w:p>
      <w:pPr>
        <w:pStyle w:val="CaptionedFigure"/>
      </w:pPr>
      <w:r>
        <w:drawing>
          <wp:inline>
            <wp:extent cx="5052060" cy="2680069"/>
            <wp:effectExtent b="0" l="0" r="0" t="0"/>
            <wp:docPr descr="Figure A2. Further robustness checks of the six-month gap (90% CI)." title="" id="107" name="Picture"/>
            <a:graphic>
              <a:graphicData uri="http://schemas.openxmlformats.org/drawingml/2006/picture">
                <pic:pic>
                  <pic:nvPicPr>
                    <pic:cNvPr descr="../output/figures/figA3_robustness_other.png" id="108" name="Picture"/>
                    <pic:cNvPicPr>
                      <a:picLocks noChangeArrowheads="1" noChangeAspect="1"/>
                    </pic:cNvPicPr>
                  </pic:nvPicPr>
                  <pic:blipFill>
                    <a:blip r:embed="rId106"/>
                    <a:stretch>
                      <a:fillRect/>
                    </a:stretch>
                  </pic:blipFill>
                  <pic:spPr bwMode="auto">
                    <a:xfrm>
                      <a:off x="0" y="0"/>
                      <a:ext cx="5052060" cy="2680069"/>
                    </a:xfrm>
                    <a:prstGeom prst="rect">
                      <a:avLst/>
                    </a:prstGeom>
                    <a:noFill/>
                    <a:ln w="9525">
                      <a:noFill/>
                      <a:headEnd/>
                      <a:tailEnd/>
                    </a:ln>
                  </pic:spPr>
                </pic:pic>
              </a:graphicData>
            </a:graphic>
          </wp:inline>
        </w:drawing>
      </w:r>
    </w:p>
    <w:p>
      <w:pPr>
        <w:pStyle w:val="ImageCaption"/>
      </w:pPr>
      <w:r>
        <w:t xml:space="preserve">Figure A2. Further robustness checks of the six-month gap (90% CI).</w:t>
      </w:r>
    </w:p>
    <w:p>
      <w:pPr>
        <w:pStyle w:val="TableCaption"/>
      </w:pPr>
      <w:r>
        <w:t xml:space="preserve">Table A4. Annual inflation by group and fuel price change, 2001–2026</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Caption w:val="Table A4. Annual inflation by group and fuel price change, 2001–2026"/>
      </w:tblPr>
      <w:tblGrid>
        <w:gridCol w:w="1584"/>
        <w:gridCol w:w="1584"/>
        <w:gridCol w:w="1584"/>
        <w:gridCol w:w="1584"/>
        <w:gridCol w:w="1584"/>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Year</w:t>
            </w:r>
          </w:p>
        </w:tc>
        <w:tc>
          <w:tcPr>
            <w:tcBorders>
              <w:bottom w:val="single" w:sz="6" w:space="0" w:color="000000"/>
            </w:tcBorders>
          </w:tcPr>
          <w:p>
            <w:pPr>
              <w:pStyle w:val="Compact"/>
              <w:spacing w:before="0" w:after="0" w:line="240" w:lineRule="auto"/>
              <w:ind w:firstLine="0" w:left="0"/>
            </w:pPr>
            <w:r>
              <w:rPr>
                <w:sz w:val="20"/>
                <w:szCs w:val="20"/>
              </w:rPr>
              <w:t xml:space="preserve">Inflation, all income (%)</w:t>
            </w:r>
          </w:p>
        </w:tc>
        <w:tc>
          <w:tcPr>
            <w:tcBorders>
              <w:bottom w:val="single" w:sz="6" w:space="0" w:color="000000"/>
            </w:tcBorders>
          </w:tcPr>
          <w:p>
            <w:pPr>
              <w:pStyle w:val="Compact"/>
              <w:spacing w:before="0" w:after="0" w:line="240" w:lineRule="auto"/>
              <w:ind w:firstLine="0" w:left="0"/>
            </w:pPr>
            <w:r>
              <w:rPr>
                <w:sz w:val="20"/>
                <w:szCs w:val="20"/>
              </w:rPr>
              <w:t xml:space="preserve">Inflation, bottom 30% (%)</w:t>
            </w:r>
          </w:p>
        </w:tc>
        <w:tc>
          <w:tcPr>
            <w:tcBorders>
              <w:bottom w:val="single" w:sz="6" w:space="0" w:color="000000"/>
            </w:tcBorders>
          </w:tcPr>
          <w:p>
            <w:pPr>
              <w:pStyle w:val="Compact"/>
              <w:spacing w:before="0" w:after="0" w:line="240" w:lineRule="auto"/>
              <w:ind w:firstLine="0" w:left="0"/>
            </w:pPr>
            <w:r>
              <w:rPr>
                <w:sz w:val="20"/>
                <w:szCs w:val="20"/>
              </w:rPr>
              <w:t xml:space="preserve">Gap, b30 − all (pp)</w:t>
            </w:r>
          </w:p>
        </w:tc>
        <w:tc>
          <w:tcPr>
            <w:tcBorders>
              <w:bottom w:val="single" w:sz="6" w:space="0" w:color="000000"/>
            </w:tcBorders>
          </w:tcPr>
          <w:p>
            <w:pPr>
              <w:pStyle w:val="Compact"/>
              <w:spacing w:before="0" w:after="0" w:line="240" w:lineRule="auto"/>
              <w:ind w:firstLine="0" w:left="0"/>
            </w:pPr>
            <w:r>
              <w:rPr>
                <w:sz w:val="20"/>
                <w:szCs w:val="20"/>
              </w:rPr>
              <w:t xml:space="preserve">Fuel index (% y/y)</w:t>
            </w:r>
          </w:p>
        </w:tc>
      </w:tr>
      <w:tr>
        <w:tc>
          <w:tcPr/>
          <w:p>
            <w:pPr>
              <w:pStyle w:val="Compact"/>
              <w:spacing w:before="0" w:after="0" w:line="240" w:lineRule="auto"/>
              <w:ind w:firstLine="0" w:left="0"/>
            </w:pPr>
            <w:r>
              <w:rPr>
                <w:sz w:val="20"/>
                <w:szCs w:val="20"/>
              </w:rPr>
              <w:t xml:space="preserve">2001</w:t>
            </w:r>
          </w:p>
        </w:tc>
        <w:tc>
          <w:tcPr/>
          <w:p>
            <w:pPr>
              <w:pStyle w:val="Compact"/>
              <w:spacing w:before="0" w:after="0" w:line="240" w:lineRule="auto"/>
              <w:ind w:firstLine="0" w:left="0"/>
            </w:pPr>
            <w:r>
              <w:rPr>
                <w:sz w:val="20"/>
                <w:szCs w:val="20"/>
              </w:rPr>
              <w:t xml:space="preserve">5.41</w:t>
            </w:r>
          </w:p>
        </w:tc>
        <w:tc>
          <w:tcPr/>
          <w:p>
            <w:pPr>
              <w:pStyle w:val="Compact"/>
              <w:spacing w:before="0" w:after="0" w:line="240" w:lineRule="auto"/>
              <w:ind w:firstLine="0" w:left="0"/>
            </w:pPr>
            <w:r>
              <w:rPr>
                <w:sz w:val="20"/>
                <w:szCs w:val="20"/>
              </w:rPr>
              <w:t xml:space="preserve">5.39</w:t>
            </w:r>
          </w:p>
        </w:tc>
        <w:tc>
          <w:tcPr/>
          <w:p>
            <w:pPr>
              <w:pStyle w:val="Compact"/>
              <w:spacing w:before="0" w:after="0" w:line="240" w:lineRule="auto"/>
              <w:ind w:firstLine="0" w:left="0"/>
            </w:pPr>
            <w:r>
              <w:rPr>
                <w:sz w:val="20"/>
                <w:szCs w:val="20"/>
              </w:rPr>
              <w:t xml:space="preserve">−0.02</w:t>
            </w:r>
          </w:p>
        </w:tc>
        <w:tc>
          <w:tcPr/>
          <w:p>
            <w:pPr>
              <w:pStyle w:val="Compact"/>
              <w:spacing w:before="0" w:after="0" w:line="240" w:lineRule="auto"/>
              <w:ind w:firstLine="0" w:left="0"/>
            </w:pPr>
            <w:r>
              <w:rPr>
                <w:sz w:val="20"/>
                <w:szCs w:val="20"/>
              </w:rPr>
              <w:t xml:space="preserve">11.8</w:t>
            </w:r>
          </w:p>
        </w:tc>
      </w:tr>
      <w:tr>
        <w:tc>
          <w:tcPr/>
          <w:p>
            <w:pPr>
              <w:pStyle w:val="Compact"/>
              <w:spacing w:before="0" w:after="0" w:line="240" w:lineRule="auto"/>
              <w:ind w:firstLine="0" w:left="0"/>
            </w:pPr>
            <w:r>
              <w:rPr>
                <w:sz w:val="20"/>
                <w:szCs w:val="20"/>
              </w:rPr>
              <w:t xml:space="preserve">2002</w:t>
            </w:r>
          </w:p>
        </w:tc>
        <w:tc>
          <w:tcPr/>
          <w:p>
            <w:pPr>
              <w:pStyle w:val="Compact"/>
              <w:spacing w:before="0" w:after="0" w:line="240" w:lineRule="auto"/>
              <w:ind w:firstLine="0" w:left="0"/>
            </w:pPr>
            <w:r>
              <w:rPr>
                <w:sz w:val="20"/>
                <w:szCs w:val="20"/>
              </w:rPr>
              <w:t xml:space="preserve">2.73</w:t>
            </w:r>
          </w:p>
        </w:tc>
        <w:tc>
          <w:tcPr/>
          <w:p>
            <w:pPr>
              <w:pStyle w:val="Compact"/>
              <w:spacing w:before="0" w:after="0" w:line="240" w:lineRule="auto"/>
              <w:ind w:firstLine="0" w:left="0"/>
            </w:pPr>
            <w:r>
              <w:rPr>
                <w:sz w:val="20"/>
                <w:szCs w:val="20"/>
              </w:rPr>
              <w:t xml:space="preserve">2.98</w:t>
            </w:r>
          </w:p>
        </w:tc>
        <w:tc>
          <w:tcPr/>
          <w:p>
            <w:pPr>
              <w:pStyle w:val="Compact"/>
              <w:spacing w:before="0" w:after="0" w:line="240" w:lineRule="auto"/>
              <w:ind w:firstLine="0" w:left="0"/>
            </w:pPr>
            <w:r>
              <w:rPr>
                <w:sz w:val="20"/>
                <w:szCs w:val="20"/>
              </w:rPr>
              <w:t xml:space="preserve">+0.25</w:t>
            </w:r>
          </w:p>
        </w:tc>
        <w:tc>
          <w:tcPr/>
          <w:p>
            <w:pPr>
              <w:pStyle w:val="Compact"/>
              <w:spacing w:before="0" w:after="0" w:line="240" w:lineRule="auto"/>
              <w:ind w:firstLine="0" w:left="0"/>
            </w:pPr>
            <w:r>
              <w:rPr>
                <w:sz w:val="20"/>
                <w:szCs w:val="20"/>
              </w:rPr>
              <w:t xml:space="preserve">0.1</w:t>
            </w:r>
          </w:p>
        </w:tc>
      </w:tr>
      <w:tr>
        <w:tc>
          <w:tcPr/>
          <w:p>
            <w:pPr>
              <w:pStyle w:val="Compact"/>
              <w:spacing w:before="0" w:after="0" w:line="240" w:lineRule="auto"/>
              <w:ind w:firstLine="0" w:left="0"/>
            </w:pPr>
            <w:r>
              <w:rPr>
                <w:sz w:val="20"/>
                <w:szCs w:val="20"/>
              </w:rPr>
              <w:t xml:space="preserve">2003</w:t>
            </w:r>
          </w:p>
        </w:tc>
        <w:tc>
          <w:tcPr/>
          <w:p>
            <w:pPr>
              <w:pStyle w:val="Compact"/>
              <w:spacing w:before="0" w:after="0" w:line="240" w:lineRule="auto"/>
              <w:ind w:firstLine="0" w:left="0"/>
            </w:pPr>
            <w:r>
              <w:rPr>
                <w:sz w:val="20"/>
                <w:szCs w:val="20"/>
              </w:rPr>
              <w:t xml:space="preserve">2.25</w:t>
            </w:r>
          </w:p>
        </w:tc>
        <w:tc>
          <w:tcPr/>
          <w:p>
            <w:pPr>
              <w:pStyle w:val="Compact"/>
              <w:spacing w:before="0" w:after="0" w:line="240" w:lineRule="auto"/>
              <w:ind w:firstLine="0" w:left="0"/>
            </w:pPr>
            <w:r>
              <w:rPr>
                <w:sz w:val="20"/>
                <w:szCs w:val="20"/>
              </w:rPr>
              <w:t xml:space="preserve">2.40</w:t>
            </w:r>
          </w:p>
        </w:tc>
        <w:tc>
          <w:tcPr/>
          <w:p>
            <w:pPr>
              <w:pStyle w:val="Compact"/>
              <w:spacing w:before="0" w:after="0" w:line="240" w:lineRule="auto"/>
              <w:ind w:firstLine="0" w:left="0"/>
            </w:pPr>
            <w:r>
              <w:rPr>
                <w:sz w:val="20"/>
                <w:szCs w:val="20"/>
              </w:rPr>
              <w:t xml:space="preserve">+0.15</w:t>
            </w:r>
          </w:p>
        </w:tc>
        <w:tc>
          <w:tcPr/>
          <w:p>
            <w:pPr>
              <w:pStyle w:val="Compact"/>
              <w:spacing w:before="0" w:after="0" w:line="240" w:lineRule="auto"/>
              <w:ind w:firstLine="0" w:left="0"/>
            </w:pPr>
            <w:r>
              <w:rPr>
                <w:sz w:val="20"/>
                <w:szCs w:val="20"/>
              </w:rPr>
              <w:t xml:space="preserve">10.9</w:t>
            </w:r>
          </w:p>
        </w:tc>
      </w:tr>
      <w:tr>
        <w:tc>
          <w:tcPr/>
          <w:p>
            <w:pPr>
              <w:pStyle w:val="Compact"/>
              <w:spacing w:before="0" w:after="0" w:line="240" w:lineRule="auto"/>
              <w:ind w:firstLine="0" w:left="0"/>
            </w:pPr>
            <w:r>
              <w:rPr>
                <w:sz w:val="20"/>
                <w:szCs w:val="20"/>
              </w:rPr>
              <w:t xml:space="preserve">2004</w:t>
            </w:r>
          </w:p>
        </w:tc>
        <w:tc>
          <w:tcPr/>
          <w:p>
            <w:pPr>
              <w:pStyle w:val="Compact"/>
              <w:spacing w:before="0" w:after="0" w:line="240" w:lineRule="auto"/>
              <w:ind w:firstLine="0" w:left="0"/>
            </w:pPr>
            <w:r>
              <w:rPr>
                <w:sz w:val="20"/>
                <w:szCs w:val="20"/>
              </w:rPr>
              <w:t xml:space="preserve">4.80</w:t>
            </w:r>
          </w:p>
        </w:tc>
        <w:tc>
          <w:tcPr/>
          <w:p>
            <w:pPr>
              <w:pStyle w:val="Compact"/>
              <w:spacing w:before="0" w:after="0" w:line="240" w:lineRule="auto"/>
              <w:ind w:firstLine="0" w:left="0"/>
            </w:pPr>
            <w:r>
              <w:rPr>
                <w:sz w:val="20"/>
                <w:szCs w:val="20"/>
              </w:rPr>
              <w:t xml:space="preserve">5.93</w:t>
            </w:r>
          </w:p>
        </w:tc>
        <w:tc>
          <w:tcPr/>
          <w:p>
            <w:pPr>
              <w:pStyle w:val="Compact"/>
              <w:spacing w:before="0" w:after="0" w:line="240" w:lineRule="auto"/>
              <w:ind w:firstLine="0" w:left="0"/>
            </w:pPr>
            <w:r>
              <w:rPr>
                <w:sz w:val="20"/>
                <w:szCs w:val="20"/>
              </w:rPr>
              <w:t xml:space="preserve">+1.13</w:t>
            </w:r>
          </w:p>
        </w:tc>
        <w:tc>
          <w:tcPr/>
          <w:p>
            <w:pPr>
              <w:pStyle w:val="Compact"/>
              <w:spacing w:before="0" w:after="0" w:line="240" w:lineRule="auto"/>
              <w:ind w:firstLine="0" w:left="0"/>
            </w:pPr>
            <w:r>
              <w:rPr>
                <w:sz w:val="20"/>
                <w:szCs w:val="20"/>
              </w:rPr>
              <w:t xml:space="preserve">15.8</w:t>
            </w:r>
          </w:p>
        </w:tc>
      </w:tr>
      <w:tr>
        <w:tc>
          <w:tcPr/>
          <w:p>
            <w:pPr>
              <w:pStyle w:val="Compact"/>
              <w:spacing w:before="0" w:after="0" w:line="240" w:lineRule="auto"/>
              <w:ind w:firstLine="0" w:left="0"/>
            </w:pPr>
            <w:r>
              <w:rPr>
                <w:sz w:val="20"/>
                <w:szCs w:val="20"/>
              </w:rPr>
              <w:t xml:space="preserve">2005</w:t>
            </w:r>
          </w:p>
        </w:tc>
        <w:tc>
          <w:tcPr/>
          <w:p>
            <w:pPr>
              <w:pStyle w:val="Compact"/>
              <w:spacing w:before="0" w:after="0" w:line="240" w:lineRule="auto"/>
              <w:ind w:firstLine="0" w:left="0"/>
            </w:pPr>
            <w:r>
              <w:rPr>
                <w:sz w:val="20"/>
                <w:szCs w:val="20"/>
              </w:rPr>
              <w:t xml:space="preserve">6.61</w:t>
            </w:r>
          </w:p>
        </w:tc>
        <w:tc>
          <w:tcPr/>
          <w:p>
            <w:pPr>
              <w:pStyle w:val="Compact"/>
              <w:spacing w:before="0" w:after="0" w:line="240" w:lineRule="auto"/>
              <w:ind w:firstLine="0" w:left="0"/>
            </w:pPr>
            <w:r>
              <w:rPr>
                <w:sz w:val="20"/>
                <w:szCs w:val="20"/>
              </w:rPr>
              <w:t xml:space="preserve">7.91</w:t>
            </w:r>
          </w:p>
        </w:tc>
        <w:tc>
          <w:tcPr/>
          <w:p>
            <w:pPr>
              <w:pStyle w:val="Compact"/>
              <w:spacing w:before="0" w:after="0" w:line="240" w:lineRule="auto"/>
              <w:ind w:firstLine="0" w:left="0"/>
            </w:pPr>
            <w:r>
              <w:rPr>
                <w:sz w:val="20"/>
                <w:szCs w:val="20"/>
              </w:rPr>
              <w:t xml:space="preserve">+1.30</w:t>
            </w:r>
          </w:p>
        </w:tc>
        <w:tc>
          <w:tcPr/>
          <w:p>
            <w:pPr>
              <w:pStyle w:val="Compact"/>
              <w:spacing w:before="0" w:after="0" w:line="240" w:lineRule="auto"/>
              <w:ind w:firstLine="0" w:left="0"/>
            </w:pPr>
            <w:r>
              <w:rPr>
                <w:sz w:val="20"/>
                <w:szCs w:val="20"/>
              </w:rPr>
              <w:t xml:space="preserve">23.4</w:t>
            </w:r>
          </w:p>
        </w:tc>
      </w:tr>
      <w:tr>
        <w:tc>
          <w:tcPr/>
          <w:p>
            <w:pPr>
              <w:pStyle w:val="Compact"/>
              <w:spacing w:before="0" w:after="0" w:line="240" w:lineRule="auto"/>
              <w:ind w:firstLine="0" w:left="0"/>
            </w:pPr>
            <w:r>
              <w:rPr>
                <w:sz w:val="20"/>
                <w:szCs w:val="20"/>
              </w:rPr>
              <w:t xml:space="preserve">2006</w:t>
            </w:r>
          </w:p>
        </w:tc>
        <w:tc>
          <w:tcPr/>
          <w:p>
            <w:pPr>
              <w:pStyle w:val="Compact"/>
              <w:spacing w:before="0" w:after="0" w:line="240" w:lineRule="auto"/>
              <w:ind w:firstLine="0" w:left="0"/>
            </w:pPr>
            <w:r>
              <w:rPr>
                <w:sz w:val="20"/>
                <w:szCs w:val="20"/>
              </w:rPr>
              <w:t xml:space="preserve">5.48</w:t>
            </w:r>
          </w:p>
        </w:tc>
        <w:tc>
          <w:tcPr/>
          <w:p>
            <w:pPr>
              <w:pStyle w:val="Compact"/>
              <w:spacing w:before="0" w:after="0" w:line="240" w:lineRule="auto"/>
              <w:ind w:firstLine="0" w:left="0"/>
            </w:pPr>
            <w:r>
              <w:rPr>
                <w:sz w:val="20"/>
                <w:szCs w:val="20"/>
              </w:rPr>
              <w:t xml:space="preserve">6.62</w:t>
            </w:r>
          </w:p>
        </w:tc>
        <w:tc>
          <w:tcPr/>
          <w:p>
            <w:pPr>
              <w:pStyle w:val="Compact"/>
              <w:spacing w:before="0" w:after="0" w:line="240" w:lineRule="auto"/>
              <w:ind w:firstLine="0" w:left="0"/>
            </w:pPr>
            <w:r>
              <w:rPr>
                <w:sz w:val="20"/>
                <w:szCs w:val="20"/>
              </w:rPr>
              <w:t xml:space="preserve">+1.14</w:t>
            </w:r>
          </w:p>
        </w:tc>
        <w:tc>
          <w:tcPr/>
          <w:p>
            <w:pPr>
              <w:pStyle w:val="Compact"/>
              <w:spacing w:before="0" w:after="0" w:line="240" w:lineRule="auto"/>
              <w:ind w:firstLine="0" w:left="0"/>
            </w:pPr>
            <w:r>
              <w:rPr>
                <w:sz w:val="20"/>
                <w:szCs w:val="20"/>
              </w:rPr>
              <w:t xml:space="preserve">19.0</w:t>
            </w:r>
          </w:p>
        </w:tc>
      </w:tr>
      <w:tr>
        <w:tc>
          <w:tcPr/>
          <w:p>
            <w:pPr>
              <w:pStyle w:val="Compact"/>
              <w:spacing w:before="0" w:after="0" w:line="240" w:lineRule="auto"/>
              <w:ind w:firstLine="0" w:left="0"/>
            </w:pPr>
            <w:r>
              <w:rPr>
                <w:sz w:val="20"/>
                <w:szCs w:val="20"/>
              </w:rPr>
              <w:t xml:space="preserve">2007</w:t>
            </w:r>
          </w:p>
        </w:tc>
        <w:tc>
          <w:tcPr/>
          <w:p>
            <w:pPr>
              <w:pStyle w:val="Compact"/>
              <w:spacing w:before="0" w:after="0" w:line="240" w:lineRule="auto"/>
              <w:ind w:firstLine="0" w:left="0"/>
            </w:pPr>
            <w:r>
              <w:rPr>
                <w:sz w:val="20"/>
                <w:szCs w:val="20"/>
              </w:rPr>
              <w:t xml:space="preserve">2.94</w:t>
            </w:r>
          </w:p>
        </w:tc>
        <w:tc>
          <w:tcPr/>
          <w:p>
            <w:pPr>
              <w:pStyle w:val="Compact"/>
              <w:spacing w:before="0" w:after="0" w:line="240" w:lineRule="auto"/>
              <w:ind w:firstLine="0" w:left="0"/>
            </w:pPr>
            <w:r>
              <w:rPr>
                <w:sz w:val="20"/>
                <w:szCs w:val="20"/>
              </w:rPr>
              <w:t xml:space="preserve">3.26</w:t>
            </w:r>
          </w:p>
        </w:tc>
        <w:tc>
          <w:tcPr/>
          <w:p>
            <w:pPr>
              <w:pStyle w:val="Compact"/>
              <w:spacing w:before="0" w:after="0" w:line="240" w:lineRule="auto"/>
              <w:ind w:firstLine="0" w:left="0"/>
            </w:pPr>
            <w:r>
              <w:rPr>
                <w:sz w:val="20"/>
                <w:szCs w:val="20"/>
              </w:rPr>
              <w:t xml:space="preserve">+0.32</w:t>
            </w:r>
          </w:p>
        </w:tc>
        <w:tc>
          <w:tcPr/>
          <w:p>
            <w:pPr>
              <w:pStyle w:val="Compact"/>
              <w:spacing w:before="0" w:after="0" w:line="240" w:lineRule="auto"/>
              <w:ind w:firstLine="0" w:left="0"/>
            </w:pPr>
            <w:r>
              <w:rPr>
                <w:sz w:val="20"/>
                <w:szCs w:val="20"/>
              </w:rPr>
              <w:t xml:space="preserve">1.4</w:t>
            </w:r>
          </w:p>
        </w:tc>
      </w:tr>
      <w:tr>
        <w:tc>
          <w:tcPr/>
          <w:p>
            <w:pPr>
              <w:pStyle w:val="Compact"/>
              <w:spacing w:before="0" w:after="0" w:line="240" w:lineRule="auto"/>
              <w:ind w:firstLine="0" w:left="0"/>
            </w:pPr>
            <w:r>
              <w:rPr>
                <w:sz w:val="20"/>
                <w:szCs w:val="20"/>
              </w:rPr>
              <w:t xml:space="preserve">2008</w:t>
            </w:r>
          </w:p>
        </w:tc>
        <w:tc>
          <w:tcPr/>
          <w:p>
            <w:pPr>
              <w:pStyle w:val="Compact"/>
              <w:spacing w:before="0" w:after="0" w:line="240" w:lineRule="auto"/>
              <w:ind w:firstLine="0" w:left="0"/>
            </w:pPr>
            <w:r>
              <w:rPr>
                <w:sz w:val="20"/>
                <w:szCs w:val="20"/>
              </w:rPr>
              <w:t xml:space="preserve">8.17</w:t>
            </w:r>
          </w:p>
        </w:tc>
        <w:tc>
          <w:tcPr/>
          <w:p>
            <w:pPr>
              <w:pStyle w:val="Compact"/>
              <w:spacing w:before="0" w:after="0" w:line="240" w:lineRule="auto"/>
              <w:ind w:firstLine="0" w:left="0"/>
            </w:pPr>
            <w:r>
              <w:rPr>
                <w:sz w:val="20"/>
                <w:szCs w:val="20"/>
              </w:rPr>
              <w:t xml:space="preserve">13.91</w:t>
            </w:r>
          </w:p>
        </w:tc>
        <w:tc>
          <w:tcPr/>
          <w:p>
            <w:pPr>
              <w:pStyle w:val="Compact"/>
              <w:spacing w:before="0" w:after="0" w:line="240" w:lineRule="auto"/>
              <w:ind w:firstLine="0" w:left="0"/>
            </w:pPr>
            <w:r>
              <w:rPr>
                <w:sz w:val="20"/>
                <w:szCs w:val="20"/>
              </w:rPr>
              <w:t xml:space="preserve">+5.74</w:t>
            </w:r>
          </w:p>
        </w:tc>
        <w:tc>
          <w:tcPr/>
          <w:p>
            <w:pPr>
              <w:pStyle w:val="Compact"/>
              <w:spacing w:before="0" w:after="0" w:line="240" w:lineRule="auto"/>
              <w:ind w:firstLine="0" w:left="0"/>
            </w:pPr>
            <w:r>
              <w:rPr>
                <w:sz w:val="20"/>
                <w:szCs w:val="20"/>
              </w:rPr>
              <w:t xml:space="preserve">20.9</w:t>
            </w:r>
          </w:p>
        </w:tc>
      </w:tr>
      <w:tr>
        <w:tc>
          <w:tcPr/>
          <w:p>
            <w:pPr>
              <w:pStyle w:val="Compact"/>
              <w:spacing w:before="0" w:after="0" w:line="240" w:lineRule="auto"/>
              <w:ind w:firstLine="0" w:left="0"/>
            </w:pPr>
            <w:r>
              <w:rPr>
                <w:sz w:val="20"/>
                <w:szCs w:val="20"/>
              </w:rPr>
              <w:t xml:space="preserve">2009</w:t>
            </w:r>
          </w:p>
        </w:tc>
        <w:tc>
          <w:tcPr/>
          <w:p>
            <w:pPr>
              <w:pStyle w:val="Compact"/>
              <w:spacing w:before="0" w:after="0" w:line="240" w:lineRule="auto"/>
              <w:ind w:firstLine="0" w:left="0"/>
            </w:pPr>
            <w:r>
              <w:rPr>
                <w:sz w:val="20"/>
                <w:szCs w:val="20"/>
              </w:rPr>
              <w:t xml:space="preserve">4.26</w:t>
            </w:r>
          </w:p>
        </w:tc>
        <w:tc>
          <w:tcPr/>
          <w:p>
            <w:pPr>
              <w:pStyle w:val="Compact"/>
              <w:spacing w:before="0" w:after="0" w:line="240" w:lineRule="auto"/>
              <w:ind w:firstLine="0" w:left="0"/>
            </w:pPr>
            <w:r>
              <w:rPr>
                <w:sz w:val="20"/>
                <w:szCs w:val="20"/>
              </w:rPr>
              <w:t xml:space="preserve">5.38</w:t>
            </w:r>
          </w:p>
        </w:tc>
        <w:tc>
          <w:tcPr/>
          <w:p>
            <w:pPr>
              <w:pStyle w:val="Compact"/>
              <w:spacing w:before="0" w:after="0" w:line="240" w:lineRule="auto"/>
              <w:ind w:firstLine="0" w:left="0"/>
            </w:pPr>
            <w:r>
              <w:rPr>
                <w:sz w:val="20"/>
                <w:szCs w:val="20"/>
              </w:rPr>
              <w:t xml:space="preserve">+1.12</w:t>
            </w:r>
          </w:p>
        </w:tc>
        <w:tc>
          <w:tcPr/>
          <w:p>
            <w:pPr>
              <w:pStyle w:val="Compact"/>
              <w:spacing w:before="0" w:after="0" w:line="240" w:lineRule="auto"/>
              <w:ind w:firstLine="0" w:left="0"/>
            </w:pPr>
            <w:r>
              <w:rPr>
                <w:sz w:val="20"/>
                <w:szCs w:val="20"/>
              </w:rPr>
              <w:t xml:space="preserve">−15.9</w:t>
            </w:r>
          </w:p>
        </w:tc>
      </w:tr>
      <w:tr>
        <w:tc>
          <w:tcPr/>
          <w:p>
            <w:pPr>
              <w:pStyle w:val="Compact"/>
              <w:spacing w:before="0" w:after="0" w:line="240" w:lineRule="auto"/>
              <w:ind w:firstLine="0" w:left="0"/>
            </w:pPr>
            <w:r>
              <w:rPr>
                <w:sz w:val="20"/>
                <w:szCs w:val="20"/>
              </w:rPr>
              <w:t xml:space="preserve">2010</w:t>
            </w:r>
          </w:p>
        </w:tc>
        <w:tc>
          <w:tcPr/>
          <w:p>
            <w:pPr>
              <w:pStyle w:val="Compact"/>
              <w:spacing w:before="0" w:after="0" w:line="240" w:lineRule="auto"/>
              <w:ind w:firstLine="0" w:left="0"/>
            </w:pPr>
            <w:r>
              <w:rPr>
                <w:sz w:val="20"/>
                <w:szCs w:val="20"/>
              </w:rPr>
              <w:t xml:space="preserve">3.79</w:t>
            </w:r>
          </w:p>
        </w:tc>
        <w:tc>
          <w:tcPr/>
          <w:p>
            <w:pPr>
              <w:pStyle w:val="Compact"/>
              <w:spacing w:before="0" w:after="0" w:line="240" w:lineRule="auto"/>
              <w:ind w:firstLine="0" w:left="0"/>
            </w:pPr>
            <w:r>
              <w:rPr>
                <w:sz w:val="20"/>
                <w:szCs w:val="20"/>
              </w:rPr>
              <w:t xml:space="preserve">3.61</w:t>
            </w:r>
          </w:p>
        </w:tc>
        <w:tc>
          <w:tcPr/>
          <w:p>
            <w:pPr>
              <w:pStyle w:val="Compact"/>
              <w:spacing w:before="0" w:after="0" w:line="240" w:lineRule="auto"/>
              <w:ind w:firstLine="0" w:left="0"/>
            </w:pPr>
            <w:r>
              <w:rPr>
                <w:sz w:val="20"/>
                <w:szCs w:val="20"/>
              </w:rPr>
              <w:t xml:space="preserve">−0.17</w:t>
            </w:r>
          </w:p>
        </w:tc>
        <w:tc>
          <w:tcPr/>
          <w:p>
            <w:pPr>
              <w:pStyle w:val="Compact"/>
              <w:spacing w:before="0" w:after="0" w:line="240" w:lineRule="auto"/>
              <w:ind w:firstLine="0" w:left="0"/>
            </w:pPr>
            <w:r>
              <w:rPr>
                <w:sz w:val="20"/>
                <w:szCs w:val="20"/>
              </w:rPr>
              <w:t xml:space="preserve">12.9</w:t>
            </w:r>
          </w:p>
        </w:tc>
      </w:tr>
      <w:tr>
        <w:tc>
          <w:tcPr/>
          <w:p>
            <w:pPr>
              <w:pStyle w:val="Compact"/>
              <w:spacing w:before="0" w:after="0" w:line="240" w:lineRule="auto"/>
              <w:ind w:firstLine="0" w:left="0"/>
            </w:pPr>
            <w:r>
              <w:rPr>
                <w:sz w:val="20"/>
                <w:szCs w:val="20"/>
              </w:rPr>
              <w:t xml:space="preserve">2011</w:t>
            </w:r>
          </w:p>
        </w:tc>
        <w:tc>
          <w:tcPr/>
          <w:p>
            <w:pPr>
              <w:pStyle w:val="Compact"/>
              <w:spacing w:before="0" w:after="0" w:line="240" w:lineRule="auto"/>
              <w:ind w:firstLine="0" w:left="0"/>
            </w:pPr>
            <w:r>
              <w:rPr>
                <w:sz w:val="20"/>
                <w:szCs w:val="20"/>
              </w:rPr>
              <w:t xml:space="preserve">4.72</w:t>
            </w:r>
          </w:p>
        </w:tc>
        <w:tc>
          <w:tcPr/>
          <w:p>
            <w:pPr>
              <w:pStyle w:val="Compact"/>
              <w:spacing w:before="0" w:after="0" w:line="240" w:lineRule="auto"/>
              <w:ind w:firstLine="0" w:left="0"/>
            </w:pPr>
            <w:r>
              <w:rPr>
                <w:sz w:val="20"/>
                <w:szCs w:val="20"/>
              </w:rPr>
              <w:t xml:space="preserve">5.13</w:t>
            </w:r>
          </w:p>
        </w:tc>
        <w:tc>
          <w:tcPr/>
          <w:p>
            <w:pPr>
              <w:pStyle w:val="Compact"/>
              <w:spacing w:before="0" w:after="0" w:line="240" w:lineRule="auto"/>
              <w:ind w:firstLine="0" w:left="0"/>
            </w:pPr>
            <w:r>
              <w:rPr>
                <w:sz w:val="20"/>
                <w:szCs w:val="20"/>
              </w:rPr>
              <w:t xml:space="preserve">+0.41</w:t>
            </w:r>
          </w:p>
        </w:tc>
        <w:tc>
          <w:tcPr/>
          <w:p>
            <w:pPr>
              <w:pStyle w:val="Compact"/>
              <w:spacing w:before="0" w:after="0" w:line="240" w:lineRule="auto"/>
              <w:ind w:firstLine="0" w:left="0"/>
            </w:pPr>
            <w:r>
              <w:rPr>
                <w:sz w:val="20"/>
                <w:szCs w:val="20"/>
              </w:rPr>
              <w:t xml:space="preserve">11.9</w:t>
            </w:r>
          </w:p>
        </w:tc>
      </w:tr>
      <w:tr>
        <w:tc>
          <w:tcPr/>
          <w:p>
            <w:pPr>
              <w:pStyle w:val="Compact"/>
              <w:spacing w:before="0" w:after="0" w:line="240" w:lineRule="auto"/>
              <w:ind w:firstLine="0" w:left="0"/>
            </w:pPr>
            <w:r>
              <w:rPr>
                <w:sz w:val="20"/>
                <w:szCs w:val="20"/>
              </w:rPr>
              <w:t xml:space="preserve">2012</w:t>
            </w:r>
          </w:p>
        </w:tc>
        <w:tc>
          <w:tcPr/>
          <w:p>
            <w:pPr>
              <w:pStyle w:val="Compact"/>
              <w:spacing w:before="0" w:after="0" w:line="240" w:lineRule="auto"/>
              <w:ind w:firstLine="0" w:left="0"/>
            </w:pPr>
            <w:r>
              <w:rPr>
                <w:sz w:val="20"/>
                <w:szCs w:val="20"/>
              </w:rPr>
              <w:t xml:space="preserve">3.17</w:t>
            </w:r>
          </w:p>
        </w:tc>
        <w:tc>
          <w:tcPr/>
          <w:p>
            <w:pPr>
              <w:pStyle w:val="Compact"/>
              <w:spacing w:before="0" w:after="0" w:line="240" w:lineRule="auto"/>
              <w:ind w:firstLine="0" w:left="0"/>
            </w:pPr>
            <w:r>
              <w:rPr>
                <w:sz w:val="20"/>
                <w:szCs w:val="20"/>
              </w:rPr>
              <w:t xml:space="preserve">2.82</w:t>
            </w:r>
          </w:p>
        </w:tc>
        <w:tc>
          <w:tcPr/>
          <w:p>
            <w:pPr>
              <w:pStyle w:val="Compact"/>
              <w:spacing w:before="0" w:after="0" w:line="240" w:lineRule="auto"/>
              <w:ind w:firstLine="0" w:left="0"/>
            </w:pPr>
            <w:r>
              <w:rPr>
                <w:sz w:val="20"/>
                <w:szCs w:val="20"/>
              </w:rPr>
              <w:t xml:space="preserve">−0.36</w:t>
            </w:r>
          </w:p>
        </w:tc>
        <w:tc>
          <w:tcPr/>
          <w:p>
            <w:pPr>
              <w:pStyle w:val="Compact"/>
              <w:spacing w:before="0" w:after="0" w:line="240" w:lineRule="auto"/>
              <w:ind w:firstLine="0" w:left="0"/>
            </w:pPr>
            <w:r>
              <w:rPr>
                <w:sz w:val="20"/>
                <w:szCs w:val="20"/>
              </w:rPr>
              <w:t xml:space="preserve">2.1</w:t>
            </w:r>
          </w:p>
        </w:tc>
      </w:tr>
      <w:tr>
        <w:tc>
          <w:tcPr/>
          <w:p>
            <w:pPr>
              <w:pStyle w:val="Compact"/>
              <w:spacing w:before="0" w:after="0" w:line="240" w:lineRule="auto"/>
              <w:ind w:firstLine="0" w:left="0"/>
            </w:pPr>
            <w:r>
              <w:rPr>
                <w:sz w:val="20"/>
                <w:szCs w:val="20"/>
              </w:rPr>
              <w:t xml:space="preserve">2013</w:t>
            </w:r>
          </w:p>
        </w:tc>
        <w:tc>
          <w:tcPr/>
          <w:p>
            <w:pPr>
              <w:pStyle w:val="Compact"/>
              <w:spacing w:before="0" w:after="0" w:line="240" w:lineRule="auto"/>
              <w:ind w:firstLine="0" w:left="0"/>
            </w:pPr>
            <w:r>
              <w:rPr>
                <w:sz w:val="20"/>
                <w:szCs w:val="20"/>
              </w:rPr>
              <w:t xml:space="preserve">2.58</w:t>
            </w:r>
          </w:p>
        </w:tc>
        <w:tc>
          <w:tcPr/>
          <w:p>
            <w:pPr>
              <w:pStyle w:val="Compact"/>
              <w:spacing w:before="0" w:after="0" w:line="240" w:lineRule="auto"/>
              <w:ind w:firstLine="0" w:left="0"/>
            </w:pPr>
            <w:r>
              <w:rPr>
                <w:sz w:val="20"/>
                <w:szCs w:val="20"/>
              </w:rPr>
              <w:t xml:space="preserve">3.05</w:t>
            </w:r>
          </w:p>
        </w:tc>
        <w:tc>
          <w:tcPr/>
          <w:p>
            <w:pPr>
              <w:pStyle w:val="Compact"/>
              <w:spacing w:before="0" w:after="0" w:line="240" w:lineRule="auto"/>
              <w:ind w:firstLine="0" w:left="0"/>
            </w:pPr>
            <w:r>
              <w:rPr>
                <w:sz w:val="20"/>
                <w:szCs w:val="20"/>
              </w:rPr>
              <w:t xml:space="preserve">+0.46</w:t>
            </w:r>
          </w:p>
        </w:tc>
        <w:tc>
          <w:tcPr/>
          <w:p>
            <w:pPr>
              <w:pStyle w:val="Compact"/>
              <w:spacing w:before="0" w:after="0" w:line="240" w:lineRule="auto"/>
              <w:ind w:firstLine="0" w:left="0"/>
            </w:pPr>
            <w:r>
              <w:rPr>
                <w:sz w:val="20"/>
                <w:szCs w:val="20"/>
              </w:rPr>
              <w:t xml:space="preserve">−1.4</w:t>
            </w:r>
          </w:p>
        </w:tc>
      </w:tr>
      <w:tr>
        <w:tc>
          <w:tcPr/>
          <w:p>
            <w:pPr>
              <w:pStyle w:val="Compact"/>
              <w:spacing w:before="0" w:after="0" w:line="240" w:lineRule="auto"/>
              <w:ind w:firstLine="0" w:left="0"/>
            </w:pPr>
            <w:r>
              <w:rPr>
                <w:sz w:val="20"/>
                <w:szCs w:val="20"/>
              </w:rPr>
              <w:t xml:space="preserve">2014</w:t>
            </w:r>
          </w:p>
        </w:tc>
        <w:tc>
          <w:tcPr/>
          <w:p>
            <w:pPr>
              <w:pStyle w:val="Compact"/>
              <w:spacing w:before="0" w:after="0" w:line="240" w:lineRule="auto"/>
              <w:ind w:firstLine="0" w:left="0"/>
            </w:pPr>
            <w:r>
              <w:rPr>
                <w:sz w:val="20"/>
                <w:szCs w:val="20"/>
              </w:rPr>
              <w:t xml:space="preserve">3.60</w:t>
            </w:r>
          </w:p>
        </w:tc>
        <w:tc>
          <w:tcPr/>
          <w:p>
            <w:pPr>
              <w:pStyle w:val="Compact"/>
              <w:spacing w:before="0" w:after="0" w:line="240" w:lineRule="auto"/>
              <w:ind w:firstLine="0" w:left="0"/>
            </w:pPr>
            <w:r>
              <w:rPr>
                <w:sz w:val="20"/>
                <w:szCs w:val="20"/>
              </w:rPr>
              <w:t xml:space="preserve">4.68</w:t>
            </w:r>
          </w:p>
        </w:tc>
        <w:tc>
          <w:tcPr/>
          <w:p>
            <w:pPr>
              <w:pStyle w:val="Compact"/>
              <w:spacing w:before="0" w:after="0" w:line="240" w:lineRule="auto"/>
              <w:ind w:firstLine="0" w:left="0"/>
            </w:pPr>
            <w:r>
              <w:rPr>
                <w:sz w:val="20"/>
                <w:szCs w:val="20"/>
              </w:rPr>
              <w:t xml:space="preserve">+1.08</w:t>
            </w:r>
          </w:p>
        </w:tc>
        <w:tc>
          <w:tcPr/>
          <w:p>
            <w:pPr>
              <w:pStyle w:val="Compact"/>
              <w:spacing w:before="0" w:after="0" w:line="240" w:lineRule="auto"/>
              <w:ind w:firstLine="0" w:left="0"/>
            </w:pPr>
            <w:r>
              <w:rPr>
                <w:sz w:val="20"/>
                <w:szCs w:val="20"/>
              </w:rPr>
              <w:t xml:space="preserve">−0.4</w:t>
            </w:r>
          </w:p>
        </w:tc>
      </w:tr>
      <w:tr>
        <w:tc>
          <w:tcPr/>
          <w:p>
            <w:pPr>
              <w:pStyle w:val="Compact"/>
              <w:spacing w:before="0" w:after="0" w:line="240" w:lineRule="auto"/>
              <w:ind w:firstLine="0" w:left="0"/>
            </w:pPr>
            <w:r>
              <w:rPr>
                <w:sz w:val="20"/>
                <w:szCs w:val="20"/>
              </w:rPr>
              <w:t xml:space="preserve">2015</w:t>
            </w:r>
          </w:p>
        </w:tc>
        <w:tc>
          <w:tcPr/>
          <w:p>
            <w:pPr>
              <w:pStyle w:val="Compact"/>
              <w:spacing w:before="0" w:after="0" w:line="240" w:lineRule="auto"/>
              <w:ind w:firstLine="0" w:left="0"/>
            </w:pPr>
            <w:r>
              <w:rPr>
                <w:sz w:val="20"/>
                <w:szCs w:val="20"/>
              </w:rPr>
              <w:t xml:space="preserve">0.68</w:t>
            </w:r>
          </w:p>
        </w:tc>
        <w:tc>
          <w:tcPr/>
          <w:p>
            <w:pPr>
              <w:pStyle w:val="Compact"/>
              <w:spacing w:before="0" w:after="0" w:line="240" w:lineRule="auto"/>
              <w:ind w:firstLine="0" w:left="0"/>
            </w:pPr>
            <w:r>
              <w:rPr>
                <w:sz w:val="20"/>
                <w:szCs w:val="20"/>
              </w:rPr>
              <w:t xml:space="preserve">1.32</w:t>
            </w:r>
          </w:p>
        </w:tc>
        <w:tc>
          <w:tcPr/>
          <w:p>
            <w:pPr>
              <w:pStyle w:val="Compact"/>
              <w:spacing w:before="0" w:after="0" w:line="240" w:lineRule="auto"/>
              <w:ind w:firstLine="0" w:left="0"/>
            </w:pPr>
            <w:r>
              <w:rPr>
                <w:sz w:val="20"/>
                <w:szCs w:val="20"/>
              </w:rPr>
              <w:t xml:space="preserve">+0.64</w:t>
            </w:r>
          </w:p>
        </w:tc>
        <w:tc>
          <w:tcPr/>
          <w:p>
            <w:pPr>
              <w:pStyle w:val="Compact"/>
              <w:spacing w:before="0" w:after="0" w:line="240" w:lineRule="auto"/>
              <w:ind w:firstLine="0" w:left="0"/>
            </w:pPr>
            <w:r>
              <w:rPr>
                <w:sz w:val="20"/>
                <w:szCs w:val="20"/>
              </w:rPr>
              <w:t xml:space="preserve">−24.3</w:t>
            </w:r>
          </w:p>
        </w:tc>
      </w:tr>
      <w:tr>
        <w:tc>
          <w:tcPr/>
          <w:p>
            <w:pPr>
              <w:pStyle w:val="Compact"/>
              <w:spacing w:before="0" w:after="0" w:line="240" w:lineRule="auto"/>
              <w:ind w:firstLine="0" w:left="0"/>
            </w:pPr>
            <w:r>
              <w:rPr>
                <w:sz w:val="20"/>
                <w:szCs w:val="20"/>
              </w:rPr>
              <w:t xml:space="preserve">2016</w:t>
            </w:r>
          </w:p>
        </w:tc>
        <w:tc>
          <w:tcPr/>
          <w:p>
            <w:pPr>
              <w:pStyle w:val="Compact"/>
              <w:spacing w:before="0" w:after="0" w:line="240" w:lineRule="auto"/>
              <w:ind w:firstLine="0" w:left="0"/>
            </w:pPr>
            <w:r>
              <w:rPr>
                <w:sz w:val="20"/>
                <w:szCs w:val="20"/>
              </w:rPr>
              <w:t xml:space="preserve">1.25</w:t>
            </w:r>
          </w:p>
        </w:tc>
        <w:tc>
          <w:tcPr/>
          <w:p>
            <w:pPr>
              <w:pStyle w:val="Compact"/>
              <w:spacing w:before="0" w:after="0" w:line="240" w:lineRule="auto"/>
              <w:ind w:firstLine="0" w:left="0"/>
            </w:pPr>
            <w:r>
              <w:rPr>
                <w:sz w:val="20"/>
                <w:szCs w:val="20"/>
              </w:rPr>
              <w:t xml:space="preserve">1.11</w:t>
            </w:r>
          </w:p>
        </w:tc>
        <w:tc>
          <w:tcPr/>
          <w:p>
            <w:pPr>
              <w:pStyle w:val="Compact"/>
              <w:spacing w:before="0" w:after="0" w:line="240" w:lineRule="auto"/>
              <w:ind w:firstLine="0" w:left="0"/>
            </w:pPr>
            <w:r>
              <w:rPr>
                <w:sz w:val="20"/>
                <w:szCs w:val="20"/>
              </w:rPr>
              <w:t xml:space="preserve">−0.14</w:t>
            </w:r>
          </w:p>
        </w:tc>
        <w:tc>
          <w:tcPr/>
          <w:p>
            <w:pPr>
              <w:pStyle w:val="Compact"/>
              <w:spacing w:before="0" w:after="0" w:line="240" w:lineRule="auto"/>
              <w:ind w:firstLine="0" w:left="0"/>
            </w:pPr>
            <w:r>
              <w:rPr>
                <w:sz w:val="20"/>
                <w:szCs w:val="20"/>
              </w:rPr>
              <w:t xml:space="preserve">−7.3</w:t>
            </w:r>
          </w:p>
        </w:tc>
      </w:tr>
      <w:tr>
        <w:tc>
          <w:tcPr/>
          <w:p>
            <w:pPr>
              <w:pStyle w:val="Compact"/>
              <w:spacing w:before="0" w:after="0" w:line="240" w:lineRule="auto"/>
              <w:ind w:firstLine="0" w:left="0"/>
            </w:pPr>
            <w:r>
              <w:rPr>
                <w:sz w:val="20"/>
                <w:szCs w:val="20"/>
              </w:rPr>
              <w:t xml:space="preserve">2017</w:t>
            </w:r>
          </w:p>
        </w:tc>
        <w:tc>
          <w:tcPr/>
          <w:p>
            <w:pPr>
              <w:pStyle w:val="Compact"/>
              <w:spacing w:before="0" w:after="0" w:line="240" w:lineRule="auto"/>
              <w:ind w:firstLine="0" w:left="0"/>
            </w:pPr>
            <w:r>
              <w:rPr>
                <w:sz w:val="20"/>
                <w:szCs w:val="20"/>
              </w:rPr>
              <w:t xml:space="preserve">2.85</w:t>
            </w:r>
          </w:p>
        </w:tc>
        <w:tc>
          <w:tcPr/>
          <w:p>
            <w:pPr>
              <w:pStyle w:val="Compact"/>
              <w:spacing w:before="0" w:after="0" w:line="240" w:lineRule="auto"/>
              <w:ind w:firstLine="0" w:left="0"/>
            </w:pPr>
            <w:r>
              <w:rPr>
                <w:sz w:val="20"/>
                <w:szCs w:val="20"/>
              </w:rPr>
              <w:t xml:space="preserve">2.30</w:t>
            </w:r>
          </w:p>
        </w:tc>
        <w:tc>
          <w:tcPr/>
          <w:p>
            <w:pPr>
              <w:pStyle w:val="Compact"/>
              <w:spacing w:before="0" w:after="0" w:line="240" w:lineRule="auto"/>
              <w:ind w:firstLine="0" w:left="0"/>
            </w:pPr>
            <w:r>
              <w:rPr>
                <w:sz w:val="20"/>
                <w:szCs w:val="20"/>
              </w:rPr>
              <w:t xml:space="preserve">−0.55</w:t>
            </w:r>
          </w:p>
        </w:tc>
        <w:tc>
          <w:tcPr/>
          <w:p>
            <w:pPr>
              <w:pStyle w:val="Compact"/>
              <w:spacing w:before="0" w:after="0" w:line="240" w:lineRule="auto"/>
              <w:ind w:firstLine="0" w:left="0"/>
            </w:pPr>
            <w:r>
              <w:rPr>
                <w:sz w:val="20"/>
                <w:szCs w:val="20"/>
              </w:rPr>
              <w:t xml:space="preserve">14.0</w:t>
            </w:r>
          </w:p>
        </w:tc>
      </w:tr>
      <w:tr>
        <w:tc>
          <w:tcPr/>
          <w:p>
            <w:pPr>
              <w:pStyle w:val="Compact"/>
              <w:spacing w:before="0" w:after="0" w:line="240" w:lineRule="auto"/>
              <w:ind w:firstLine="0" w:left="0"/>
            </w:pPr>
            <w:r>
              <w:rPr>
                <w:sz w:val="20"/>
                <w:szCs w:val="20"/>
              </w:rPr>
              <w:t xml:space="preserve">2018</w:t>
            </w:r>
          </w:p>
        </w:tc>
        <w:tc>
          <w:tcPr/>
          <w:p>
            <w:pPr>
              <w:pStyle w:val="Compact"/>
              <w:spacing w:before="0" w:after="0" w:line="240" w:lineRule="auto"/>
              <w:ind w:firstLine="0" w:left="0"/>
            </w:pPr>
            <w:r>
              <w:rPr>
                <w:sz w:val="20"/>
                <w:szCs w:val="20"/>
              </w:rPr>
              <w:t xml:space="preserve">5.23</w:t>
            </w:r>
          </w:p>
        </w:tc>
        <w:tc>
          <w:tcPr/>
          <w:p>
            <w:pPr>
              <w:pStyle w:val="Compact"/>
              <w:spacing w:before="0" w:after="0" w:line="240" w:lineRule="auto"/>
              <w:ind w:firstLine="0" w:left="0"/>
            </w:pPr>
            <w:r>
              <w:rPr>
                <w:sz w:val="20"/>
                <w:szCs w:val="20"/>
              </w:rPr>
              <w:t xml:space="preserve">5.99</w:t>
            </w:r>
          </w:p>
        </w:tc>
        <w:tc>
          <w:tcPr/>
          <w:p>
            <w:pPr>
              <w:pStyle w:val="Compact"/>
              <w:spacing w:before="0" w:after="0" w:line="240" w:lineRule="auto"/>
              <w:ind w:firstLine="0" w:left="0"/>
            </w:pPr>
            <w:r>
              <w:rPr>
                <w:sz w:val="20"/>
                <w:szCs w:val="20"/>
              </w:rPr>
              <w:t xml:space="preserve">+0.76</w:t>
            </w:r>
          </w:p>
        </w:tc>
        <w:tc>
          <w:tcPr/>
          <w:p>
            <w:pPr>
              <w:pStyle w:val="Compact"/>
              <w:spacing w:before="0" w:after="0" w:line="240" w:lineRule="auto"/>
              <w:ind w:firstLine="0" w:left="0"/>
            </w:pPr>
            <w:r>
              <w:rPr>
                <w:sz w:val="20"/>
                <w:szCs w:val="20"/>
              </w:rPr>
              <w:t xml:space="preserve">23.2</w:t>
            </w:r>
          </w:p>
        </w:tc>
      </w:tr>
      <w:tr>
        <w:tc>
          <w:tcPr/>
          <w:p>
            <w:pPr>
              <w:pStyle w:val="Compact"/>
              <w:spacing w:before="0" w:after="0" w:line="240" w:lineRule="auto"/>
              <w:ind w:firstLine="0" w:left="0"/>
            </w:pPr>
            <w:r>
              <w:rPr>
                <w:sz w:val="20"/>
                <w:szCs w:val="20"/>
              </w:rPr>
              <w:t xml:space="preserve">2019</w:t>
            </w:r>
          </w:p>
        </w:tc>
        <w:tc>
          <w:tcPr/>
          <w:p>
            <w:pPr>
              <w:pStyle w:val="Compact"/>
              <w:spacing w:before="0" w:after="0" w:line="240" w:lineRule="auto"/>
              <w:ind w:firstLine="0" w:left="0"/>
            </w:pPr>
            <w:r>
              <w:rPr>
                <w:sz w:val="20"/>
                <w:szCs w:val="20"/>
              </w:rPr>
              <w:t xml:space="preserve">2.41</w:t>
            </w:r>
          </w:p>
        </w:tc>
        <w:tc>
          <w:tcPr/>
          <w:p>
            <w:pPr>
              <w:pStyle w:val="Compact"/>
              <w:spacing w:before="0" w:after="0" w:line="240" w:lineRule="auto"/>
              <w:ind w:firstLine="0" w:left="0"/>
            </w:pPr>
            <w:r>
              <w:rPr>
                <w:sz w:val="20"/>
                <w:szCs w:val="20"/>
              </w:rPr>
              <w:t xml:space="preserve">1.91</w:t>
            </w:r>
          </w:p>
        </w:tc>
        <w:tc>
          <w:tcPr/>
          <w:p>
            <w:pPr>
              <w:pStyle w:val="Compact"/>
              <w:spacing w:before="0" w:after="0" w:line="240" w:lineRule="auto"/>
              <w:ind w:firstLine="0" w:left="0"/>
            </w:pPr>
            <w:r>
              <w:rPr>
                <w:sz w:val="20"/>
                <w:szCs w:val="20"/>
              </w:rPr>
              <w:t xml:space="preserve">−0.50</w:t>
            </w:r>
          </w:p>
        </w:tc>
        <w:tc>
          <w:tcPr/>
          <w:p>
            <w:pPr>
              <w:pStyle w:val="Compact"/>
              <w:spacing w:before="0" w:after="0" w:line="240" w:lineRule="auto"/>
              <w:ind w:firstLine="0" w:left="0"/>
            </w:pPr>
            <w:r>
              <w:rPr>
                <w:sz w:val="20"/>
                <w:szCs w:val="20"/>
              </w:rPr>
              <w:t xml:space="preserve">−1.0</w:t>
            </w:r>
          </w:p>
        </w:tc>
      </w:tr>
      <w:tr>
        <w:tc>
          <w:tcPr/>
          <w:p>
            <w:pPr>
              <w:pStyle w:val="Compact"/>
              <w:spacing w:before="0" w:after="0" w:line="240" w:lineRule="auto"/>
              <w:ind w:firstLine="0" w:left="0"/>
            </w:pPr>
            <w:r>
              <w:rPr>
                <w:sz w:val="20"/>
                <w:szCs w:val="20"/>
              </w:rPr>
              <w:t xml:space="preserve">2020</w:t>
            </w:r>
          </w:p>
        </w:tc>
        <w:tc>
          <w:tcPr/>
          <w:p>
            <w:pPr>
              <w:pStyle w:val="Compact"/>
              <w:spacing w:before="0" w:after="0" w:line="240" w:lineRule="auto"/>
              <w:ind w:firstLine="0" w:left="0"/>
            </w:pPr>
            <w:r>
              <w:rPr>
                <w:sz w:val="20"/>
                <w:szCs w:val="20"/>
              </w:rPr>
              <w:t xml:space="preserve">2.39</w:t>
            </w:r>
          </w:p>
        </w:tc>
        <w:tc>
          <w:tcPr/>
          <w:p>
            <w:pPr>
              <w:pStyle w:val="Compact"/>
              <w:spacing w:before="0" w:after="0" w:line="240" w:lineRule="auto"/>
              <w:ind w:firstLine="0" w:left="0"/>
            </w:pPr>
            <w:r>
              <w:rPr>
                <w:sz w:val="20"/>
                <w:szCs w:val="20"/>
              </w:rPr>
              <w:t xml:space="preserve">2.59</w:t>
            </w:r>
          </w:p>
        </w:tc>
        <w:tc>
          <w:tcPr/>
          <w:p>
            <w:pPr>
              <w:pStyle w:val="Compact"/>
              <w:spacing w:before="0" w:after="0" w:line="240" w:lineRule="auto"/>
              <w:ind w:firstLine="0" w:left="0"/>
            </w:pPr>
            <w:r>
              <w:rPr>
                <w:sz w:val="20"/>
                <w:szCs w:val="20"/>
              </w:rPr>
              <w:t xml:space="preserve">+0.20</w:t>
            </w:r>
          </w:p>
        </w:tc>
        <w:tc>
          <w:tcPr/>
          <w:p>
            <w:pPr>
              <w:pStyle w:val="Compact"/>
              <w:spacing w:before="0" w:after="0" w:line="240" w:lineRule="auto"/>
              <w:ind w:firstLine="0" w:left="0"/>
            </w:pPr>
            <w:r>
              <w:rPr>
                <w:sz w:val="20"/>
                <w:szCs w:val="20"/>
              </w:rPr>
              <w:t xml:space="preserve">−11.2</w:t>
            </w:r>
          </w:p>
        </w:tc>
      </w:tr>
      <w:tr>
        <w:tc>
          <w:tcPr/>
          <w:p>
            <w:pPr>
              <w:pStyle w:val="Compact"/>
              <w:spacing w:before="0" w:after="0" w:line="240" w:lineRule="auto"/>
              <w:ind w:firstLine="0" w:left="0"/>
            </w:pPr>
            <w:r>
              <w:rPr>
                <w:sz w:val="20"/>
                <w:szCs w:val="20"/>
              </w:rPr>
              <w:t xml:space="preserve">2021</w:t>
            </w:r>
          </w:p>
        </w:tc>
        <w:tc>
          <w:tcPr/>
          <w:p>
            <w:pPr>
              <w:pStyle w:val="Compact"/>
              <w:spacing w:before="0" w:after="0" w:line="240" w:lineRule="auto"/>
              <w:ind w:firstLine="0" w:left="0"/>
            </w:pPr>
            <w:r>
              <w:rPr>
                <w:sz w:val="20"/>
                <w:szCs w:val="20"/>
              </w:rPr>
              <w:t xml:space="preserve">3.93</w:t>
            </w:r>
          </w:p>
        </w:tc>
        <w:tc>
          <w:tcPr/>
          <w:p>
            <w:pPr>
              <w:pStyle w:val="Compact"/>
              <w:spacing w:before="0" w:after="0" w:line="240" w:lineRule="auto"/>
              <w:ind w:firstLine="0" w:left="0"/>
            </w:pPr>
            <w:r>
              <w:rPr>
                <w:sz w:val="20"/>
                <w:szCs w:val="20"/>
              </w:rPr>
              <w:t xml:space="preserve">4.22</w:t>
            </w:r>
          </w:p>
        </w:tc>
        <w:tc>
          <w:tcPr/>
          <w:p>
            <w:pPr>
              <w:pStyle w:val="Compact"/>
              <w:spacing w:before="0" w:after="0" w:line="240" w:lineRule="auto"/>
              <w:ind w:firstLine="0" w:left="0"/>
            </w:pPr>
            <w:r>
              <w:rPr>
                <w:sz w:val="20"/>
                <w:szCs w:val="20"/>
              </w:rPr>
              <w:t xml:space="preserve">+0.29</w:t>
            </w:r>
          </w:p>
        </w:tc>
        <w:tc>
          <w:tcPr/>
          <w:p>
            <w:pPr>
              <w:pStyle w:val="Compact"/>
              <w:spacing w:before="0" w:after="0" w:line="240" w:lineRule="auto"/>
              <w:ind w:firstLine="0" w:left="0"/>
            </w:pPr>
            <w:r>
              <w:rPr>
                <w:sz w:val="20"/>
                <w:szCs w:val="20"/>
              </w:rPr>
              <w:t xml:space="preserve">20.8</w:t>
            </w:r>
          </w:p>
        </w:tc>
      </w:tr>
      <w:tr>
        <w:tc>
          <w:tcPr/>
          <w:p>
            <w:pPr>
              <w:pStyle w:val="Compact"/>
              <w:spacing w:before="0" w:after="0" w:line="240" w:lineRule="auto"/>
              <w:ind w:firstLine="0" w:left="0"/>
            </w:pPr>
            <w:r>
              <w:rPr>
                <w:sz w:val="20"/>
                <w:szCs w:val="20"/>
              </w:rPr>
              <w:t xml:space="preserve">2022</w:t>
            </w:r>
          </w:p>
        </w:tc>
        <w:tc>
          <w:tcPr/>
          <w:p>
            <w:pPr>
              <w:pStyle w:val="Compact"/>
              <w:spacing w:before="0" w:after="0" w:line="240" w:lineRule="auto"/>
              <w:ind w:firstLine="0" w:left="0"/>
            </w:pPr>
            <w:r>
              <w:rPr>
                <w:sz w:val="20"/>
                <w:szCs w:val="20"/>
              </w:rPr>
              <w:t xml:space="preserve">5.81</w:t>
            </w:r>
          </w:p>
        </w:tc>
        <w:tc>
          <w:tcPr/>
          <w:p>
            <w:pPr>
              <w:pStyle w:val="Compact"/>
              <w:spacing w:before="0" w:after="0" w:line="240" w:lineRule="auto"/>
              <w:ind w:firstLine="0" w:left="0"/>
            </w:pPr>
            <w:r>
              <w:rPr>
                <w:sz w:val="20"/>
                <w:szCs w:val="20"/>
              </w:rPr>
              <w:t xml:space="preserve">6.56</w:t>
            </w:r>
          </w:p>
        </w:tc>
        <w:tc>
          <w:tcPr/>
          <w:p>
            <w:pPr>
              <w:pStyle w:val="Compact"/>
              <w:spacing w:before="0" w:after="0" w:line="240" w:lineRule="auto"/>
              <w:ind w:firstLine="0" w:left="0"/>
            </w:pPr>
            <w:r>
              <w:rPr>
                <w:sz w:val="20"/>
                <w:szCs w:val="20"/>
              </w:rPr>
              <w:t xml:space="preserve">+0.75</w:t>
            </w:r>
          </w:p>
        </w:tc>
        <w:tc>
          <w:tcPr/>
          <w:p>
            <w:pPr>
              <w:pStyle w:val="Compact"/>
              <w:spacing w:before="0" w:after="0" w:line="240" w:lineRule="auto"/>
              <w:ind w:firstLine="0" w:left="0"/>
            </w:pPr>
            <w:r>
              <w:rPr>
                <w:sz w:val="20"/>
                <w:szCs w:val="20"/>
              </w:rPr>
              <w:t xml:space="preserve">39.7</w:t>
            </w:r>
          </w:p>
        </w:tc>
      </w:tr>
      <w:tr>
        <w:tc>
          <w:tcPr/>
          <w:p>
            <w:pPr>
              <w:pStyle w:val="Compact"/>
              <w:spacing w:before="0" w:after="0" w:line="240" w:lineRule="auto"/>
              <w:ind w:firstLine="0" w:left="0"/>
            </w:pPr>
            <w:r>
              <w:rPr>
                <w:sz w:val="20"/>
                <w:szCs w:val="20"/>
              </w:rPr>
              <w:t xml:space="preserve">2023</w:t>
            </w:r>
          </w:p>
        </w:tc>
        <w:tc>
          <w:tcPr/>
          <w:p>
            <w:pPr>
              <w:pStyle w:val="Compact"/>
              <w:spacing w:before="0" w:after="0" w:line="240" w:lineRule="auto"/>
              <w:ind w:firstLine="0" w:left="0"/>
            </w:pPr>
            <w:r>
              <w:rPr>
                <w:sz w:val="20"/>
                <w:szCs w:val="20"/>
              </w:rPr>
              <w:t xml:space="preserve">6.01</w:t>
            </w:r>
          </w:p>
        </w:tc>
        <w:tc>
          <w:tcPr/>
          <w:p>
            <w:pPr>
              <w:pStyle w:val="Compact"/>
              <w:spacing w:before="0" w:after="0" w:line="240" w:lineRule="auto"/>
              <w:ind w:firstLine="0" w:left="0"/>
            </w:pPr>
            <w:r>
              <w:rPr>
                <w:sz w:val="20"/>
                <w:szCs w:val="20"/>
              </w:rPr>
              <w:t xml:space="preserve">6.77</w:t>
            </w:r>
          </w:p>
        </w:tc>
        <w:tc>
          <w:tcPr/>
          <w:p>
            <w:pPr>
              <w:pStyle w:val="Compact"/>
              <w:spacing w:before="0" w:after="0" w:line="240" w:lineRule="auto"/>
              <w:ind w:firstLine="0" w:left="0"/>
            </w:pPr>
            <w:r>
              <w:rPr>
                <w:sz w:val="20"/>
                <w:szCs w:val="20"/>
              </w:rPr>
              <w:t xml:space="preserve">+0.76</w:t>
            </w:r>
          </w:p>
        </w:tc>
        <w:tc>
          <w:tcPr/>
          <w:p>
            <w:pPr>
              <w:pStyle w:val="Compact"/>
              <w:spacing w:before="0" w:after="0" w:line="240" w:lineRule="auto"/>
              <w:ind w:firstLine="0" w:left="0"/>
            </w:pPr>
            <w:r>
              <w:rPr>
                <w:sz w:val="20"/>
                <w:szCs w:val="20"/>
              </w:rPr>
              <w:t xml:space="preserve">−9.1</w:t>
            </w:r>
          </w:p>
        </w:tc>
      </w:tr>
      <w:tr>
        <w:tc>
          <w:tcPr/>
          <w:p>
            <w:pPr>
              <w:pStyle w:val="Compact"/>
              <w:spacing w:before="0" w:after="0" w:line="240" w:lineRule="auto"/>
              <w:ind w:firstLine="0" w:left="0"/>
            </w:pPr>
            <w:r>
              <w:rPr>
                <w:sz w:val="20"/>
                <w:szCs w:val="20"/>
              </w:rPr>
              <w:t xml:space="preserve">2024</w:t>
            </w:r>
          </w:p>
        </w:tc>
        <w:tc>
          <w:tcPr/>
          <w:p>
            <w:pPr>
              <w:pStyle w:val="Compact"/>
              <w:spacing w:before="0" w:after="0" w:line="240" w:lineRule="auto"/>
              <w:ind w:firstLine="0" w:left="0"/>
            </w:pPr>
            <w:r>
              <w:rPr>
                <w:sz w:val="20"/>
                <w:szCs w:val="20"/>
              </w:rPr>
              <w:t xml:space="preserve">3.22</w:t>
            </w:r>
          </w:p>
        </w:tc>
        <w:tc>
          <w:tcPr/>
          <w:p>
            <w:pPr>
              <w:pStyle w:val="Compact"/>
              <w:spacing w:before="0" w:after="0" w:line="240" w:lineRule="auto"/>
              <w:ind w:firstLine="0" w:left="0"/>
            </w:pPr>
            <w:r>
              <w:rPr>
                <w:sz w:val="20"/>
                <w:szCs w:val="20"/>
              </w:rPr>
              <w:t xml:space="preserve">4.18</w:t>
            </w:r>
          </w:p>
        </w:tc>
        <w:tc>
          <w:tcPr/>
          <w:p>
            <w:pPr>
              <w:pStyle w:val="Compact"/>
              <w:spacing w:before="0" w:after="0" w:line="240" w:lineRule="auto"/>
              <w:ind w:firstLine="0" w:left="0"/>
            </w:pPr>
            <w:r>
              <w:rPr>
                <w:sz w:val="20"/>
                <w:szCs w:val="20"/>
              </w:rPr>
              <w:t xml:space="preserve">+0.97</w:t>
            </w:r>
          </w:p>
        </w:tc>
        <w:tc>
          <w:tcPr/>
          <w:p>
            <w:pPr>
              <w:pStyle w:val="Compact"/>
              <w:spacing w:before="0" w:after="0" w:line="240" w:lineRule="auto"/>
              <w:ind w:firstLine="0" w:left="0"/>
            </w:pPr>
            <w:r>
              <w:rPr>
                <w:sz w:val="20"/>
                <w:szCs w:val="20"/>
              </w:rPr>
              <w:t xml:space="preserve">−3.0</w:t>
            </w:r>
          </w:p>
        </w:tc>
      </w:tr>
      <w:tr>
        <w:tc>
          <w:tcPr/>
          <w:p>
            <w:pPr>
              <w:pStyle w:val="Compact"/>
              <w:spacing w:before="0" w:after="0" w:line="240" w:lineRule="auto"/>
              <w:ind w:firstLine="0" w:left="0"/>
            </w:pPr>
            <w:r>
              <w:rPr>
                <w:sz w:val="20"/>
                <w:szCs w:val="20"/>
              </w:rPr>
              <w:t xml:space="preserve">2025</w:t>
            </w:r>
          </w:p>
        </w:tc>
        <w:tc>
          <w:tcPr/>
          <w:p>
            <w:pPr>
              <w:pStyle w:val="Compact"/>
              <w:spacing w:before="0" w:after="0" w:line="240" w:lineRule="auto"/>
              <w:ind w:firstLine="0" w:left="0"/>
            </w:pPr>
            <w:r>
              <w:rPr>
                <w:sz w:val="20"/>
                <w:szCs w:val="20"/>
              </w:rPr>
              <w:t xml:space="preserve">1.66</w:t>
            </w:r>
          </w:p>
        </w:tc>
        <w:tc>
          <w:tcPr/>
          <w:p>
            <w:pPr>
              <w:pStyle w:val="Compact"/>
              <w:spacing w:before="0" w:after="0" w:line="240" w:lineRule="auto"/>
              <w:ind w:firstLine="0" w:left="0"/>
            </w:pPr>
            <w:r>
              <w:rPr>
                <w:sz w:val="20"/>
                <w:szCs w:val="20"/>
              </w:rPr>
              <w:t xml:space="preserve">0.29</w:t>
            </w:r>
          </w:p>
        </w:tc>
        <w:tc>
          <w:tcPr/>
          <w:p>
            <w:pPr>
              <w:pStyle w:val="Compact"/>
              <w:spacing w:before="0" w:after="0" w:line="240" w:lineRule="auto"/>
              <w:ind w:firstLine="0" w:left="0"/>
            </w:pPr>
            <w:r>
              <w:rPr>
                <w:sz w:val="20"/>
                <w:szCs w:val="20"/>
              </w:rPr>
              <w:t xml:space="preserve">−1.37</w:t>
            </w:r>
          </w:p>
        </w:tc>
        <w:tc>
          <w:tcPr/>
          <w:p>
            <w:pPr>
              <w:pStyle w:val="Compact"/>
              <w:spacing w:before="0" w:after="0" w:line="240" w:lineRule="auto"/>
              <w:ind w:firstLine="0" w:left="0"/>
            </w:pPr>
            <w:r>
              <w:rPr>
                <w:sz w:val="20"/>
                <w:szCs w:val="20"/>
              </w:rPr>
              <w:t xml:space="preserve">−4.3</w:t>
            </w:r>
          </w:p>
        </w:tc>
      </w:tr>
      <w:tr>
        <w:tc>
          <w:tcPr/>
          <w:p>
            <w:pPr>
              <w:pStyle w:val="Compact"/>
              <w:spacing w:before="0" w:after="0" w:line="240" w:lineRule="auto"/>
              <w:ind w:firstLine="0" w:left="0"/>
            </w:pPr>
            <w:r>
              <w:rPr>
                <w:sz w:val="20"/>
                <w:szCs w:val="20"/>
              </w:rPr>
              <w:t xml:space="preserve">2026*</w:t>
            </w:r>
          </w:p>
        </w:tc>
        <w:tc>
          <w:tcPr/>
          <w:p>
            <w:pPr>
              <w:pStyle w:val="Compact"/>
              <w:spacing w:before="0" w:after="0" w:line="240" w:lineRule="auto"/>
              <w:ind w:firstLine="0" w:left="0"/>
            </w:pPr>
            <w:r>
              <w:rPr>
                <w:sz w:val="20"/>
                <w:szCs w:val="20"/>
              </w:rPr>
              <w:t xml:space="preserve">5.16</w:t>
            </w:r>
          </w:p>
        </w:tc>
        <w:tc>
          <w:tcPr/>
          <w:p>
            <w:pPr>
              <w:pStyle w:val="Compact"/>
              <w:spacing w:before="0" w:after="0" w:line="240" w:lineRule="auto"/>
              <w:ind w:firstLine="0" w:left="0"/>
            </w:pPr>
            <w:r>
              <w:rPr>
                <w:sz w:val="20"/>
                <w:szCs w:val="20"/>
              </w:rPr>
              <w:t xml:space="preserve">6.20</w:t>
            </w:r>
          </w:p>
        </w:tc>
        <w:tc>
          <w:tcPr/>
          <w:p>
            <w:pPr>
              <w:pStyle w:val="Compact"/>
              <w:spacing w:before="0" w:after="0" w:line="240" w:lineRule="auto"/>
              <w:ind w:firstLine="0" w:left="0"/>
            </w:pPr>
            <w:r>
              <w:rPr>
                <w:sz w:val="20"/>
                <w:szCs w:val="20"/>
              </w:rPr>
              <w:t xml:space="preserve">+1.04</w:t>
            </w:r>
          </w:p>
        </w:tc>
        <w:tc>
          <w:tcPr/>
          <w:p>
            <w:pPr>
              <w:pStyle w:val="Compact"/>
              <w:spacing w:before="0" w:after="0" w:line="240" w:lineRule="auto"/>
              <w:ind w:firstLine="0" w:left="0"/>
            </w:pPr>
            <w:r>
              <w:rPr>
                <w:sz w:val="20"/>
                <w:szCs w:val="20"/>
              </w:rPr>
              <w:t xml:space="preserve">33.8</w:t>
            </w:r>
          </w:p>
        </w:tc>
      </w:tr>
    </w:tbl>
    <w:p/>
    <w:p>
      <w:pPr>
        <w:pStyle w:val="TableCaption"/>
      </w:pPr>
      <w:r>
        <w:t xml:space="preserve">Table A5. Fuel-shock episodes</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Caption w:val="Table A5. Fuel-shock episodes"/>
      </w:tblPr>
      <w:tblGrid>
        <w:gridCol w:w="1320"/>
        <w:gridCol w:w="1320"/>
        <w:gridCol w:w="1320"/>
        <w:gridCol w:w="1320"/>
        <w:gridCol w:w="1320"/>
        <w:gridCol w:w="132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Episode</w:t>
            </w:r>
          </w:p>
        </w:tc>
        <w:tc>
          <w:tcPr>
            <w:tcBorders>
              <w:bottom w:val="single" w:sz="6" w:space="0" w:color="000000"/>
            </w:tcBorders>
          </w:tcPr>
          <w:p>
            <w:pPr>
              <w:pStyle w:val="Compact"/>
              <w:spacing w:before="0" w:after="0" w:line="240" w:lineRule="auto"/>
              <w:ind w:firstLine="0" w:left="0"/>
            </w:pPr>
            <w:r>
              <w:rPr>
                <w:sz w:val="20"/>
                <w:szCs w:val="20"/>
              </w:rPr>
              <w:t xml:space="preserve">Months</w:t>
            </w:r>
          </w:p>
        </w:tc>
        <w:tc>
          <w:tcPr>
            <w:tcBorders>
              <w:bottom w:val="single" w:sz="6" w:space="0" w:color="000000"/>
            </w:tcBorders>
          </w:tcPr>
          <w:p>
            <w:pPr>
              <w:pStyle w:val="Compact"/>
              <w:spacing w:before="0" w:after="0" w:line="240" w:lineRule="auto"/>
              <w:ind w:firstLine="0" w:left="0"/>
            </w:pPr>
            <w:r>
              <w:rPr>
                <w:sz w:val="20"/>
                <w:szCs w:val="20"/>
              </w:rPr>
              <w:t xml:space="preserve">Peak fuel rise (% y/y)</w:t>
            </w:r>
          </w:p>
        </w:tc>
        <w:tc>
          <w:tcPr>
            <w:tcBorders>
              <w:bottom w:val="single" w:sz="6" w:space="0" w:color="000000"/>
            </w:tcBorders>
          </w:tcPr>
          <w:p>
            <w:pPr>
              <w:pStyle w:val="Compact"/>
              <w:spacing w:before="0" w:after="0" w:line="240" w:lineRule="auto"/>
              <w:ind w:firstLine="0" w:left="0"/>
            </w:pPr>
            <w:r>
              <w:rPr>
                <w:sz w:val="20"/>
                <w:szCs w:val="20"/>
              </w:rPr>
              <w:t xml:space="preserve">Inflation, all (%)</w:t>
            </w:r>
          </w:p>
        </w:tc>
        <w:tc>
          <w:tcPr>
            <w:tcBorders>
              <w:bottom w:val="single" w:sz="6" w:space="0" w:color="000000"/>
            </w:tcBorders>
          </w:tcPr>
          <w:p>
            <w:pPr>
              <w:pStyle w:val="Compact"/>
              <w:spacing w:before="0" w:after="0" w:line="240" w:lineRule="auto"/>
              <w:ind w:firstLine="0" w:left="0"/>
            </w:pPr>
            <w:r>
              <w:rPr>
                <w:sz w:val="20"/>
                <w:szCs w:val="20"/>
              </w:rPr>
              <w:t xml:space="preserve">Inflation, b30 (%)</w:t>
            </w:r>
          </w:p>
        </w:tc>
        <w:tc>
          <w:tcPr>
            <w:tcBorders>
              <w:bottom w:val="single" w:sz="6" w:space="0" w:color="000000"/>
            </w:tcBorders>
          </w:tcPr>
          <w:p>
            <w:pPr>
              <w:pStyle w:val="Compact"/>
              <w:spacing w:before="0" w:after="0" w:line="240" w:lineRule="auto"/>
              <w:ind w:firstLine="0" w:left="0"/>
            </w:pPr>
            <w:r>
              <w:rPr>
                <w:sz w:val="20"/>
                <w:szCs w:val="20"/>
              </w:rPr>
              <w:t xml:space="preserve">Gap (pp)</w:t>
            </w:r>
          </w:p>
        </w:tc>
      </w:tr>
      <w:tr>
        <w:tc>
          <w:tcPr/>
          <w:p>
            <w:pPr>
              <w:pStyle w:val="Compact"/>
              <w:spacing w:before="0" w:after="0" w:line="240" w:lineRule="auto"/>
              <w:ind w:firstLine="0" w:left="0"/>
            </w:pPr>
            <w:r>
              <w:rPr>
                <w:sz w:val="20"/>
                <w:szCs w:val="20"/>
              </w:rPr>
              <w:t xml:space="preserve">2001-01 to 2001-03</w:t>
            </w:r>
          </w:p>
        </w:tc>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22.8</w:t>
            </w:r>
          </w:p>
        </w:tc>
        <w:tc>
          <w:tcPr/>
          <w:p>
            <w:pPr>
              <w:pStyle w:val="Compact"/>
              <w:spacing w:before="0" w:after="0" w:line="240" w:lineRule="auto"/>
              <w:ind w:firstLine="0" w:left="0"/>
            </w:pPr>
            <w:r>
              <w:rPr>
                <w:sz w:val="20"/>
                <w:szCs w:val="20"/>
              </w:rPr>
              <w:t xml:space="preserve">5.83</w:t>
            </w:r>
          </w:p>
        </w:tc>
        <w:tc>
          <w:tcPr/>
          <w:p>
            <w:pPr>
              <w:pStyle w:val="Compact"/>
              <w:spacing w:before="0" w:after="0" w:line="240" w:lineRule="auto"/>
              <w:ind w:firstLine="0" w:left="0"/>
            </w:pPr>
            <w:r>
              <w:rPr>
                <w:sz w:val="20"/>
                <w:szCs w:val="20"/>
              </w:rPr>
              <w:t xml:space="preserve">5.90</w:t>
            </w:r>
          </w:p>
        </w:tc>
        <w:tc>
          <w:tcPr/>
          <w:p>
            <w:pPr>
              <w:pStyle w:val="Compact"/>
              <w:spacing w:before="0" w:after="0" w:line="240" w:lineRule="auto"/>
              <w:ind w:firstLine="0" w:left="0"/>
            </w:pPr>
            <w:r>
              <w:rPr>
                <w:sz w:val="20"/>
                <w:szCs w:val="20"/>
              </w:rPr>
              <w:t xml:space="preserve">+0.07</w:t>
            </w:r>
          </w:p>
        </w:tc>
      </w:tr>
      <w:tr>
        <w:tc>
          <w:tcPr/>
          <w:p>
            <w:pPr>
              <w:pStyle w:val="Compact"/>
              <w:spacing w:before="0" w:after="0" w:line="240" w:lineRule="auto"/>
              <w:ind w:firstLine="0" w:left="0"/>
            </w:pPr>
            <w:r>
              <w:rPr>
                <w:sz w:val="20"/>
                <w:szCs w:val="20"/>
              </w:rPr>
              <w:t xml:space="preserve">2004-06 to 2006-09</w:t>
            </w:r>
          </w:p>
        </w:tc>
        <w:tc>
          <w:tcPr/>
          <w:p>
            <w:pPr>
              <w:pStyle w:val="Compact"/>
              <w:spacing w:before="0" w:after="0" w:line="240" w:lineRule="auto"/>
              <w:ind w:firstLine="0" w:left="0"/>
            </w:pPr>
            <w:r>
              <w:rPr>
                <w:sz w:val="20"/>
                <w:szCs w:val="20"/>
              </w:rPr>
              <w:t xml:space="preserve">28</w:t>
            </w:r>
          </w:p>
        </w:tc>
        <w:tc>
          <w:tcPr/>
          <w:p>
            <w:pPr>
              <w:pStyle w:val="Compact"/>
              <w:spacing w:before="0" w:after="0" w:line="240" w:lineRule="auto"/>
              <w:ind w:firstLine="0" w:left="0"/>
            </w:pPr>
            <w:r>
              <w:rPr>
                <w:sz w:val="20"/>
                <w:szCs w:val="20"/>
              </w:rPr>
              <w:t xml:space="preserve">28.3</w:t>
            </w:r>
          </w:p>
        </w:tc>
        <w:tc>
          <w:tcPr/>
          <w:p>
            <w:pPr>
              <w:pStyle w:val="Compact"/>
              <w:spacing w:before="0" w:after="0" w:line="240" w:lineRule="auto"/>
              <w:ind w:firstLine="0" w:left="0"/>
            </w:pPr>
            <w:r>
              <w:rPr>
                <w:sz w:val="20"/>
                <w:szCs w:val="20"/>
              </w:rPr>
              <w:t xml:space="preserve">6.21</w:t>
            </w:r>
          </w:p>
        </w:tc>
        <w:tc>
          <w:tcPr/>
          <w:p>
            <w:pPr>
              <w:pStyle w:val="Compact"/>
              <w:spacing w:before="0" w:after="0" w:line="240" w:lineRule="auto"/>
              <w:ind w:firstLine="0" w:left="0"/>
            </w:pPr>
            <w:r>
              <w:rPr>
                <w:sz w:val="20"/>
                <w:szCs w:val="20"/>
              </w:rPr>
              <w:t xml:space="preserve">7.53</w:t>
            </w:r>
          </w:p>
        </w:tc>
        <w:tc>
          <w:tcPr/>
          <w:p>
            <w:pPr>
              <w:pStyle w:val="Compact"/>
              <w:spacing w:before="0" w:after="0" w:line="240" w:lineRule="auto"/>
              <w:ind w:firstLine="0" w:left="0"/>
            </w:pPr>
            <w:r>
              <w:rPr>
                <w:sz w:val="20"/>
                <w:szCs w:val="20"/>
              </w:rPr>
              <w:t xml:space="preserve">+1.32</w:t>
            </w:r>
          </w:p>
        </w:tc>
      </w:tr>
      <w:tr>
        <w:tc>
          <w:tcPr/>
          <w:p>
            <w:pPr>
              <w:pStyle w:val="Compact"/>
              <w:spacing w:before="0" w:after="0" w:line="240" w:lineRule="auto"/>
              <w:ind w:firstLine="0" w:left="0"/>
            </w:pPr>
            <w:r>
              <w:rPr>
                <w:sz w:val="20"/>
                <w:szCs w:val="20"/>
              </w:rPr>
              <w:t xml:space="preserve">2008-02 to 2008-10</w:t>
            </w:r>
          </w:p>
        </w:tc>
        <w:tc>
          <w:tcPr/>
          <w:p>
            <w:pPr>
              <w:pStyle w:val="Compact"/>
              <w:spacing w:before="0" w:after="0" w:line="240" w:lineRule="auto"/>
              <w:ind w:firstLine="0" w:left="0"/>
            </w:pPr>
            <w:r>
              <w:rPr>
                <w:sz w:val="20"/>
                <w:szCs w:val="20"/>
              </w:rPr>
              <w:t xml:space="preserve">9</w:t>
            </w:r>
          </w:p>
        </w:tc>
        <w:tc>
          <w:tcPr/>
          <w:p>
            <w:pPr>
              <w:pStyle w:val="Compact"/>
              <w:spacing w:before="0" w:after="0" w:line="240" w:lineRule="auto"/>
              <w:ind w:firstLine="0" w:left="0"/>
            </w:pPr>
            <w:r>
              <w:rPr>
                <w:sz w:val="20"/>
                <w:szCs w:val="20"/>
              </w:rPr>
              <w:t xml:space="preserve">40.3</w:t>
            </w:r>
          </w:p>
        </w:tc>
        <w:tc>
          <w:tcPr/>
          <w:p>
            <w:pPr>
              <w:pStyle w:val="Compact"/>
              <w:spacing w:before="0" w:after="0" w:line="240" w:lineRule="auto"/>
              <w:ind w:firstLine="0" w:left="0"/>
            </w:pPr>
            <w:r>
              <w:rPr>
                <w:sz w:val="20"/>
                <w:szCs w:val="20"/>
              </w:rPr>
              <w:t xml:space="preserve">8.50</w:t>
            </w:r>
          </w:p>
        </w:tc>
        <w:tc>
          <w:tcPr/>
          <w:p>
            <w:pPr>
              <w:pStyle w:val="Compact"/>
              <w:spacing w:before="0" w:after="0" w:line="240" w:lineRule="auto"/>
              <w:ind w:firstLine="0" w:left="0"/>
            </w:pPr>
            <w:r>
              <w:rPr>
                <w:sz w:val="20"/>
                <w:szCs w:val="20"/>
              </w:rPr>
              <w:t xml:space="preserve">14.68</w:t>
            </w:r>
          </w:p>
        </w:tc>
        <w:tc>
          <w:tcPr/>
          <w:p>
            <w:pPr>
              <w:pStyle w:val="Compact"/>
              <w:spacing w:before="0" w:after="0" w:line="240" w:lineRule="auto"/>
              <w:ind w:firstLine="0" w:left="0"/>
            </w:pPr>
            <w:r>
              <w:rPr>
                <w:sz w:val="20"/>
                <w:szCs w:val="20"/>
              </w:rPr>
              <w:t xml:space="preserve">+6.17</w:t>
            </w:r>
          </w:p>
        </w:tc>
      </w:tr>
      <w:tr>
        <w:tc>
          <w:tcPr/>
          <w:p>
            <w:pPr>
              <w:pStyle w:val="Compact"/>
              <w:spacing w:before="0" w:after="0" w:line="240" w:lineRule="auto"/>
              <w:ind w:firstLine="0" w:left="0"/>
            </w:pPr>
            <w:r>
              <w:rPr>
                <w:sz w:val="20"/>
                <w:szCs w:val="20"/>
              </w:rPr>
              <w:t xml:space="preserve">2010-01 to 2010-05</w:t>
            </w:r>
          </w:p>
        </w:tc>
        <w:tc>
          <w:tcPr/>
          <w:p>
            <w:pPr>
              <w:pStyle w:val="Compact"/>
              <w:spacing w:before="0" w:after="0" w:line="240" w:lineRule="auto"/>
              <w:ind w:firstLine="0" w:left="0"/>
            </w:pPr>
            <w:r>
              <w:rPr>
                <w:sz w:val="20"/>
                <w:szCs w:val="20"/>
              </w:rPr>
              <w:t xml:space="preserve">5</w:t>
            </w:r>
          </w:p>
        </w:tc>
        <w:tc>
          <w:tcPr/>
          <w:p>
            <w:pPr>
              <w:pStyle w:val="Compact"/>
              <w:spacing w:before="0" w:after="0" w:line="240" w:lineRule="auto"/>
              <w:ind w:firstLine="0" w:left="0"/>
            </w:pPr>
            <w:r>
              <w:rPr>
                <w:sz w:val="20"/>
                <w:szCs w:val="20"/>
              </w:rPr>
              <w:t xml:space="preserve">23.5</w:t>
            </w:r>
          </w:p>
        </w:tc>
        <w:tc>
          <w:tcPr/>
          <w:p>
            <w:pPr>
              <w:pStyle w:val="Compact"/>
              <w:spacing w:before="0" w:after="0" w:line="240" w:lineRule="auto"/>
              <w:ind w:firstLine="0" w:left="0"/>
            </w:pPr>
            <w:r>
              <w:rPr>
                <w:sz w:val="20"/>
                <w:szCs w:val="20"/>
              </w:rPr>
              <w:t xml:space="preserve">3.92</w:t>
            </w:r>
          </w:p>
        </w:tc>
        <w:tc>
          <w:tcPr/>
          <w:p>
            <w:pPr>
              <w:pStyle w:val="Compact"/>
              <w:spacing w:before="0" w:after="0" w:line="240" w:lineRule="auto"/>
              <w:ind w:firstLine="0" w:left="0"/>
            </w:pPr>
            <w:r>
              <w:rPr>
                <w:sz w:val="20"/>
                <w:szCs w:val="20"/>
              </w:rPr>
              <w:t xml:space="preserve">3.88</w:t>
            </w:r>
          </w:p>
        </w:tc>
        <w:tc>
          <w:tcPr/>
          <w:p>
            <w:pPr>
              <w:pStyle w:val="Compact"/>
              <w:spacing w:before="0" w:after="0" w:line="240" w:lineRule="auto"/>
              <w:ind w:firstLine="0" w:left="0"/>
            </w:pPr>
            <w:r>
              <w:rPr>
                <w:sz w:val="20"/>
                <w:szCs w:val="20"/>
              </w:rPr>
              <w:t xml:space="preserve">−0.04</w:t>
            </w:r>
          </w:p>
        </w:tc>
      </w:tr>
      <w:tr>
        <w:tc>
          <w:tcPr/>
          <w:p>
            <w:pPr>
              <w:pStyle w:val="Compact"/>
              <w:spacing w:before="0" w:after="0" w:line="240" w:lineRule="auto"/>
              <w:ind w:firstLine="0" w:left="0"/>
            </w:pPr>
            <w:r>
              <w:rPr>
                <w:sz w:val="20"/>
                <w:szCs w:val="20"/>
              </w:rPr>
              <w:t xml:space="preserve">2017-01 to 2017-03</w:t>
            </w:r>
          </w:p>
        </w:tc>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24.6</w:t>
            </w:r>
          </w:p>
        </w:tc>
        <w:tc>
          <w:tcPr/>
          <w:p>
            <w:pPr>
              <w:pStyle w:val="Compact"/>
              <w:spacing w:before="0" w:after="0" w:line="240" w:lineRule="auto"/>
              <w:ind w:firstLine="0" w:left="0"/>
            </w:pPr>
            <w:r>
              <w:rPr>
                <w:sz w:val="20"/>
                <w:szCs w:val="20"/>
              </w:rPr>
              <w:t xml:space="preserve">2.88</w:t>
            </w:r>
          </w:p>
        </w:tc>
        <w:tc>
          <w:tcPr/>
          <w:p>
            <w:pPr>
              <w:pStyle w:val="Compact"/>
              <w:spacing w:before="0" w:after="0" w:line="240" w:lineRule="auto"/>
              <w:ind w:firstLine="0" w:left="0"/>
            </w:pPr>
            <w:r>
              <w:rPr>
                <w:sz w:val="20"/>
                <w:szCs w:val="20"/>
              </w:rPr>
              <w:t xml:space="preserve">2.12</w:t>
            </w:r>
          </w:p>
        </w:tc>
        <w:tc>
          <w:tcPr/>
          <w:p>
            <w:pPr>
              <w:pStyle w:val="Compact"/>
              <w:spacing w:before="0" w:after="0" w:line="240" w:lineRule="auto"/>
              <w:ind w:firstLine="0" w:left="0"/>
            </w:pPr>
            <w:r>
              <w:rPr>
                <w:sz w:val="20"/>
                <w:szCs w:val="20"/>
              </w:rPr>
              <w:t xml:space="preserve">−0.76</w:t>
            </w:r>
          </w:p>
        </w:tc>
      </w:tr>
      <w:tr>
        <w:tc>
          <w:tcPr/>
          <w:p>
            <w:pPr>
              <w:pStyle w:val="Compact"/>
              <w:spacing w:before="0" w:after="0" w:line="240" w:lineRule="auto"/>
              <w:ind w:firstLine="0" w:left="0"/>
            </w:pPr>
            <w:r>
              <w:rPr>
                <w:sz w:val="20"/>
                <w:szCs w:val="20"/>
              </w:rPr>
              <w:t xml:space="preserve">2017-09 to 2017-11</w:t>
            </w:r>
          </w:p>
        </w:tc>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15.9</w:t>
            </w:r>
          </w:p>
        </w:tc>
        <w:tc>
          <w:tcPr/>
          <w:p>
            <w:pPr>
              <w:pStyle w:val="Compact"/>
              <w:spacing w:before="0" w:after="0" w:line="240" w:lineRule="auto"/>
              <w:ind w:firstLine="0" w:left="0"/>
            </w:pPr>
            <w:r>
              <w:rPr>
                <w:sz w:val="20"/>
                <w:szCs w:val="20"/>
              </w:rPr>
              <w:t xml:space="preserve">3.06</w:t>
            </w:r>
          </w:p>
        </w:tc>
        <w:tc>
          <w:tcPr/>
          <w:p>
            <w:pPr>
              <w:pStyle w:val="Compact"/>
              <w:spacing w:before="0" w:after="0" w:line="240" w:lineRule="auto"/>
              <w:ind w:firstLine="0" w:left="0"/>
            </w:pPr>
            <w:r>
              <w:rPr>
                <w:sz w:val="20"/>
                <w:szCs w:val="20"/>
              </w:rPr>
              <w:t xml:space="preserve">2.61</w:t>
            </w:r>
          </w:p>
        </w:tc>
        <w:tc>
          <w:tcPr/>
          <w:p>
            <w:pPr>
              <w:pStyle w:val="Compact"/>
              <w:spacing w:before="0" w:after="0" w:line="240" w:lineRule="auto"/>
              <w:ind w:firstLine="0" w:left="0"/>
            </w:pPr>
            <w:r>
              <w:rPr>
                <w:sz w:val="20"/>
                <w:szCs w:val="20"/>
              </w:rPr>
              <w:t xml:space="preserve">−0.44</w:t>
            </w:r>
          </w:p>
        </w:tc>
      </w:tr>
      <w:tr>
        <w:tc>
          <w:tcPr/>
          <w:p>
            <w:pPr>
              <w:pStyle w:val="Compact"/>
              <w:spacing w:before="0" w:after="0" w:line="240" w:lineRule="auto"/>
              <w:ind w:firstLine="0" w:left="0"/>
            </w:pPr>
            <w:r>
              <w:rPr>
                <w:sz w:val="20"/>
                <w:szCs w:val="20"/>
              </w:rPr>
              <w:t xml:space="preserve">2018-02 to 2018-11</w:t>
            </w:r>
          </w:p>
        </w:tc>
        <w:tc>
          <w:tcPr/>
          <w:p>
            <w:pPr>
              <w:pStyle w:val="Compact"/>
              <w:spacing w:before="0" w:after="0" w:line="240" w:lineRule="auto"/>
              <w:ind w:firstLine="0" w:left="0"/>
            </w:pPr>
            <w:r>
              <w:rPr>
                <w:sz w:val="20"/>
                <w:szCs w:val="20"/>
              </w:rPr>
              <w:t xml:space="preserve">10</w:t>
            </w:r>
          </w:p>
        </w:tc>
        <w:tc>
          <w:tcPr/>
          <w:p>
            <w:pPr>
              <w:pStyle w:val="Compact"/>
              <w:spacing w:before="0" w:after="0" w:line="240" w:lineRule="auto"/>
              <w:ind w:firstLine="0" w:left="0"/>
            </w:pPr>
            <w:r>
              <w:rPr>
                <w:sz w:val="20"/>
                <w:szCs w:val="20"/>
              </w:rPr>
              <w:t xml:space="preserve">33.5</w:t>
            </w:r>
          </w:p>
        </w:tc>
        <w:tc>
          <w:tcPr/>
          <w:p>
            <w:pPr>
              <w:pStyle w:val="Compact"/>
              <w:spacing w:before="0" w:after="0" w:line="240" w:lineRule="auto"/>
              <w:ind w:firstLine="0" w:left="0"/>
            </w:pPr>
            <w:r>
              <w:rPr>
                <w:sz w:val="20"/>
                <w:szCs w:val="20"/>
              </w:rPr>
              <w:t xml:space="preserve">5.42</w:t>
            </w:r>
          </w:p>
        </w:tc>
        <w:tc>
          <w:tcPr/>
          <w:p>
            <w:pPr>
              <w:pStyle w:val="Compact"/>
              <w:spacing w:before="0" w:after="0" w:line="240" w:lineRule="auto"/>
              <w:ind w:firstLine="0" w:left="0"/>
            </w:pPr>
            <w:r>
              <w:rPr>
                <w:sz w:val="20"/>
                <w:szCs w:val="20"/>
              </w:rPr>
              <w:t xml:space="preserve">6.22</w:t>
            </w:r>
          </w:p>
        </w:tc>
        <w:tc>
          <w:tcPr/>
          <w:p>
            <w:pPr>
              <w:pStyle w:val="Compact"/>
              <w:spacing w:before="0" w:after="0" w:line="240" w:lineRule="auto"/>
              <w:ind w:firstLine="0" w:left="0"/>
            </w:pPr>
            <w:r>
              <w:rPr>
                <w:sz w:val="20"/>
                <w:szCs w:val="20"/>
              </w:rPr>
              <w:t xml:space="preserve">+0.81</w:t>
            </w:r>
          </w:p>
        </w:tc>
      </w:tr>
      <w:tr>
        <w:tc>
          <w:tcPr/>
          <w:p>
            <w:pPr>
              <w:pStyle w:val="Compact"/>
              <w:spacing w:before="0" w:after="0" w:line="240" w:lineRule="auto"/>
              <w:ind w:firstLine="0" w:left="0"/>
            </w:pPr>
            <w:r>
              <w:rPr>
                <w:sz w:val="20"/>
                <w:szCs w:val="20"/>
              </w:rPr>
              <w:t xml:space="preserve">2021-04 to 2022-12</w:t>
            </w:r>
          </w:p>
        </w:tc>
        <w:tc>
          <w:tcPr/>
          <w:p>
            <w:pPr>
              <w:pStyle w:val="Compact"/>
              <w:spacing w:before="0" w:after="0" w:line="240" w:lineRule="auto"/>
              <w:ind w:firstLine="0" w:left="0"/>
            </w:pPr>
            <w:r>
              <w:rPr>
                <w:sz w:val="20"/>
                <w:szCs w:val="20"/>
              </w:rPr>
              <w:t xml:space="preserve">21</w:t>
            </w:r>
          </w:p>
        </w:tc>
        <w:tc>
          <w:tcPr/>
          <w:p>
            <w:pPr>
              <w:pStyle w:val="Compact"/>
              <w:spacing w:before="0" w:after="0" w:line="240" w:lineRule="auto"/>
              <w:ind w:firstLine="0" w:left="0"/>
            </w:pPr>
            <w:r>
              <w:rPr>
                <w:sz w:val="20"/>
                <w:szCs w:val="20"/>
              </w:rPr>
              <w:t xml:space="preserve">62.7</w:t>
            </w:r>
          </w:p>
        </w:tc>
        <w:tc>
          <w:tcPr/>
          <w:p>
            <w:pPr>
              <w:pStyle w:val="Compact"/>
              <w:spacing w:before="0" w:after="0" w:line="240" w:lineRule="auto"/>
              <w:ind w:firstLine="0" w:left="0"/>
            </w:pPr>
            <w:r>
              <w:rPr>
                <w:sz w:val="20"/>
                <w:szCs w:val="20"/>
              </w:rPr>
              <w:t xml:space="preserve">4.99</w:t>
            </w:r>
          </w:p>
        </w:tc>
        <w:tc>
          <w:tcPr/>
          <w:p>
            <w:pPr>
              <w:pStyle w:val="Compact"/>
              <w:spacing w:before="0" w:after="0" w:line="240" w:lineRule="auto"/>
              <w:ind w:firstLine="0" w:left="0"/>
            </w:pPr>
            <w:r>
              <w:rPr>
                <w:sz w:val="20"/>
                <w:szCs w:val="20"/>
              </w:rPr>
              <w:t xml:space="preserve">5.52</w:t>
            </w:r>
          </w:p>
        </w:tc>
        <w:tc>
          <w:tcPr/>
          <w:p>
            <w:pPr>
              <w:pStyle w:val="Compact"/>
              <w:spacing w:before="0" w:after="0" w:line="240" w:lineRule="auto"/>
              <w:ind w:firstLine="0" w:left="0"/>
            </w:pPr>
            <w:r>
              <w:rPr>
                <w:sz w:val="20"/>
                <w:szCs w:val="20"/>
              </w:rPr>
              <w:t xml:space="preserve">+0.53</w:t>
            </w:r>
          </w:p>
        </w:tc>
      </w:tr>
      <w:tr>
        <w:tc>
          <w:tcPr/>
          <w:p>
            <w:pPr>
              <w:pStyle w:val="Compact"/>
              <w:spacing w:before="0" w:after="0" w:line="240" w:lineRule="auto"/>
              <w:ind w:firstLine="0" w:left="0"/>
            </w:pPr>
            <w:r>
              <w:rPr>
                <w:sz w:val="20"/>
                <w:szCs w:val="20"/>
              </w:rPr>
              <w:t xml:space="preserve">2026-03 to 2026-08</w:t>
            </w:r>
          </w:p>
        </w:tc>
        <w:tc>
          <w:tcPr/>
          <w:p>
            <w:pPr>
              <w:pStyle w:val="Compact"/>
              <w:spacing w:before="0" w:after="0" w:line="240" w:lineRule="auto"/>
              <w:ind w:firstLine="0" w:left="0"/>
            </w:pPr>
            <w:r>
              <w:rPr>
                <w:sz w:val="20"/>
                <w:szCs w:val="20"/>
              </w:rPr>
              <w:t xml:space="preserve">6</w:t>
            </w:r>
          </w:p>
        </w:tc>
        <w:tc>
          <w:tcPr/>
          <w:p>
            <w:pPr>
              <w:pStyle w:val="Compact"/>
              <w:spacing w:before="0" w:after="0" w:line="240" w:lineRule="auto"/>
              <w:ind w:firstLine="0" w:left="0"/>
            </w:pPr>
            <w:r>
              <w:rPr>
                <w:sz w:val="20"/>
                <w:szCs w:val="20"/>
              </w:rPr>
              <w:t xml:space="preserve">76.3</w:t>
            </w:r>
          </w:p>
        </w:tc>
        <w:tc>
          <w:tcPr/>
          <w:p>
            <w:pPr>
              <w:pStyle w:val="Compact"/>
              <w:spacing w:before="0" w:after="0" w:line="240" w:lineRule="auto"/>
              <w:ind w:firstLine="0" w:left="0"/>
            </w:pPr>
            <w:r>
              <w:rPr>
                <w:sz w:val="20"/>
                <w:szCs w:val="20"/>
              </w:rPr>
              <w:t xml:space="preserve">6.14</w:t>
            </w:r>
          </w:p>
        </w:tc>
        <w:tc>
          <w:tcPr/>
          <w:p>
            <w:pPr>
              <w:pStyle w:val="Compact"/>
              <w:spacing w:before="0" w:after="0" w:line="240" w:lineRule="auto"/>
              <w:ind w:firstLine="0" w:left="0"/>
            </w:pPr>
            <w:r>
              <w:rPr>
                <w:sz w:val="20"/>
                <w:szCs w:val="20"/>
              </w:rPr>
              <w:t xml:space="preserve">7.58</w:t>
            </w:r>
          </w:p>
        </w:tc>
        <w:tc>
          <w:tcPr/>
          <w:p>
            <w:pPr>
              <w:pStyle w:val="Compact"/>
              <w:spacing w:before="0" w:after="0" w:line="240" w:lineRule="auto"/>
              <w:ind w:firstLine="0" w:left="0"/>
            </w:pPr>
            <w:r>
              <w:rPr>
                <w:sz w:val="20"/>
                <w:szCs w:val="20"/>
              </w:rPr>
              <w:t xml:space="preserve">+1.44</w:t>
            </w:r>
          </w:p>
        </w:tc>
      </w:tr>
    </w:tbl>
    <w:p/>
    <w:p>
      <w:pPr>
        <w:pStyle w:val="TableCaption"/>
      </w:pPr>
      <w:r>
        <w:t xml:space="preserve">Table A6. Augmented Dickey–Fuller tests, 2001–2026</w:t>
      </w:r>
    </w:p>
    <w:tbl>
      <w:tblPr>
        <w:tblStyle w:val="Table"/>
        <w:tblW w:type="auto" w:w="0"/>
        <w:tblBorders>
          <w:top w:val="single" w:sz="12" w:space="0" w:color="000000"/>
          <w:left w:val="nil"/>
          <w:bottom w:val="single" w:sz="12" w:space="0" w:color="000000"/>
          <w:right w:val="nil"/>
          <w:insideH w:val="nil"/>
          <w:insideV w:val="nil"/>
        </w:tblBorders>
        <w:tblLook w:firstRow="1" w:lastRow="0" w:firstColumn="0" w:lastColumn="0" w:noHBand="0" w:noVBand="0" w:val="0020"/>
        <w:tblCaption w:val="Table A6. Augmented Dickey–Fuller tests, 2001–2026"/>
      </w:tblPr>
      <w:tblGrid>
        <w:gridCol w:w="1320"/>
        <w:gridCol w:w="1320"/>
        <w:gridCol w:w="1320"/>
        <w:gridCol w:w="1320"/>
        <w:gridCol w:w="1320"/>
        <w:gridCol w:w="132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Series</w:t>
            </w:r>
          </w:p>
        </w:tc>
        <w:tc>
          <w:tcPr>
            <w:tcBorders>
              <w:bottom w:val="single" w:sz="6" w:space="0" w:color="000000"/>
            </w:tcBorders>
          </w:tcPr>
          <w:p>
            <w:pPr>
              <w:pStyle w:val="Compact"/>
              <w:spacing w:before="0" w:after="0" w:line="240" w:lineRule="auto"/>
              <w:ind w:firstLine="0" w:left="0"/>
            </w:pPr>
            <w:r>
              <w:rPr>
                <w:sz w:val="20"/>
                <w:szCs w:val="20"/>
              </w:rPr>
              <w:t xml:space="preserve">Form</w:t>
            </w:r>
          </w:p>
        </w:tc>
        <w:tc>
          <w:tcPr>
            <w:tcBorders>
              <w:bottom w:val="single" w:sz="6" w:space="0" w:color="000000"/>
            </w:tcBorders>
          </w:tcPr>
          <w:p>
            <w:pPr>
              <w:pStyle w:val="Compact"/>
              <w:spacing w:before="0" w:after="0" w:line="240" w:lineRule="auto"/>
              <w:ind w:firstLine="0" w:left="0"/>
            </w:pPr>
            <w:r>
              <w:rPr>
                <w:sz w:val="20"/>
                <w:szCs w:val="20"/>
              </w:rPr>
              <w:t xml:space="preserve">ADF statistic</w:t>
            </w:r>
          </w:p>
        </w:tc>
        <w:tc>
          <w:tcPr>
            <w:tcBorders>
              <w:bottom w:val="single" w:sz="6" w:space="0" w:color="000000"/>
            </w:tcBorders>
          </w:tcPr>
          <w:p>
            <w:pPr>
              <w:pStyle w:val="Compact"/>
              <w:spacing w:before="0" w:after="0" w:line="240" w:lineRule="auto"/>
              <w:ind w:firstLine="0" w:left="0"/>
            </w:pPr>
            <w:r>
              <w:rPr>
                <w:sz w:val="20"/>
                <w:szCs w:val="20"/>
              </w:rPr>
              <w:t xml:space="preserve">p-value</w:t>
            </w:r>
          </w:p>
        </w:tc>
        <w:tc>
          <w:tcPr>
            <w:tcBorders>
              <w:bottom w:val="single" w:sz="6" w:space="0" w:color="000000"/>
            </w:tcBorders>
          </w:tcPr>
          <w:p>
            <w:pPr>
              <w:pStyle w:val="Compact"/>
              <w:spacing w:before="0" w:after="0" w:line="240" w:lineRule="auto"/>
              <w:ind w:firstLine="0" w:left="0"/>
            </w:pPr>
            <w:r>
              <w:rPr>
                <w:sz w:val="20"/>
                <w:szCs w:val="20"/>
              </w:rPr>
              <w:t xml:space="preserve">Lags</w:t>
            </w:r>
          </w:p>
        </w:tc>
        <w:tc>
          <w:tcPr>
            <w:tcBorders>
              <w:bottom w:val="single" w:sz="6" w:space="0" w:color="000000"/>
            </w:tcBorders>
          </w:tcPr>
          <w:p>
            <w:pPr>
              <w:pStyle w:val="Compact"/>
              <w:spacing w:before="0" w:after="0" w:line="240" w:lineRule="auto"/>
              <w:ind w:firstLine="0" w:left="0"/>
            </w:pPr>
            <w:r>
              <w:rPr>
                <w:sz w:val="20"/>
                <w:szCs w:val="20"/>
              </w:rPr>
              <w:t xml:space="preserve">N</w:t>
            </w:r>
          </w:p>
        </w:tc>
      </w:tr>
      <w:tr>
        <w:tc>
          <w:tcPr/>
          <w:p>
            <w:pPr>
              <w:pStyle w:val="Compact"/>
              <w:spacing w:before="0" w:after="0" w:line="240" w:lineRule="auto"/>
              <w:ind w:firstLine="0" w:left="0"/>
            </w:pPr>
            <w:r>
              <w:rPr>
                <w:sz w:val="20"/>
                <w:szCs w:val="20"/>
              </w:rPr>
              <w:t xml:space="preserve">ln fuel index</w:t>
            </w:r>
          </w:p>
        </w:tc>
        <w:tc>
          <w:tcPr/>
          <w:p>
            <w:pPr>
              <w:pStyle w:val="Compact"/>
              <w:spacing w:before="0" w:after="0" w:line="240" w:lineRule="auto"/>
              <w:ind w:firstLine="0" w:left="0"/>
            </w:pPr>
            <w:r>
              <w:rPr>
                <w:sz w:val="20"/>
                <w:szCs w:val="20"/>
              </w:rPr>
              <w:t xml:space="preserve">level</w:t>
            </w:r>
          </w:p>
        </w:tc>
        <w:tc>
          <w:tcPr/>
          <w:p>
            <w:pPr>
              <w:pStyle w:val="Compact"/>
              <w:spacing w:before="0" w:after="0" w:line="240" w:lineRule="auto"/>
              <w:ind w:firstLine="0" w:left="0"/>
            </w:pPr>
            <w:r>
              <w:rPr>
                <w:sz w:val="20"/>
                <w:szCs w:val="20"/>
              </w:rPr>
              <w:t xml:space="preserve">−2.22</w:t>
            </w:r>
          </w:p>
        </w:tc>
        <w:tc>
          <w:tcPr/>
          <w:p>
            <w:pPr>
              <w:pStyle w:val="Compact"/>
              <w:spacing w:before="0" w:after="0" w:line="240" w:lineRule="auto"/>
              <w:ind w:firstLine="0" w:left="0"/>
            </w:pPr>
            <w:r>
              <w:rPr>
                <w:sz w:val="20"/>
                <w:szCs w:val="20"/>
              </w:rPr>
              <w:t xml:space="preserve">0.480</w:t>
            </w:r>
          </w:p>
        </w:tc>
        <w:tc>
          <w:tcPr/>
          <w:p>
            <w:pPr>
              <w:pStyle w:val="Compact"/>
              <w:spacing w:before="0" w:after="0" w:line="240" w:lineRule="auto"/>
              <w:ind w:firstLine="0" w:left="0"/>
            </w:pPr>
            <w:r>
              <w:rPr>
                <w:sz w:val="20"/>
                <w:szCs w:val="20"/>
              </w:rPr>
              <w:t xml:space="preserve">2</w:t>
            </w:r>
          </w:p>
        </w:tc>
        <w:tc>
          <w:tcPr/>
          <w:p>
            <w:pPr>
              <w:pStyle w:val="Compact"/>
              <w:spacing w:before="0" w:after="0" w:line="240" w:lineRule="auto"/>
              <w:ind w:firstLine="0" w:left="0"/>
            </w:pPr>
            <w:r>
              <w:rPr>
                <w:sz w:val="20"/>
                <w:szCs w:val="20"/>
              </w:rPr>
              <w:t xml:space="preserve">305</w:t>
            </w:r>
          </w:p>
        </w:tc>
      </w:tr>
      <w:tr>
        <w:tc>
          <w:tcPr/>
          <w:p>
            <w:pPr>
              <w:pStyle w:val="Compact"/>
              <w:spacing w:before="0" w:after="0" w:line="240" w:lineRule="auto"/>
              <w:ind w:firstLine="0" w:left="0"/>
            </w:pPr>
            <w:r>
              <w:rPr>
                <w:sz w:val="20"/>
                <w:szCs w:val="20"/>
              </w:rPr>
              <w:t xml:space="preserve">ln fuel index</w:t>
            </w:r>
          </w:p>
        </w:tc>
        <w:tc>
          <w:tcPr/>
          <w:p>
            <w:pPr>
              <w:pStyle w:val="Compact"/>
              <w:spacing w:before="0" w:after="0" w:line="240" w:lineRule="auto"/>
              <w:ind w:firstLine="0" w:left="0"/>
            </w:pPr>
            <w:r>
              <w:rPr>
                <w:sz w:val="20"/>
                <w:szCs w:val="20"/>
              </w:rPr>
              <w:t xml:space="preserve">first difference</w:t>
            </w:r>
          </w:p>
        </w:tc>
        <w:tc>
          <w:tcPr/>
          <w:p>
            <w:pPr>
              <w:pStyle w:val="Compact"/>
              <w:spacing w:before="0" w:after="0" w:line="240" w:lineRule="auto"/>
              <w:ind w:firstLine="0" w:left="0"/>
            </w:pPr>
            <w:r>
              <w:rPr>
                <w:sz w:val="20"/>
                <w:szCs w:val="20"/>
              </w:rPr>
              <w:t xml:space="preserve">−13.47</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1</w:t>
            </w:r>
          </w:p>
        </w:tc>
        <w:tc>
          <w:tcPr/>
          <w:p>
            <w:pPr>
              <w:pStyle w:val="Compact"/>
              <w:spacing w:before="0" w:after="0" w:line="240" w:lineRule="auto"/>
              <w:ind w:firstLine="0" w:left="0"/>
            </w:pPr>
            <w:r>
              <w:rPr>
                <w:sz w:val="20"/>
                <w:szCs w:val="20"/>
              </w:rPr>
              <w:t xml:space="preserve">305</w:t>
            </w:r>
          </w:p>
        </w:tc>
      </w:tr>
      <w:tr>
        <w:tc>
          <w:tcPr/>
          <w:p>
            <w:pPr>
              <w:pStyle w:val="Compact"/>
              <w:spacing w:before="0" w:after="0" w:line="240" w:lineRule="auto"/>
              <w:ind w:firstLine="0" w:left="0"/>
            </w:pPr>
            <w:r>
              <w:rPr>
                <w:sz w:val="20"/>
                <w:szCs w:val="20"/>
              </w:rPr>
              <w:t xml:space="preserve">ln CPI all</w:t>
            </w:r>
          </w:p>
        </w:tc>
        <w:tc>
          <w:tcPr/>
          <w:p>
            <w:pPr>
              <w:pStyle w:val="Compact"/>
              <w:spacing w:before="0" w:after="0" w:line="240" w:lineRule="auto"/>
              <w:ind w:firstLine="0" w:left="0"/>
            </w:pPr>
            <w:r>
              <w:rPr>
                <w:sz w:val="20"/>
                <w:szCs w:val="20"/>
              </w:rPr>
              <w:t xml:space="preserve">level</w:t>
            </w:r>
          </w:p>
        </w:tc>
        <w:tc>
          <w:tcPr/>
          <w:p>
            <w:pPr>
              <w:pStyle w:val="Compact"/>
              <w:spacing w:before="0" w:after="0" w:line="240" w:lineRule="auto"/>
              <w:ind w:firstLine="0" w:left="0"/>
            </w:pPr>
            <w:r>
              <w:rPr>
                <w:sz w:val="20"/>
                <w:szCs w:val="20"/>
              </w:rPr>
              <w:t xml:space="preserve">−1.62</w:t>
            </w:r>
          </w:p>
        </w:tc>
        <w:tc>
          <w:tcPr/>
          <w:p>
            <w:pPr>
              <w:pStyle w:val="Compact"/>
              <w:spacing w:before="0" w:after="0" w:line="240" w:lineRule="auto"/>
              <w:ind w:firstLine="0" w:left="0"/>
            </w:pPr>
            <w:r>
              <w:rPr>
                <w:sz w:val="20"/>
                <w:szCs w:val="20"/>
              </w:rPr>
              <w:t xml:space="preserve">0.786</w:t>
            </w:r>
          </w:p>
        </w:tc>
        <w:tc>
          <w:tcPr/>
          <w:p>
            <w:pPr>
              <w:pStyle w:val="Compact"/>
              <w:spacing w:before="0" w:after="0" w:line="240" w:lineRule="auto"/>
              <w:ind w:firstLine="0" w:left="0"/>
            </w:pPr>
            <w:r>
              <w:rPr>
                <w:sz w:val="20"/>
                <w:szCs w:val="20"/>
              </w:rPr>
              <w:t xml:space="preserve">1</w:t>
            </w:r>
          </w:p>
        </w:tc>
        <w:tc>
          <w:tcPr/>
          <w:p>
            <w:pPr>
              <w:pStyle w:val="Compact"/>
              <w:spacing w:before="0" w:after="0" w:line="240" w:lineRule="auto"/>
              <w:ind w:firstLine="0" w:left="0"/>
            </w:pPr>
            <w:r>
              <w:rPr>
                <w:sz w:val="20"/>
                <w:szCs w:val="20"/>
              </w:rPr>
              <w:t xml:space="preserve">306</w:t>
            </w:r>
          </w:p>
        </w:tc>
      </w:tr>
      <w:tr>
        <w:tc>
          <w:tcPr/>
          <w:p>
            <w:pPr>
              <w:pStyle w:val="Compact"/>
              <w:spacing w:before="0" w:after="0" w:line="240" w:lineRule="auto"/>
              <w:ind w:firstLine="0" w:left="0"/>
            </w:pPr>
            <w:r>
              <w:rPr>
                <w:sz w:val="20"/>
                <w:szCs w:val="20"/>
              </w:rPr>
              <w:t xml:space="preserve">ln CPI all</w:t>
            </w:r>
          </w:p>
        </w:tc>
        <w:tc>
          <w:tcPr/>
          <w:p>
            <w:pPr>
              <w:pStyle w:val="Compact"/>
              <w:spacing w:before="0" w:after="0" w:line="240" w:lineRule="auto"/>
              <w:ind w:firstLine="0" w:left="0"/>
            </w:pPr>
            <w:r>
              <w:rPr>
                <w:sz w:val="20"/>
                <w:szCs w:val="20"/>
              </w:rPr>
              <w:t xml:space="preserve">first difference</w:t>
            </w:r>
          </w:p>
        </w:tc>
        <w:tc>
          <w:tcPr/>
          <w:p>
            <w:pPr>
              <w:pStyle w:val="Compact"/>
              <w:spacing w:before="0" w:after="0" w:line="240" w:lineRule="auto"/>
              <w:ind w:firstLine="0" w:left="0"/>
            </w:pPr>
            <w:r>
              <w:rPr>
                <w:sz w:val="20"/>
                <w:szCs w:val="20"/>
              </w:rPr>
              <w:t xml:space="preserve">−12.12</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w:t>
            </w:r>
          </w:p>
        </w:tc>
        <w:tc>
          <w:tcPr/>
          <w:p>
            <w:pPr>
              <w:pStyle w:val="Compact"/>
              <w:spacing w:before="0" w:after="0" w:line="240" w:lineRule="auto"/>
              <w:ind w:firstLine="0" w:left="0"/>
            </w:pPr>
            <w:r>
              <w:rPr>
                <w:sz w:val="20"/>
                <w:szCs w:val="20"/>
              </w:rPr>
              <w:t xml:space="preserve">306</w:t>
            </w:r>
          </w:p>
        </w:tc>
      </w:tr>
      <w:tr>
        <w:tc>
          <w:tcPr/>
          <w:p>
            <w:pPr>
              <w:pStyle w:val="Compact"/>
              <w:spacing w:before="0" w:after="0" w:line="240" w:lineRule="auto"/>
              <w:ind w:firstLine="0" w:left="0"/>
            </w:pPr>
            <w:r>
              <w:rPr>
                <w:sz w:val="20"/>
                <w:szCs w:val="20"/>
              </w:rPr>
              <w:t xml:space="preserve">ln CPI b30</w:t>
            </w:r>
          </w:p>
        </w:tc>
        <w:tc>
          <w:tcPr/>
          <w:p>
            <w:pPr>
              <w:pStyle w:val="Compact"/>
              <w:spacing w:before="0" w:after="0" w:line="240" w:lineRule="auto"/>
              <w:ind w:firstLine="0" w:left="0"/>
            </w:pPr>
            <w:r>
              <w:rPr>
                <w:sz w:val="20"/>
                <w:szCs w:val="20"/>
              </w:rPr>
              <w:t xml:space="preserve">level</w:t>
            </w:r>
          </w:p>
        </w:tc>
        <w:tc>
          <w:tcPr/>
          <w:p>
            <w:pPr>
              <w:pStyle w:val="Compact"/>
              <w:spacing w:before="0" w:after="0" w:line="240" w:lineRule="auto"/>
              <w:ind w:firstLine="0" w:left="0"/>
            </w:pPr>
            <w:r>
              <w:rPr>
                <w:sz w:val="20"/>
                <w:szCs w:val="20"/>
              </w:rPr>
              <w:t xml:space="preserve">−1.91</w:t>
            </w:r>
          </w:p>
        </w:tc>
        <w:tc>
          <w:tcPr/>
          <w:p>
            <w:pPr>
              <w:pStyle w:val="Compact"/>
              <w:spacing w:before="0" w:after="0" w:line="240" w:lineRule="auto"/>
              <w:ind w:firstLine="0" w:left="0"/>
            </w:pPr>
            <w:r>
              <w:rPr>
                <w:sz w:val="20"/>
                <w:szCs w:val="20"/>
              </w:rPr>
              <w:t xml:space="preserve">0.649</w:t>
            </w:r>
          </w:p>
        </w:tc>
        <w:tc>
          <w:tcPr/>
          <w:p>
            <w:pPr>
              <w:pStyle w:val="Compact"/>
              <w:spacing w:before="0" w:after="0" w:line="240" w:lineRule="auto"/>
              <w:ind w:firstLine="0" w:left="0"/>
            </w:pPr>
            <w:r>
              <w:rPr>
                <w:sz w:val="20"/>
                <w:szCs w:val="20"/>
              </w:rPr>
              <w:t xml:space="preserve">1</w:t>
            </w:r>
          </w:p>
        </w:tc>
        <w:tc>
          <w:tcPr/>
          <w:p>
            <w:pPr>
              <w:pStyle w:val="Compact"/>
              <w:spacing w:before="0" w:after="0" w:line="240" w:lineRule="auto"/>
              <w:ind w:firstLine="0" w:left="0"/>
            </w:pPr>
            <w:r>
              <w:rPr>
                <w:sz w:val="20"/>
                <w:szCs w:val="20"/>
              </w:rPr>
              <w:t xml:space="preserve">306</w:t>
            </w:r>
          </w:p>
        </w:tc>
      </w:tr>
      <w:tr>
        <w:tc>
          <w:tcPr/>
          <w:p>
            <w:pPr>
              <w:pStyle w:val="Compact"/>
              <w:spacing w:before="0" w:after="0" w:line="240" w:lineRule="auto"/>
              <w:ind w:firstLine="0" w:left="0"/>
            </w:pPr>
            <w:r>
              <w:rPr>
                <w:sz w:val="20"/>
                <w:szCs w:val="20"/>
              </w:rPr>
              <w:t xml:space="preserve">ln CPI b30</w:t>
            </w:r>
          </w:p>
        </w:tc>
        <w:tc>
          <w:tcPr/>
          <w:p>
            <w:pPr>
              <w:pStyle w:val="Compact"/>
              <w:spacing w:before="0" w:after="0" w:line="240" w:lineRule="auto"/>
              <w:ind w:firstLine="0" w:left="0"/>
            </w:pPr>
            <w:r>
              <w:rPr>
                <w:sz w:val="20"/>
                <w:szCs w:val="20"/>
              </w:rPr>
              <w:t xml:space="preserve">first difference</w:t>
            </w:r>
          </w:p>
        </w:tc>
        <w:tc>
          <w:tcPr/>
          <w:p>
            <w:pPr>
              <w:pStyle w:val="Compact"/>
              <w:spacing w:before="0" w:after="0" w:line="240" w:lineRule="auto"/>
              <w:ind w:firstLine="0" w:left="0"/>
            </w:pPr>
            <w:r>
              <w:rPr>
                <w:sz w:val="20"/>
                <w:szCs w:val="20"/>
              </w:rPr>
              <w:t xml:space="preserve">−9.59</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w:t>
            </w:r>
          </w:p>
        </w:tc>
        <w:tc>
          <w:tcPr/>
          <w:p>
            <w:pPr>
              <w:pStyle w:val="Compact"/>
              <w:spacing w:before="0" w:after="0" w:line="240" w:lineRule="auto"/>
              <w:ind w:firstLine="0" w:left="0"/>
            </w:pPr>
            <w:r>
              <w:rPr>
                <w:sz w:val="20"/>
                <w:szCs w:val="20"/>
              </w:rPr>
              <w:t xml:space="preserve">306</w:t>
            </w:r>
          </w:p>
        </w:tc>
      </w:tr>
      <w:tr>
        <w:tc>
          <w:tcPr/>
          <w:p>
            <w:pPr>
              <w:pStyle w:val="Compact"/>
              <w:spacing w:before="0" w:after="0" w:line="240" w:lineRule="auto"/>
              <w:ind w:firstLine="0" w:left="0"/>
            </w:pPr>
            <w:r>
              <w:rPr>
                <w:sz w:val="20"/>
                <w:szCs w:val="20"/>
              </w:rPr>
              <w:t xml:space="preserve">ln(CPI all/CPI b30)</w:t>
            </w:r>
          </w:p>
        </w:tc>
        <w:tc>
          <w:tcPr/>
          <w:p>
            <w:pPr>
              <w:pStyle w:val="Compact"/>
              <w:spacing w:before="0" w:after="0" w:line="240" w:lineRule="auto"/>
              <w:ind w:firstLine="0" w:left="0"/>
            </w:pPr>
            <w:r>
              <w:rPr>
                <w:sz w:val="20"/>
                <w:szCs w:val="20"/>
              </w:rPr>
              <w:t xml:space="preserve">level</w:t>
            </w:r>
          </w:p>
        </w:tc>
        <w:tc>
          <w:tcPr/>
          <w:p>
            <w:pPr>
              <w:pStyle w:val="Compact"/>
              <w:spacing w:before="0" w:after="0" w:line="240" w:lineRule="auto"/>
              <w:ind w:firstLine="0" w:left="0"/>
            </w:pPr>
            <w:r>
              <w:rPr>
                <w:sz w:val="20"/>
                <w:szCs w:val="20"/>
              </w:rPr>
              <w:t xml:space="preserve">−1.66</w:t>
            </w:r>
          </w:p>
        </w:tc>
        <w:tc>
          <w:tcPr/>
          <w:p>
            <w:pPr>
              <w:pStyle w:val="Compact"/>
              <w:spacing w:before="0" w:after="0" w:line="240" w:lineRule="auto"/>
              <w:ind w:firstLine="0" w:left="0"/>
            </w:pPr>
            <w:r>
              <w:rPr>
                <w:sz w:val="20"/>
                <w:szCs w:val="20"/>
              </w:rPr>
              <w:t xml:space="preserve">0.770</w:t>
            </w:r>
          </w:p>
        </w:tc>
        <w:tc>
          <w:tcPr/>
          <w:p>
            <w:pPr>
              <w:pStyle w:val="Compact"/>
              <w:spacing w:before="0" w:after="0" w:line="240" w:lineRule="auto"/>
              <w:ind w:firstLine="0" w:left="0"/>
            </w:pPr>
            <w:r>
              <w:rPr>
                <w:sz w:val="20"/>
                <w:szCs w:val="20"/>
              </w:rPr>
              <w:t xml:space="preserve">4</w:t>
            </w:r>
          </w:p>
        </w:tc>
        <w:tc>
          <w:tcPr/>
          <w:p>
            <w:pPr>
              <w:pStyle w:val="Compact"/>
              <w:spacing w:before="0" w:after="0" w:line="240" w:lineRule="auto"/>
              <w:ind w:firstLine="0" w:left="0"/>
            </w:pPr>
            <w:r>
              <w:rPr>
                <w:sz w:val="20"/>
                <w:szCs w:val="20"/>
              </w:rPr>
              <w:t xml:space="preserve">303</w:t>
            </w:r>
          </w:p>
        </w:tc>
      </w:tr>
      <w:tr>
        <w:tc>
          <w:tcPr/>
          <w:p>
            <w:pPr>
              <w:pStyle w:val="Compact"/>
              <w:spacing w:before="0" w:after="0" w:line="240" w:lineRule="auto"/>
              <w:ind w:firstLine="0" w:left="0"/>
            </w:pPr>
            <w:r>
              <w:rPr>
                <w:sz w:val="20"/>
                <w:szCs w:val="20"/>
              </w:rPr>
              <w:t xml:space="preserve">ln(CPI all/CPI b30)</w:t>
            </w:r>
          </w:p>
        </w:tc>
        <w:tc>
          <w:tcPr/>
          <w:p>
            <w:pPr>
              <w:pStyle w:val="Compact"/>
              <w:spacing w:before="0" w:after="0" w:line="240" w:lineRule="auto"/>
              <w:ind w:firstLine="0" w:left="0"/>
            </w:pPr>
            <w:r>
              <w:rPr>
                <w:sz w:val="20"/>
                <w:szCs w:val="20"/>
              </w:rPr>
              <w:t xml:space="preserve">first difference</w:t>
            </w:r>
          </w:p>
        </w:tc>
        <w:tc>
          <w:tcPr/>
          <w:p>
            <w:pPr>
              <w:pStyle w:val="Compact"/>
              <w:spacing w:before="0" w:after="0" w:line="240" w:lineRule="auto"/>
              <w:ind w:firstLine="0" w:left="0"/>
            </w:pPr>
            <w:r>
              <w:rPr>
                <w:sz w:val="20"/>
                <w:szCs w:val="20"/>
              </w:rPr>
              <w:t xml:space="preserve">−9.08</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303</w:t>
            </w:r>
          </w:p>
        </w:tc>
      </w:tr>
    </w:tbl>
    <w:bookmarkEnd w:id="109"/>
    <w:bookmarkStart w:id="129" w:name="a.2-data-appendix"/>
    <w:p>
      <w:pPr>
        <w:pStyle w:val="Heading2"/>
      </w:pPr>
      <w:r>
        <w:t xml:space="preserve">A.2 Data appendix</w:t>
      </w:r>
    </w:p>
    <w:p>
      <w:pPr>
        <w:pStyle w:val="FirstParagraph"/>
      </w:pPr>
      <w:r>
        <w:t xml:space="preserve">The replication package is the repository</w:t>
      </w:r>
      <w:r>
        <w:t xml:space="preserve"> </w:t>
      </w:r>
      <w:hyperlink r:id="rId110">
        <w:r>
          <w:rPr>
            <w:rStyle w:val="Hyperlink"/>
          </w:rPr>
          <w:t xml:space="preserve">https://github.com/liancataytayjk-coder/oil-shock-distribution</w:t>
        </w:r>
      </w:hyperlink>
      <w:r>
        <w:t xml:space="preserve">. The command</w:t>
      </w:r>
      <w:r>
        <w:t xml:space="preserve"> </w:t>
      </w:r>
      <w:r>
        <w:rPr>
          <w:rStyle w:val="VerbatimChar"/>
        </w:rPr>
        <w:t xml:space="preserve">./run_all.sh</w:t>
      </w:r>
      <w:r>
        <w:t xml:space="preserve"> </w:t>
      </w:r>
      <w:r>
        <w:t xml:space="preserve">(Python 3.11) or</w:t>
      </w:r>
      <w:r>
        <w:t xml:space="preserve"> </w:t>
      </w:r>
      <w:r>
        <w:rPr>
          <w:rStyle w:val="VerbatimChar"/>
        </w:rPr>
        <w:t xml:space="preserve">code/stata/00_master.do</w:t>
      </w:r>
      <w:r>
        <w:t xml:space="preserve"> </w:t>
      </w:r>
      <w:r>
        <w:t xml:space="preserve">(Stata 17) rebuilds everything from the raw files;</w:t>
      </w:r>
      <w:r>
        <w:t xml:space="preserve"> </w:t>
      </w:r>
      <w:r>
        <w:rPr>
          <w:rStyle w:val="VerbatimChar"/>
        </w:rPr>
        <w:t xml:space="preserve">codebook/codebook.xlsx</w:t>
      </w:r>
      <w:r>
        <w:t xml:space="preserve"> </w:t>
      </w:r>
      <w:r>
        <w:t xml:space="preserve">documents every raw and cleaned variable. All files were downloaded on 4 October 2026.</w:t>
      </w:r>
    </w:p>
    <w:p>
      <w:pPr>
        <w:pStyle w:val="BodyText"/>
      </w:pPr>
      <w:r>
        <w:rPr>
          <w:b/>
          <w:bCs/>
        </w:rPr>
        <w:t xml:space="preserve">S1. CPI for All Income Households, 2018 = 100, old geographic code (17 regions).</w:t>
      </w:r>
      <w:r>
        <w:t xml:space="preserve"> </w:t>
      </w:r>
      <w:r>
        <w:t xml:space="preserve">Philippine Statistics Authority (PSA), OpenSTAT. Used for: All-income CPI, its divisions and sub-indices, and the fuel index 07.2.2 (Jan 1994-Dec 2025); 2018 basket weights. Coverage: Jan 1994-Dec 2025; Philippines and 17 regions. Files:</w:t>
      </w:r>
      <w:r>
        <w:t xml:space="preserve"> </w:t>
      </w:r>
      <w:r>
        <w:rPr>
          <w:rStyle w:val="VerbatimChar"/>
        </w:rPr>
        <w:t xml:space="preserve">psa/cpi_all_2018old_backcast_1994_2017.csv</w:t>
      </w:r>
      <w:r>
        <w:t xml:space="preserve">,</w:t>
      </w:r>
      <w:r>
        <w:t xml:space="preserve"> </w:t>
      </w:r>
      <w:r>
        <w:rPr>
          <w:rStyle w:val="VerbatimChar"/>
        </w:rPr>
        <w:t xml:space="preserve">psa/cpi_all_2018old_2018_2025.csv</w:t>
      </w:r>
      <w:r>
        <w:t xml:space="preserve">,</w:t>
      </w:r>
      <w:r>
        <w:t xml:space="preserve"> </w:t>
      </w:r>
      <w:r>
        <w:rPr>
          <w:rStyle w:val="VerbatimChar"/>
        </w:rPr>
        <w:t xml:space="preserve">psa/cpi_all_2018old_weights.csv</w:t>
      </w:r>
      <w:r>
        <w:t xml:space="preserve">. Link:</w:t>
      </w:r>
      <w:r>
        <w:t xml:space="preserve"> </w:t>
      </w:r>
      <w:hyperlink r:id="rId111">
        <w:r>
          <w:rPr>
            <w:rStyle w:val="Hyperlink"/>
          </w:rPr>
          <w:t xml:space="preserve">https://openstat.psa.gov.ph/PXWeb/api/v1/en/DB/2M/PI/CPI/2018/0012M4ACP15.px</w:t>
        </w:r>
      </w:hyperlink>
      <w:r>
        <w:t xml:space="preserve">;</w:t>
      </w:r>
      <w:r>
        <w:t xml:space="preserve"> </w:t>
      </w:r>
      <w:hyperlink r:id="rId112">
        <w:r>
          <w:rPr>
            <w:rStyle w:val="Hyperlink"/>
          </w:rPr>
          <w:t xml:space="preserve">https://openstat.psa.gov.ph/PXWeb/api/v1/en/DB/2M/PI/CPI/2018/0012M4ACP09.px</w:t>
        </w:r>
      </w:hyperlink>
      <w:r>
        <w:t xml:space="preserve">;</w:t>
      </w:r>
      <w:r>
        <w:t xml:space="preserve"> </w:t>
      </w:r>
      <w:hyperlink r:id="rId113">
        <w:r>
          <w:rPr>
            <w:rStyle w:val="Hyperlink"/>
          </w:rPr>
          <w:t xml:space="preserve">https://openstat.psa.gov.ph/PXWeb/api/v1/en/DB/2M/PI/CPI/2018/0012M4ACP12.px</w:t>
        </w:r>
      </w:hyperlink>
    </w:p>
    <w:p>
      <w:pPr>
        <w:pStyle w:val="BodyText"/>
      </w:pPr>
      <w:r>
        <w:rPr>
          <w:b/>
          <w:bCs/>
        </w:rPr>
        <w:t xml:space="preserve">S2. CPI for All Income Households, 2018 = 100, new geographic code (Negros Island Region separate).</w:t>
      </w:r>
      <w:r>
        <w:t xml:space="preserve"> </w:t>
      </w:r>
      <w:r>
        <w:t xml:space="preserve">PSA, OpenSTAT. Used for: Jan-Aug 2026 months (chained onto S1); gasoline index 07.2.2.2; 2018 weights for the 2026 decomposition. Coverage: Jan 2018-Aug 2026; Philippines, 17 regions and NIR. Files:</w:t>
      </w:r>
      <w:r>
        <w:t xml:space="preserve"> </w:t>
      </w:r>
      <w:r>
        <w:rPr>
          <w:rStyle w:val="VerbatimChar"/>
        </w:rPr>
        <w:t xml:space="preserve">psa/cpi_all_2018new_2018_2026.csv</w:t>
      </w:r>
      <w:r>
        <w:t xml:space="preserve">,</w:t>
      </w:r>
      <w:r>
        <w:t xml:space="preserve"> </w:t>
      </w:r>
      <w:r>
        <w:rPr>
          <w:rStyle w:val="VerbatimChar"/>
        </w:rPr>
        <w:t xml:space="preserve">psa/cpi_all_2018new_weights.csv</w:t>
      </w:r>
      <w:r>
        <w:t xml:space="preserve">. Link:</w:t>
      </w:r>
      <w:r>
        <w:t xml:space="preserve"> </w:t>
      </w:r>
      <w:hyperlink r:id="rId114">
        <w:r>
          <w:rPr>
            <w:rStyle w:val="Hyperlink"/>
          </w:rPr>
          <w:t xml:space="preserve">https://openstat.psa.gov.ph/PXWeb/api/v1/en/DB/2M/PI/CPI/2018NEW/0012M4ACP22.px</w:t>
        </w:r>
      </w:hyperlink>
      <w:r>
        <w:t xml:space="preserve">;</w:t>
      </w:r>
      <w:r>
        <w:t xml:space="preserve"> </w:t>
      </w:r>
      <w:hyperlink r:id="rId115">
        <w:r>
          <w:rPr>
            <w:rStyle w:val="Hyperlink"/>
          </w:rPr>
          <w:t xml:space="preserve">https://openstat.psa.gov.ph/PXWeb/api/v1/en/DB/2M/PI/CPI/2018NEW/0012M4ACP25.px</w:t>
        </w:r>
      </w:hyperlink>
    </w:p>
    <w:p>
      <w:pPr>
        <w:pStyle w:val="BodyText"/>
      </w:pPr>
      <w:r>
        <w:rPr>
          <w:b/>
          <w:bCs/>
        </w:rPr>
        <w:t xml:space="preserve">S3. CPI for the Bottom 30% Income Households, 2018 = 100, old geographic code.</w:t>
      </w:r>
      <w:r>
        <w:t xml:space="preserve"> </w:t>
      </w:r>
      <w:r>
        <w:t xml:space="preserve">PSA, OpenSTAT. Used for: Bottom-30% CPI (all items from 2000; divisions and sub-indices from 2012); 2018 basket weights. Coverage: Jan 2000-Dec 2025; Philippines and 17 regions. Files:</w:t>
      </w:r>
      <w:r>
        <w:t xml:space="preserve"> </w:t>
      </w:r>
      <w:r>
        <w:rPr>
          <w:rStyle w:val="VerbatimChar"/>
        </w:rPr>
        <w:t xml:space="preserve">psa/cpi_b30_2018old_backcast_allitems_2000_2011.csv</w:t>
      </w:r>
      <w:r>
        <w:t xml:space="preserve">,</w:t>
      </w:r>
      <w:r>
        <w:t xml:space="preserve"> </w:t>
      </w:r>
      <w:r>
        <w:rPr>
          <w:rStyle w:val="VerbatimChar"/>
        </w:rPr>
        <w:t xml:space="preserve">psa/cpi_b30_2018old_backcast_2012_2017.csv</w:t>
      </w:r>
      <w:r>
        <w:t xml:space="preserve">,</w:t>
      </w:r>
      <w:r>
        <w:t xml:space="preserve"> </w:t>
      </w:r>
      <w:r>
        <w:rPr>
          <w:rStyle w:val="VerbatimChar"/>
        </w:rPr>
        <w:t xml:space="preserve">psa/cpi_b30_2018old_2018_2025.csv</w:t>
      </w:r>
      <w:r>
        <w:t xml:space="preserve">,</w:t>
      </w:r>
      <w:r>
        <w:t xml:space="preserve"> </w:t>
      </w:r>
      <w:r>
        <w:rPr>
          <w:rStyle w:val="VerbatimChar"/>
        </w:rPr>
        <w:t xml:space="preserve">psa/cpi_b30_2018old_weights.csv</w:t>
      </w:r>
      <w:r>
        <w:t xml:space="preserve">. Link:</w:t>
      </w:r>
      <w:r>
        <w:t xml:space="preserve"> </w:t>
      </w:r>
      <w:hyperlink r:id="rId116">
        <w:r>
          <w:rPr>
            <w:rStyle w:val="Hyperlink"/>
          </w:rPr>
          <w:t xml:space="preserve">https://openstat.psa.gov.ph/PXWeb/api/v1/en/DB/2M/PI/BIH/2018/0022M4ABOT5.px</w:t>
        </w:r>
      </w:hyperlink>
      <w:r>
        <w:t xml:space="preserve">;</w:t>
      </w:r>
      <w:r>
        <w:t xml:space="preserve"> </w:t>
      </w:r>
      <w:hyperlink r:id="rId117">
        <w:r>
          <w:rPr>
            <w:rStyle w:val="Hyperlink"/>
          </w:rPr>
          <w:t xml:space="preserve">https://openstat.psa.gov.ph/PXWeb/api/v1/en/DB/2M/PI/BIH/2018/0022M4ABOT4.px</w:t>
        </w:r>
      </w:hyperlink>
      <w:r>
        <w:t xml:space="preserve">;</w:t>
      </w:r>
      <w:r>
        <w:t xml:space="preserve"> </w:t>
      </w:r>
      <w:hyperlink r:id="rId118">
        <w:r>
          <w:rPr>
            <w:rStyle w:val="Hyperlink"/>
          </w:rPr>
          <w:t xml:space="preserve">https://openstat.psa.gov.ph/PXWeb/api/v1/en/DB/2M/PI/BIH/2018/0022M4ABOT1.px</w:t>
        </w:r>
      </w:hyperlink>
      <w:r>
        <w:t xml:space="preserve">;</w:t>
      </w:r>
      <w:r>
        <w:t xml:space="preserve"> </w:t>
      </w:r>
      <w:hyperlink r:id="rId119">
        <w:r>
          <w:rPr>
            <w:rStyle w:val="Hyperlink"/>
          </w:rPr>
          <w:t xml:space="preserve">https://openstat.psa.gov.ph/PXWeb/api/v1/en/DB/2M/PI/BIH/2018/0022M4ABOT3.px</w:t>
        </w:r>
      </w:hyperlink>
    </w:p>
    <w:p>
      <w:pPr>
        <w:pStyle w:val="BodyText"/>
      </w:pPr>
      <w:r>
        <w:rPr>
          <w:b/>
          <w:bCs/>
        </w:rPr>
        <w:t xml:space="preserve">S4. CPI for the Bottom 30% Income Households, 2018 = 100, new geographic code.</w:t>
      </w:r>
      <w:r>
        <w:t xml:space="preserve"> </w:t>
      </w:r>
      <w:r>
        <w:t xml:space="preserve">PSA, OpenSTAT. Used for: Jan-Aug 2026 months (chained onto S3); 2018 weights for the 2026 decomposition. Coverage: Jan 2018-Aug 2026; Philippines, 17 regions and NIR. Files:</w:t>
      </w:r>
      <w:r>
        <w:t xml:space="preserve"> </w:t>
      </w:r>
      <w:r>
        <w:rPr>
          <w:rStyle w:val="VerbatimChar"/>
        </w:rPr>
        <w:t xml:space="preserve">psa/cpi_b30_2018new_2018_2026.csv</w:t>
      </w:r>
      <w:r>
        <w:t xml:space="preserve">,</w:t>
      </w:r>
      <w:r>
        <w:t xml:space="preserve"> </w:t>
      </w:r>
      <w:r>
        <w:rPr>
          <w:rStyle w:val="VerbatimChar"/>
        </w:rPr>
        <w:t xml:space="preserve">psa/cpi_b30_2018new_weights.csv</w:t>
      </w:r>
      <w:r>
        <w:t xml:space="preserve">. Link:</w:t>
      </w:r>
      <w:r>
        <w:t xml:space="preserve"> </w:t>
      </w:r>
      <w:hyperlink r:id="rId120">
        <w:r>
          <w:rPr>
            <w:rStyle w:val="Hyperlink"/>
          </w:rPr>
          <w:t xml:space="preserve">https://openstat.psa.gov.ph/PXWeb/api/v1/en/DB/2M/PI/BIH/2018NEW/0022M4ABIR1.px</w:t>
        </w:r>
      </w:hyperlink>
      <w:r>
        <w:t xml:space="preserve">;</w:t>
      </w:r>
      <w:r>
        <w:t xml:space="preserve"> </w:t>
      </w:r>
      <w:hyperlink r:id="rId121">
        <w:r>
          <w:rPr>
            <w:rStyle w:val="Hyperlink"/>
          </w:rPr>
          <w:t xml:space="preserve">https://openstat.psa.gov.ph/PXWeb/api/v1/en/DB/2M/PI/BIH/2018NEW/0022M4ABIR3.px</w:t>
        </w:r>
      </w:hyperlink>
    </w:p>
    <w:p>
      <w:pPr>
        <w:pStyle w:val="BodyText"/>
      </w:pPr>
      <w:r>
        <w:rPr>
          <w:b/>
          <w:bCs/>
        </w:rPr>
        <w:t xml:space="preserve">S5. Official poverty statistics by region: poverty incidence among population and annual per-capita poverty threshold.</w:t>
      </w:r>
      <w:r>
        <w:t xml:space="preserve"> </w:t>
      </w:r>
      <w:r>
        <w:t xml:space="preserve">PSA, OpenSTAT. Used for: Region groups (poverty 2018); poverty line for the peso cost (threshold 2023). Coverage: 2018, 2021, 2023; Philippines, regions and provinces. Files:</w:t>
      </w:r>
      <w:r>
        <w:t xml:space="preserve"> </w:t>
      </w:r>
      <w:r>
        <w:rPr>
          <w:rStyle w:val="VerbatimChar"/>
        </w:rPr>
        <w:t xml:space="preserve">psa/poverty_population_2018_2023.csv</w:t>
      </w:r>
      <w:r>
        <w:t xml:space="preserve">. Link:</w:t>
      </w:r>
      <w:r>
        <w:t xml:space="preserve"> </w:t>
      </w:r>
      <w:hyperlink r:id="rId122">
        <w:r>
          <w:rPr>
            <w:rStyle w:val="Hyperlink"/>
          </w:rPr>
          <w:t xml:space="preserve">https://openstat.psa.gov.ph/PXWeb/api/v1/en/DB/1F/FY/0031F3DF020.px</w:t>
        </w:r>
      </w:hyperlink>
    </w:p>
    <w:p>
      <w:pPr>
        <w:pStyle w:val="BodyText"/>
      </w:pPr>
      <w:r>
        <w:rPr>
          <w:b/>
          <w:bCs/>
        </w:rPr>
        <w:t xml:space="preserve">S6. Commodity Price Data (Pink Sheet), monthly.</w:t>
      </w:r>
      <w:r>
        <w:t xml:space="preserve"> </w:t>
      </w:r>
      <w:r>
        <w:t xml:space="preserve">World Bank. Used for: Dubai crude oil price, USD/barrel (robustness shock, with S8). Coverage: Jan 1960-Sep 2026. Files:</w:t>
      </w:r>
      <w:r>
        <w:t xml:space="preserve"> </w:t>
      </w:r>
      <w:r>
        <w:rPr>
          <w:rStyle w:val="VerbatimChar"/>
        </w:rPr>
        <w:t xml:space="preserve">wb/CMO-Historical-Data-Monthly.xlsx</w:t>
      </w:r>
      <w:r>
        <w:t xml:space="preserve">,</w:t>
      </w:r>
      <w:r>
        <w:t xml:space="preserve"> </w:t>
      </w:r>
      <w:r>
        <w:rPr>
          <w:rStyle w:val="VerbatimChar"/>
        </w:rPr>
        <w:t xml:space="preserve">extracts/wb_cmo_crude_monthly.csv</w:t>
      </w:r>
      <w:r>
        <w:t xml:space="preserve">. Link:</w:t>
      </w:r>
      <w:r>
        <w:t xml:space="preserve"> </w:t>
      </w:r>
      <w:hyperlink r:id="rId123">
        <w:r>
          <w:rPr>
            <w:rStyle w:val="Hyperlink"/>
          </w:rPr>
          <w:t xml:space="preserve">https://thedocs.worldbank.org/en/doc/74e8be41ceb20fa0da750cda2f6b9e4e-0050012026/related/CMO-Historical-Data-Monthly.xlsx</w:t>
        </w:r>
      </w:hyperlink>
    </w:p>
    <w:p>
      <w:pPr>
        <w:pStyle w:val="BodyText"/>
      </w:pPr>
      <w:r>
        <w:rPr>
          <w:b/>
          <w:bCs/>
        </w:rPr>
        <w:t xml:space="preserve">S7. Global Fuel Prices Database (April 2025 version).</w:t>
      </w:r>
      <w:r>
        <w:t xml:space="preserve"> </w:t>
      </w:r>
      <w:r>
        <w:t xml:space="preserve">World Bank. Used for: Manila regular gasoline (RON 91) pump price, PHP/litre: check of the fuel index; appendix robustness. Coverage: Philippines: Jan 2017-Mar 2025. Files:</w:t>
      </w:r>
      <w:r>
        <w:t xml:space="preserve"> </w:t>
      </w:r>
      <w:r>
        <w:rPr>
          <w:rStyle w:val="VerbatimChar"/>
        </w:rPr>
        <w:t xml:space="preserve">wb/Global_Fuel_Prices_Database.xlsx</w:t>
      </w:r>
      <w:r>
        <w:t xml:space="preserve">,</w:t>
      </w:r>
      <w:r>
        <w:t xml:space="preserve"> </w:t>
      </w:r>
      <w:r>
        <w:rPr>
          <w:rStyle w:val="VerbatimChar"/>
        </w:rPr>
        <w:t xml:space="preserve">wb/Global_Fuel_Prices_Database_methodology.pdf</w:t>
      </w:r>
      <w:r>
        <w:t xml:space="preserve">,</w:t>
      </w:r>
      <w:r>
        <w:t xml:space="preserve"> </w:t>
      </w:r>
      <w:r>
        <w:rPr>
          <w:rStyle w:val="VerbatimChar"/>
        </w:rPr>
        <w:t xml:space="preserve">extracts/wb_gfpd_phl_gasoline.csv</w:t>
      </w:r>
      <w:r>
        <w:t xml:space="preserve">. Link:</w:t>
      </w:r>
      <w:r>
        <w:t xml:space="preserve"> </w:t>
      </w:r>
      <w:hyperlink r:id="rId124">
        <w:r>
          <w:rPr>
            <w:rStyle w:val="Hyperlink"/>
          </w:rPr>
          <w:t xml:space="preserve">https://datacatalogfiles.worldbank.org/ddh-published/0066829/DR0095290/Global_Fuel_Prices_Database.xlsx</w:t>
        </w:r>
      </w:hyperlink>
    </w:p>
    <w:p>
      <w:pPr>
        <w:pStyle w:val="BodyText"/>
      </w:pPr>
      <w:r>
        <w:rPr>
          <w:b/>
          <w:bCs/>
        </w:rPr>
        <w:t xml:space="preserve">S8. Peso per US dollar exchange rate, monthly average.</w:t>
      </w:r>
      <w:r>
        <w:t xml:space="preserve"> </w:t>
      </w:r>
      <w:r>
        <w:t xml:space="preserve">Bangko Sentral ng Pilipinas (BSP). Used for: Converts Dubai crude to pesos; control variable (robustness). Coverage: Jan 1945-Sep 2026. Files:</w:t>
      </w:r>
      <w:r>
        <w:t xml:space="preserve"> </w:t>
      </w:r>
      <w:r>
        <w:rPr>
          <w:rStyle w:val="VerbatimChar"/>
        </w:rPr>
        <w:t xml:space="preserve">bsp/pesodollar.xlsx</w:t>
      </w:r>
      <w:r>
        <w:t xml:space="preserve">,</w:t>
      </w:r>
      <w:r>
        <w:t xml:space="preserve"> </w:t>
      </w:r>
      <w:r>
        <w:rPr>
          <w:rStyle w:val="VerbatimChar"/>
        </w:rPr>
        <w:t xml:space="preserve">extracts/bsp_php_usd_monthly.csv</w:t>
      </w:r>
      <w:r>
        <w:t xml:space="preserve">. Link:</w:t>
      </w:r>
      <w:r>
        <w:t xml:space="preserve"> </w:t>
      </w:r>
      <w:hyperlink r:id="rId125">
        <w:r>
          <w:rPr>
            <w:rStyle w:val="Hyperlink"/>
          </w:rPr>
          <w:t xml:space="preserve">https://www.bsp.gov.ph/Statistics/External/pesodollar.xlsx</w:t>
        </w:r>
      </w:hyperlink>
    </w:p>
    <w:p>
      <w:pPr>
        <w:pStyle w:val="BodyText"/>
      </w:pPr>
      <w:r>
        <w:rPr>
          <w:b/>
          <w:bCs/>
        </w:rPr>
        <w:t xml:space="preserve">S9. Central bank policy rates, Philippines.</w:t>
      </w:r>
      <w:r>
        <w:t xml:space="preserve"> </w:t>
      </w:r>
      <w:r>
        <w:t xml:space="preserve">Bank for International Settlements (BIS). Used for: BSP policy rate, end of month (control variable, robustness). Coverage: Jan 1986-Aug 2026. Files:</w:t>
      </w:r>
      <w:r>
        <w:t xml:space="preserve"> </w:t>
      </w:r>
      <w:r>
        <w:rPr>
          <w:rStyle w:val="VerbatimChar"/>
        </w:rPr>
        <w:t xml:space="preserve">bis/bis_cbpol_ph_monthly.csv</w:t>
      </w:r>
      <w:r>
        <w:t xml:space="preserve">. Link:</w:t>
      </w:r>
      <w:r>
        <w:t xml:space="preserve"> </w:t>
      </w:r>
      <w:hyperlink r:id="rId126">
        <w:r>
          <w:rPr>
            <w:rStyle w:val="Hyperlink"/>
          </w:rPr>
          <w:t xml:space="preserve">https://stats.bis.org/api/v1/data/WS_CBPOL/M.PH?format=csv</w:t>
        </w:r>
      </w:hyperlink>
    </w:p>
    <w:p>
      <w:pPr>
        <w:pStyle w:val="BodyText"/>
      </w:pPr>
      <w:r>
        <w:rPr>
          <w:b/>
          <w:bCs/>
        </w:rPr>
        <w:t xml:space="preserve">S10. FAO Food Price Index, nominal, 2014-2016 = 100.</w:t>
      </w:r>
      <w:r>
        <w:t xml:space="preserve"> </w:t>
      </w:r>
      <w:r>
        <w:t xml:space="preserve">Food and Agriculture Organization (FAO). Used for: World food prices (control variable, robustness). Coverage: Jan 1990-Sep 2026. Files:</w:t>
      </w:r>
      <w:r>
        <w:t xml:space="preserve"> </w:t>
      </w:r>
      <w:r>
        <w:rPr>
          <w:rStyle w:val="VerbatimChar"/>
        </w:rPr>
        <w:t xml:space="preserve">fao/food_price_indices_data.csv</w:t>
      </w:r>
      <w:r>
        <w:t xml:space="preserve">. Link:</w:t>
      </w:r>
      <w:r>
        <w:t xml:space="preserve"> </w:t>
      </w:r>
      <w:hyperlink r:id="rId127">
        <w:r>
          <w:rPr>
            <w:rStyle w:val="Hyperlink"/>
          </w:rPr>
          <w:t xml:space="preserve">https://www.fao.org/media/docs/worldfoodsituationlibraries/wfs-library/food_price_indices_data.csv</w:t>
        </w:r>
      </w:hyperlink>
    </w:p>
    <w:p>
      <w:pPr>
        <w:pStyle w:val="BodyText"/>
      </w:pPr>
      <w:r>
        <w:rPr>
          <w:b/>
          <w:bCs/>
        </w:rPr>
        <w:t xml:space="preserve">S11. 2026 policy facts (RA 12316, executive orders, subsidies, fares, policy rate).</w:t>
      </w:r>
      <w:r>
        <w:t xml:space="preserve"> </w:t>
      </w:r>
      <w:r>
        <w:t xml:space="preserve">Republic of the Philippines; news and official releases. Used for: Policy assessment (RQ3); each fact listed with its link and verification status. Coverage: Mar-Sep 2026. Files:</w:t>
      </w:r>
      <w:r>
        <w:t xml:space="preserve"> </w:t>
      </w:r>
      <w:r>
        <w:rPr>
          <w:rStyle w:val="VerbatimChar"/>
        </w:rPr>
        <w:t xml:space="preserve">paper/policy_context_2026.md</w:t>
      </w:r>
      <w:r>
        <w:t xml:space="preserve">. Link:</w:t>
      </w:r>
      <w:r>
        <w:t xml:space="preserve"> </w:t>
      </w:r>
      <w:hyperlink r:id="rId95">
        <w:r>
          <w:rPr>
            <w:rStyle w:val="Hyperlink"/>
          </w:rPr>
          <w:t xml:space="preserve">https://lawphil.net/statutes/repacts/ra2026/ra_12316_2026.html</w:t>
        </w:r>
      </w:hyperlink>
    </w:p>
    <w:p>
      <w:pPr>
        <w:pStyle w:val="BodyText"/>
      </w:pPr>
      <w:r>
        <w:rPr>
          <w:b/>
          <w:bCs/>
        </w:rPr>
        <w:t xml:space="preserve">S12. Published coefficients of the reference study (Annex Tables 1-2, Figure 7).</w:t>
      </w:r>
      <w:r>
        <w:t xml:space="preserve"> </w:t>
      </w:r>
      <w:r>
        <w:t xml:space="preserve">Kpodar and Liu (2021), IMF Working Paper WP/21/271. Used for: Comparison of the Philippine pass-through with the reference study’s estimates. Coverage: Advanced and developing economies, 2000-2019. Files:</w:t>
      </w:r>
      <w:r>
        <w:t xml:space="preserve"> </w:t>
      </w:r>
      <w:r>
        <w:rPr>
          <w:rStyle w:val="VerbatimChar"/>
        </w:rPr>
        <w:t xml:space="preserve">reference/kpodar_liu_2021_targets.csv</w:t>
      </w:r>
      <w:r>
        <w:t xml:space="preserve">. Link:</w:t>
      </w:r>
      <w:r>
        <w:t xml:space="preserve"> </w:t>
      </w:r>
      <w:hyperlink r:id="rId128">
        <w:r>
          <w:rPr>
            <w:rStyle w:val="Hyperlink"/>
          </w:rPr>
          <w:t xml:space="preserve">https://www.imf.org/en/publications/wp/issues/2021/11/12/the-distributional-implications-of-the-impact-of-fuel-price-increases-on-inflation-506822</w:t>
        </w:r>
      </w:hyperlink>
    </w:p>
    <w:p>
      <w:pPr>
        <w:pStyle w:val="TableCaption"/>
      </w:pPr>
      <w:r>
        <w:t xml:space="preserve">Table A7. Sources, scripts and output files</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Caption w:val="Table A7. Sources, scripts and output files"/>
      </w:tblPr>
      <w:tblGrid>
        <w:gridCol w:w="1584"/>
        <w:gridCol w:w="1584"/>
        <w:gridCol w:w="1584"/>
        <w:gridCol w:w="1584"/>
        <w:gridCol w:w="1584"/>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Item</w:t>
            </w:r>
          </w:p>
        </w:tc>
        <w:tc>
          <w:tcPr>
            <w:tcBorders>
              <w:bottom w:val="single" w:sz="6" w:space="0" w:color="000000"/>
            </w:tcBorders>
          </w:tcPr>
          <w:p>
            <w:pPr>
              <w:pStyle w:val="Compact"/>
              <w:spacing w:before="0" w:after="0" w:line="240" w:lineRule="auto"/>
              <w:ind w:firstLine="0" w:left="0"/>
            </w:pPr>
            <w:r>
              <w:rPr>
                <w:sz w:val="20"/>
                <w:szCs w:val="20"/>
              </w:rPr>
              <w:t xml:space="preserve">Content</w:t>
            </w:r>
          </w:p>
        </w:tc>
        <w:tc>
          <w:tcPr>
            <w:tcBorders>
              <w:bottom w:val="single" w:sz="6" w:space="0" w:color="000000"/>
            </w:tcBorders>
          </w:tcPr>
          <w:p>
            <w:pPr>
              <w:pStyle w:val="Compact"/>
              <w:spacing w:before="0" w:after="0" w:line="240" w:lineRule="auto"/>
              <w:ind w:firstLine="0" w:left="0"/>
            </w:pPr>
            <w:r>
              <w:rPr>
                <w:sz w:val="20"/>
                <w:szCs w:val="20"/>
              </w:rPr>
              <w:t xml:space="preserve">Sources</w:t>
            </w:r>
          </w:p>
        </w:tc>
        <w:tc>
          <w:tcPr>
            <w:tcBorders>
              <w:bottom w:val="single" w:sz="6" w:space="0" w:color="000000"/>
            </w:tcBorders>
          </w:tcPr>
          <w:p>
            <w:pPr>
              <w:pStyle w:val="Compact"/>
              <w:spacing w:before="0" w:after="0" w:line="240" w:lineRule="auto"/>
              <w:ind w:firstLine="0" w:left="0"/>
            </w:pPr>
            <w:r>
              <w:rPr>
                <w:sz w:val="20"/>
                <w:szCs w:val="20"/>
              </w:rPr>
              <w:t xml:space="preserve">Python script</w:t>
            </w:r>
          </w:p>
        </w:tc>
        <w:tc>
          <w:tcPr>
            <w:tcBorders>
              <w:bottom w:val="single" w:sz="6" w:space="0" w:color="000000"/>
            </w:tcBorders>
          </w:tcPr>
          <w:p>
            <w:pPr>
              <w:pStyle w:val="Compact"/>
              <w:spacing w:before="0" w:after="0" w:line="240" w:lineRule="auto"/>
              <w:ind w:firstLine="0" w:left="0"/>
            </w:pPr>
            <w:r>
              <w:rPr>
                <w:sz w:val="20"/>
                <w:szCs w:val="20"/>
              </w:rPr>
              <w:t xml:space="preserve">Stata do-file</w:t>
            </w:r>
          </w:p>
        </w:tc>
      </w:tr>
      <w:tr>
        <w:tc>
          <w:tcPr/>
          <w:p>
            <w:pPr>
              <w:pStyle w:val="Compact"/>
              <w:spacing w:before="0" w:after="0" w:line="240" w:lineRule="auto"/>
              <w:ind w:firstLine="0" w:left="0"/>
            </w:pPr>
            <w:r>
              <w:rPr>
                <w:sz w:val="20"/>
                <w:szCs w:val="20"/>
              </w:rPr>
              <w:t xml:space="preserve">Figure 1</w:t>
            </w:r>
          </w:p>
        </w:tc>
        <w:tc>
          <w:tcPr/>
          <w:p>
            <w:pPr>
              <w:pStyle w:val="Compact"/>
              <w:spacing w:before="0" w:after="0" w:line="240" w:lineRule="auto"/>
              <w:ind w:firstLine="0" w:left="0"/>
            </w:pPr>
            <w:r>
              <w:rPr>
                <w:sz w:val="20"/>
                <w:szCs w:val="20"/>
              </w:rPr>
              <w:t xml:space="preserve">Conceptual framework (X to Y)</w:t>
            </w:r>
          </w:p>
        </w:tc>
        <w:tc>
          <w:tcPr/>
          <w:p>
            <w:pPr>
              <w:pStyle w:val="Compact"/>
              <w:spacing w:before="0" w:after="0" w:line="240" w:lineRule="auto"/>
              <w:ind w:firstLine="0" w:left="0"/>
            </w:pPr>
            <w:r>
              <w:rPr>
                <w:sz w:val="20"/>
                <w:szCs w:val="20"/>
              </w:rPr>
              <w:t xml:space="preserve">-</w:t>
            </w:r>
          </w:p>
        </w:tc>
        <w:tc>
          <w:tcPr/>
          <w:p>
            <w:pPr>
              <w:pStyle w:val="Compact"/>
              <w:spacing w:before="0" w:after="0" w:line="240" w:lineRule="auto"/>
              <w:ind w:firstLine="0" w:left="0"/>
            </w:pPr>
            <w:r>
              <w:rPr>
                <w:sz w:val="20"/>
                <w:szCs w:val="20"/>
              </w:rPr>
              <w:t xml:space="preserve">06_figures.py</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Table 2</w:t>
            </w:r>
          </w:p>
        </w:tc>
        <w:tc>
          <w:tcPr/>
          <w:p>
            <w:pPr>
              <w:pStyle w:val="Compact"/>
              <w:spacing w:before="0" w:after="0" w:line="240" w:lineRule="auto"/>
              <w:ind w:firstLine="0" w:left="0"/>
            </w:pPr>
            <w:r>
              <w:rPr>
                <w:sz w:val="20"/>
                <w:szCs w:val="20"/>
              </w:rPr>
              <w:t xml:space="preserve">Summary statistics of monthly changes by period</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03_descriptive.py</w:t>
            </w:r>
          </w:p>
        </w:tc>
        <w:tc>
          <w:tcPr/>
          <w:p>
            <w:pPr>
              <w:pStyle w:val="Compact"/>
              <w:spacing w:before="0" w:after="0" w:line="240" w:lineRule="auto"/>
              <w:ind w:firstLine="0" w:left="0"/>
            </w:pPr>
            <w:r>
              <w:rPr>
                <w:sz w:val="20"/>
                <w:szCs w:val="20"/>
              </w:rPr>
              <w:t xml:space="preserve">03_descriptive.do</w:t>
            </w:r>
          </w:p>
        </w:tc>
      </w:tr>
      <w:tr>
        <w:tc>
          <w:tcPr/>
          <w:p>
            <w:pPr>
              <w:pStyle w:val="Compact"/>
              <w:spacing w:before="0" w:after="0" w:line="240" w:lineRule="auto"/>
              <w:ind w:firstLine="0" w:left="0"/>
            </w:pPr>
            <w:r>
              <w:rPr>
                <w:sz w:val="20"/>
                <w:szCs w:val="20"/>
              </w:rPr>
              <w:t xml:space="preserve">Table A4</w:t>
            </w:r>
          </w:p>
        </w:tc>
        <w:tc>
          <w:tcPr/>
          <w:p>
            <w:pPr>
              <w:pStyle w:val="Compact"/>
              <w:spacing w:before="0" w:after="0" w:line="240" w:lineRule="auto"/>
              <w:ind w:firstLine="0" w:left="0"/>
            </w:pPr>
            <w:r>
              <w:rPr>
                <w:sz w:val="20"/>
                <w:szCs w:val="20"/>
              </w:rPr>
              <w:t xml:space="preserve">Annual inflation of both groups, the gap and fuel</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03_descriptive.py</w:t>
            </w:r>
          </w:p>
        </w:tc>
        <w:tc>
          <w:tcPr/>
          <w:p>
            <w:pPr>
              <w:pStyle w:val="Compact"/>
              <w:spacing w:before="0" w:after="0" w:line="240" w:lineRule="auto"/>
              <w:ind w:firstLine="0" w:left="0"/>
            </w:pPr>
            <w:r>
              <w:rPr>
                <w:sz w:val="20"/>
                <w:szCs w:val="20"/>
              </w:rPr>
              <w:t xml:space="preserve">03_descriptive.do</w:t>
            </w:r>
          </w:p>
        </w:tc>
      </w:tr>
      <w:tr>
        <w:tc>
          <w:tcPr/>
          <w:p>
            <w:pPr>
              <w:pStyle w:val="Compact"/>
              <w:spacing w:before="0" w:after="0" w:line="240" w:lineRule="auto"/>
              <w:ind w:firstLine="0" w:left="0"/>
            </w:pPr>
            <w:r>
              <w:rPr>
                <w:sz w:val="20"/>
                <w:szCs w:val="20"/>
              </w:rPr>
              <w:t xml:space="preserve">Figure 2</w:t>
            </w:r>
          </w:p>
        </w:tc>
        <w:tc>
          <w:tcPr/>
          <w:p>
            <w:pPr>
              <w:pStyle w:val="Compact"/>
              <w:spacing w:before="0" w:after="0" w:line="240" w:lineRule="auto"/>
              <w:ind w:firstLine="0" w:left="0"/>
            </w:pPr>
            <w:r>
              <w:rPr>
                <w:sz w:val="20"/>
                <w:szCs w:val="20"/>
              </w:rPr>
              <w:t xml:space="preserve">Year-on-year inflation, gap and fuel, 2001-2026</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03_descriptive.py, 06_figures.py</w:t>
            </w:r>
          </w:p>
        </w:tc>
        <w:tc>
          <w:tcPr/>
          <w:p>
            <w:pPr>
              <w:pStyle w:val="Compact"/>
              <w:spacing w:before="0" w:after="0" w:line="240" w:lineRule="auto"/>
              <w:ind w:firstLine="0" w:left="0"/>
            </w:pPr>
            <w:r>
              <w:rPr>
                <w:sz w:val="20"/>
                <w:szCs w:val="20"/>
              </w:rPr>
              <w:t xml:space="preserve">03_descriptive.do</w:t>
            </w:r>
          </w:p>
        </w:tc>
      </w:tr>
      <w:tr>
        <w:tc>
          <w:tcPr/>
          <w:p>
            <w:pPr>
              <w:pStyle w:val="Compact"/>
              <w:spacing w:before="0" w:after="0" w:line="240" w:lineRule="auto"/>
              <w:ind w:firstLine="0" w:left="0"/>
            </w:pPr>
            <w:r>
              <w:rPr>
                <w:sz w:val="20"/>
                <w:szCs w:val="20"/>
              </w:rPr>
              <w:t xml:space="preserve">Table A5</w:t>
            </w:r>
          </w:p>
        </w:tc>
        <w:tc>
          <w:tcPr/>
          <w:p>
            <w:pPr>
              <w:pStyle w:val="Compact"/>
              <w:spacing w:before="0" w:after="0" w:line="240" w:lineRule="auto"/>
              <w:ind w:firstLine="0" w:left="0"/>
            </w:pPr>
            <w:r>
              <w:rPr>
                <w:sz w:val="20"/>
                <w:szCs w:val="20"/>
              </w:rPr>
              <w:t xml:space="preserve">Fuel-shock episodes</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03_descriptive.py</w:t>
            </w:r>
          </w:p>
        </w:tc>
        <w:tc>
          <w:tcPr/>
          <w:p>
            <w:pPr>
              <w:pStyle w:val="Compact"/>
              <w:spacing w:before="0" w:after="0" w:line="240" w:lineRule="auto"/>
              <w:ind w:firstLine="0" w:left="0"/>
            </w:pPr>
            <w:r>
              <w:rPr>
                <w:sz w:val="20"/>
                <w:szCs w:val="20"/>
              </w:rPr>
              <w:t xml:space="preserve">03_descriptive.do</w:t>
            </w:r>
          </w:p>
        </w:tc>
      </w:tr>
      <w:tr>
        <w:tc>
          <w:tcPr/>
          <w:p>
            <w:pPr>
              <w:pStyle w:val="Compact"/>
              <w:spacing w:before="0" w:after="0" w:line="240" w:lineRule="auto"/>
              <w:ind w:firstLine="0" w:left="0"/>
            </w:pPr>
            <w:r>
              <w:rPr>
                <w:sz w:val="20"/>
                <w:szCs w:val="20"/>
              </w:rPr>
              <w:t xml:space="preserve">Table A6</w:t>
            </w:r>
          </w:p>
        </w:tc>
        <w:tc>
          <w:tcPr/>
          <w:p>
            <w:pPr>
              <w:pStyle w:val="Compact"/>
              <w:spacing w:before="0" w:after="0" w:line="240" w:lineRule="auto"/>
              <w:ind w:firstLine="0" w:left="0"/>
            </w:pPr>
            <w:r>
              <w:rPr>
                <w:sz w:val="20"/>
                <w:szCs w:val="20"/>
              </w:rPr>
              <w:t xml:space="preserve">Unit-root tests</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03_descriptive.py</w:t>
            </w:r>
          </w:p>
        </w:tc>
        <w:tc>
          <w:tcPr/>
          <w:p>
            <w:pPr>
              <w:pStyle w:val="Compact"/>
              <w:spacing w:before="0" w:after="0" w:line="240" w:lineRule="auto"/>
              <w:ind w:firstLine="0" w:left="0"/>
            </w:pPr>
            <w:r>
              <w:rPr>
                <w:sz w:val="20"/>
                <w:szCs w:val="20"/>
              </w:rPr>
              <w:t xml:space="preserve">03_descriptive.do</w:t>
            </w:r>
          </w:p>
        </w:tc>
      </w:tr>
      <w:tr>
        <w:tc>
          <w:tcPr/>
          <w:p>
            <w:pPr>
              <w:pStyle w:val="Compact"/>
              <w:spacing w:before="0" w:after="0" w:line="240" w:lineRule="auto"/>
              <w:ind w:firstLine="0" w:left="0"/>
            </w:pPr>
            <w:r>
              <w:rPr>
                <w:sz w:val="20"/>
                <w:szCs w:val="20"/>
              </w:rPr>
              <w:t xml:space="preserve">Table 3</w:t>
            </w:r>
          </w:p>
        </w:tc>
        <w:tc>
          <w:tcPr/>
          <w:p>
            <w:pPr>
              <w:pStyle w:val="Compact"/>
              <w:spacing w:before="0" w:after="0" w:line="240" w:lineRule="auto"/>
              <w:ind w:firstLine="0" w:left="0"/>
            </w:pPr>
            <w:r>
              <w:rPr>
                <w:sz w:val="20"/>
                <w:szCs w:val="20"/>
              </w:rPr>
              <w:t xml:space="preserve">Pass-through to the price level, both groups</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04_estimate.py</w:t>
            </w:r>
          </w:p>
        </w:tc>
        <w:tc>
          <w:tcPr/>
          <w:p>
            <w:pPr>
              <w:pStyle w:val="Compact"/>
              <w:spacing w:before="0" w:after="0" w:line="240" w:lineRule="auto"/>
              <w:ind w:firstLine="0" w:left="0"/>
            </w:pPr>
            <w:r>
              <w:rPr>
                <w:sz w:val="20"/>
                <w:szCs w:val="20"/>
              </w:rPr>
              <w:t xml:space="preserve">04_estimate.do</w:t>
            </w:r>
          </w:p>
        </w:tc>
      </w:tr>
      <w:tr>
        <w:tc>
          <w:tcPr/>
          <w:p>
            <w:pPr>
              <w:pStyle w:val="Compact"/>
              <w:spacing w:before="0" w:after="0" w:line="240" w:lineRule="auto"/>
              <w:ind w:firstLine="0" w:left="0"/>
            </w:pPr>
            <w:r>
              <w:rPr>
                <w:sz w:val="20"/>
                <w:szCs w:val="20"/>
              </w:rPr>
              <w:t xml:space="preserve">Figure 3</w:t>
            </w:r>
          </w:p>
        </w:tc>
        <w:tc>
          <w:tcPr/>
          <w:p>
            <w:pPr>
              <w:pStyle w:val="Compact"/>
              <w:spacing w:before="0" w:after="0" w:line="240" w:lineRule="auto"/>
              <w:ind w:firstLine="0" w:left="0"/>
            </w:pPr>
            <w:r>
              <w:rPr>
                <w:sz w:val="20"/>
                <w:szCs w:val="20"/>
              </w:rPr>
              <w:t xml:space="preserve">RQ1 cumulative responses</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04_estimate.py, 06_figures.py</w:t>
            </w:r>
          </w:p>
        </w:tc>
        <w:tc>
          <w:tcPr/>
          <w:p>
            <w:pPr>
              <w:pStyle w:val="Compact"/>
              <w:spacing w:before="0" w:after="0" w:line="240" w:lineRule="auto"/>
              <w:ind w:firstLine="0" w:left="0"/>
            </w:pPr>
            <w:r>
              <w:rPr>
                <w:sz w:val="20"/>
                <w:szCs w:val="20"/>
              </w:rPr>
              <w:t xml:space="preserve">04_estimate.do</w:t>
            </w:r>
          </w:p>
        </w:tc>
      </w:tr>
      <w:tr>
        <w:tc>
          <w:tcPr/>
          <w:p>
            <w:pPr>
              <w:pStyle w:val="Compact"/>
              <w:spacing w:before="0" w:after="0" w:line="240" w:lineRule="auto"/>
              <w:ind w:firstLine="0" w:left="0"/>
            </w:pPr>
            <w:r>
              <w:rPr>
                <w:sz w:val="20"/>
                <w:szCs w:val="20"/>
              </w:rPr>
              <w:t xml:space="preserve">Table 3</w:t>
            </w:r>
          </w:p>
        </w:tc>
        <w:tc>
          <w:tcPr/>
          <w:p>
            <w:pPr>
              <w:pStyle w:val="Compact"/>
              <w:spacing w:before="0" w:after="0" w:line="240" w:lineRule="auto"/>
              <w:ind w:firstLine="0" w:left="0"/>
            </w:pPr>
            <w:r>
              <w:rPr>
                <w:sz w:val="20"/>
                <w:szCs w:val="20"/>
              </w:rPr>
              <w:t xml:space="preserve">Gap response, national and 17-region panel</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04_estimate.py</w:t>
            </w:r>
          </w:p>
        </w:tc>
        <w:tc>
          <w:tcPr/>
          <w:p>
            <w:pPr>
              <w:pStyle w:val="Compact"/>
              <w:spacing w:before="0" w:after="0" w:line="240" w:lineRule="auto"/>
              <w:ind w:firstLine="0" w:left="0"/>
            </w:pPr>
            <w:r>
              <w:rPr>
                <w:sz w:val="20"/>
                <w:szCs w:val="20"/>
              </w:rPr>
              <w:t xml:space="preserve">04_estimate.do</w:t>
            </w:r>
          </w:p>
        </w:tc>
      </w:tr>
      <w:tr>
        <w:tc>
          <w:tcPr/>
          <w:p>
            <w:pPr>
              <w:pStyle w:val="Compact"/>
              <w:spacing w:before="0" w:after="0" w:line="240" w:lineRule="auto"/>
              <w:ind w:firstLine="0" w:left="0"/>
            </w:pPr>
            <w:r>
              <w:rPr>
                <w:sz w:val="20"/>
                <w:szCs w:val="20"/>
              </w:rPr>
              <w:t xml:space="preserve">Figure 4</w:t>
            </w:r>
          </w:p>
        </w:tc>
        <w:tc>
          <w:tcPr/>
          <w:p>
            <w:pPr>
              <w:pStyle w:val="Compact"/>
              <w:spacing w:before="0" w:after="0" w:line="240" w:lineRule="auto"/>
              <w:ind w:firstLine="0" w:left="0"/>
            </w:pPr>
            <w:r>
              <w:rPr>
                <w:sz w:val="20"/>
                <w:szCs w:val="20"/>
              </w:rPr>
              <w:t xml:space="preserve">RQ2 cumulative responses</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04_estimate.py, 06_figures.py</w:t>
            </w:r>
          </w:p>
        </w:tc>
        <w:tc>
          <w:tcPr/>
          <w:p>
            <w:pPr>
              <w:pStyle w:val="Compact"/>
              <w:spacing w:before="0" w:after="0" w:line="240" w:lineRule="auto"/>
              <w:ind w:firstLine="0" w:left="0"/>
            </w:pPr>
            <w:r>
              <w:rPr>
                <w:sz w:val="20"/>
                <w:szCs w:val="20"/>
              </w:rPr>
              <w:t xml:space="preserve">04_estimate.do</w:t>
            </w:r>
          </w:p>
        </w:tc>
      </w:tr>
      <w:tr>
        <w:tc>
          <w:tcPr/>
          <w:p>
            <w:pPr>
              <w:pStyle w:val="Compact"/>
              <w:spacing w:before="0" w:after="0" w:line="240" w:lineRule="auto"/>
              <w:ind w:firstLine="0" w:left="0"/>
            </w:pPr>
            <w:r>
              <w:rPr>
                <w:sz w:val="20"/>
                <w:szCs w:val="20"/>
              </w:rPr>
              <w:t xml:space="preserve">Table A1</w:t>
            </w:r>
          </w:p>
        </w:tc>
        <w:tc>
          <w:tcPr/>
          <w:p>
            <w:pPr>
              <w:pStyle w:val="Compact"/>
              <w:spacing w:before="0" w:after="0" w:line="240" w:lineRule="auto"/>
              <w:ind w:firstLine="0" w:left="0"/>
            </w:pPr>
            <w:r>
              <w:rPr>
                <w:sz w:val="20"/>
                <w:szCs w:val="20"/>
              </w:rPr>
              <w:t xml:space="preserve">RQ2 why: division responses x weight differences</w:t>
            </w:r>
          </w:p>
        </w:tc>
        <w:tc>
          <w:tcPr/>
          <w:p>
            <w:pPr>
              <w:pStyle w:val="Compact"/>
              <w:spacing w:before="0" w:after="0" w:line="240" w:lineRule="auto"/>
              <w:ind w:firstLine="0" w:left="0"/>
            </w:pPr>
            <w:r>
              <w:rPr>
                <w:sz w:val="20"/>
                <w:szCs w:val="20"/>
              </w:rPr>
              <w:t xml:space="preserve">S1, S3</w:t>
            </w:r>
          </w:p>
        </w:tc>
        <w:tc>
          <w:tcPr/>
          <w:p>
            <w:pPr>
              <w:pStyle w:val="Compact"/>
              <w:spacing w:before="0" w:after="0" w:line="240" w:lineRule="auto"/>
              <w:ind w:firstLine="0" w:left="0"/>
            </w:pPr>
            <w:r>
              <w:rPr>
                <w:sz w:val="20"/>
                <w:szCs w:val="20"/>
              </w:rPr>
              <w:t xml:space="preserve">04_estimate.py</w:t>
            </w:r>
          </w:p>
        </w:tc>
        <w:tc>
          <w:tcPr/>
          <w:p>
            <w:pPr>
              <w:pStyle w:val="Compact"/>
              <w:spacing w:before="0" w:after="0" w:line="240" w:lineRule="auto"/>
              <w:ind w:firstLine="0" w:left="0"/>
            </w:pPr>
            <w:r>
              <w:rPr>
                <w:sz w:val="20"/>
                <w:szCs w:val="20"/>
              </w:rPr>
              <w:t xml:space="preserve">04_estimate.do</w:t>
            </w:r>
          </w:p>
        </w:tc>
      </w:tr>
      <w:tr>
        <w:tc>
          <w:tcPr/>
          <w:p>
            <w:pPr>
              <w:pStyle w:val="Compact"/>
              <w:spacing w:before="0" w:after="0" w:line="240" w:lineRule="auto"/>
              <w:ind w:firstLine="0" w:left="0"/>
            </w:pPr>
            <w:r>
              <w:rPr>
                <w:sz w:val="20"/>
                <w:szCs w:val="20"/>
              </w:rPr>
              <w:t xml:space="preserve">Table 4</w:t>
            </w:r>
          </w:p>
        </w:tc>
        <w:tc>
          <w:tcPr/>
          <w:p>
            <w:pPr>
              <w:pStyle w:val="Compact"/>
              <w:spacing w:before="0" w:after="0" w:line="240" w:lineRule="auto"/>
              <w:ind w:firstLine="0" w:left="0"/>
            </w:pPr>
            <w:r>
              <w:rPr>
                <w:sz w:val="20"/>
                <w:szCs w:val="20"/>
              </w:rPr>
              <w:t xml:space="preserve">Divisions in both baskets, 2013-2026 (exploratory)</w:t>
            </w:r>
          </w:p>
        </w:tc>
        <w:tc>
          <w:tcPr/>
          <w:p>
            <w:pPr>
              <w:pStyle w:val="Compact"/>
              <w:spacing w:before="0" w:after="0" w:line="240" w:lineRule="auto"/>
              <w:ind w:firstLine="0" w:left="0"/>
            </w:pPr>
            <w:r>
              <w:rPr>
                <w:sz w:val="20"/>
                <w:szCs w:val="20"/>
              </w:rPr>
              <w:t xml:space="preserve">S1, S3</w:t>
            </w:r>
          </w:p>
        </w:tc>
        <w:tc>
          <w:tcPr/>
          <w:p>
            <w:pPr>
              <w:pStyle w:val="Compact"/>
              <w:spacing w:before="0" w:after="0" w:line="240" w:lineRule="auto"/>
              <w:ind w:firstLine="0" w:left="0"/>
            </w:pPr>
            <w:r>
              <w:rPr>
                <w:sz w:val="20"/>
                <w:szCs w:val="20"/>
              </w:rPr>
              <w:t xml:space="preserve">04_estimate.py</w:t>
            </w:r>
          </w:p>
        </w:tc>
        <w:tc>
          <w:tcPr/>
          <w:p>
            <w:pPr>
              <w:pStyle w:val="Compact"/>
              <w:spacing w:before="0" w:after="0" w:line="240" w:lineRule="auto"/>
              <w:ind w:firstLine="0" w:left="0"/>
            </w:pPr>
            <w:r>
              <w:rPr>
                <w:sz w:val="20"/>
                <w:szCs w:val="20"/>
              </w:rPr>
              <w:t xml:space="preserve">04_estimate.do</w:t>
            </w:r>
          </w:p>
        </w:tc>
      </w:tr>
      <w:tr>
        <w:tc>
          <w:tcPr/>
          <w:p>
            <w:pPr>
              <w:pStyle w:val="Compact"/>
              <w:spacing w:before="0" w:after="0" w:line="240" w:lineRule="auto"/>
              <w:ind w:firstLine="0" w:left="0"/>
            </w:pPr>
            <w:r>
              <w:rPr>
                <w:sz w:val="20"/>
                <w:szCs w:val="20"/>
              </w:rPr>
              <w:t xml:space="preserve">Table 5</w:t>
            </w:r>
          </w:p>
        </w:tc>
        <w:tc>
          <w:tcPr/>
          <w:p>
            <w:pPr>
              <w:pStyle w:val="Compact"/>
              <w:spacing w:before="0" w:after="0" w:line="240" w:lineRule="auto"/>
              <w:ind w:firstLine="0" w:left="0"/>
            </w:pPr>
            <w:r>
              <w:rPr>
                <w:sz w:val="20"/>
                <w:szCs w:val="20"/>
              </w:rPr>
              <w:t xml:space="preserve">Core robustness checks</w:t>
            </w:r>
          </w:p>
        </w:tc>
        <w:tc>
          <w:tcPr/>
          <w:p>
            <w:pPr>
              <w:pStyle w:val="Compact"/>
              <w:spacing w:before="0" w:after="0" w:line="240" w:lineRule="auto"/>
              <w:ind w:firstLine="0" w:left="0"/>
            </w:pPr>
            <w:r>
              <w:rPr>
                <w:sz w:val="20"/>
                <w:szCs w:val="20"/>
              </w:rPr>
              <w:t xml:space="preserve">S1-S10</w:t>
            </w:r>
          </w:p>
        </w:tc>
        <w:tc>
          <w:tcPr/>
          <w:p>
            <w:pPr>
              <w:pStyle w:val="Compact"/>
              <w:spacing w:before="0" w:after="0" w:line="240" w:lineRule="auto"/>
              <w:ind w:firstLine="0" w:left="0"/>
            </w:pPr>
            <w:r>
              <w:rPr>
                <w:sz w:val="20"/>
                <w:szCs w:val="20"/>
              </w:rPr>
              <w:t xml:space="preserve">04_estimate.py</w:t>
            </w:r>
          </w:p>
        </w:tc>
        <w:tc>
          <w:tcPr/>
          <w:p>
            <w:pPr>
              <w:pStyle w:val="Compact"/>
              <w:spacing w:before="0" w:after="0" w:line="240" w:lineRule="auto"/>
              <w:ind w:firstLine="0" w:left="0"/>
            </w:pPr>
            <w:r>
              <w:rPr>
                <w:sz w:val="20"/>
                <w:szCs w:val="20"/>
              </w:rPr>
              <w:t xml:space="preserve">04_estimate.do</w:t>
            </w:r>
          </w:p>
        </w:tc>
      </w:tr>
      <w:tr>
        <w:tc>
          <w:tcPr/>
          <w:p>
            <w:pPr>
              <w:pStyle w:val="Compact"/>
              <w:spacing w:before="0" w:after="0" w:line="240" w:lineRule="auto"/>
              <w:ind w:firstLine="0" w:left="0"/>
            </w:pPr>
            <w:r>
              <w:rPr>
                <w:sz w:val="20"/>
                <w:szCs w:val="20"/>
              </w:rPr>
              <w:t xml:space="preserve">Figure 5</w:t>
            </w:r>
          </w:p>
        </w:tc>
        <w:tc>
          <w:tcPr/>
          <w:p>
            <w:pPr>
              <w:pStyle w:val="Compact"/>
              <w:spacing w:before="0" w:after="0" w:line="240" w:lineRule="auto"/>
              <w:ind w:firstLine="0" w:left="0"/>
            </w:pPr>
            <w:r>
              <w:rPr>
                <w:sz w:val="20"/>
                <w:szCs w:val="20"/>
              </w:rPr>
              <w:t xml:space="preserve">Core robustness of the six-month gap</w:t>
            </w:r>
          </w:p>
        </w:tc>
        <w:tc>
          <w:tcPr/>
          <w:p>
            <w:pPr>
              <w:pStyle w:val="Compact"/>
              <w:spacing w:before="0" w:after="0" w:line="240" w:lineRule="auto"/>
              <w:ind w:firstLine="0" w:left="0"/>
            </w:pPr>
            <w:r>
              <w:rPr>
                <w:sz w:val="20"/>
                <w:szCs w:val="20"/>
              </w:rPr>
              <w:t xml:space="preserve">S1-S10</w:t>
            </w:r>
          </w:p>
        </w:tc>
        <w:tc>
          <w:tcPr/>
          <w:p>
            <w:pPr>
              <w:pStyle w:val="Compact"/>
              <w:spacing w:before="0" w:after="0" w:line="240" w:lineRule="auto"/>
              <w:ind w:firstLine="0" w:left="0"/>
            </w:pPr>
            <w:r>
              <w:rPr>
                <w:sz w:val="20"/>
                <w:szCs w:val="20"/>
              </w:rPr>
              <w:t xml:space="preserve">04_estimate.py, 06_figures.py</w:t>
            </w:r>
          </w:p>
        </w:tc>
        <w:tc>
          <w:tcPr/>
          <w:p>
            <w:pPr>
              <w:pStyle w:val="Compact"/>
              <w:spacing w:before="0" w:after="0" w:line="240" w:lineRule="auto"/>
              <w:ind w:firstLine="0" w:left="0"/>
            </w:pPr>
            <w:r>
              <w:rPr>
                <w:sz w:val="20"/>
                <w:szCs w:val="20"/>
              </w:rPr>
              <w:t xml:space="preserve">04_estimate.do</w:t>
            </w:r>
          </w:p>
        </w:tc>
      </w:tr>
      <w:tr>
        <w:tc>
          <w:tcPr/>
          <w:p>
            <w:pPr>
              <w:pStyle w:val="Compact"/>
              <w:spacing w:before="0" w:after="0" w:line="240" w:lineRule="auto"/>
              <w:ind w:firstLine="0" w:left="0"/>
            </w:pPr>
            <w:r>
              <w:rPr>
                <w:sz w:val="20"/>
                <w:szCs w:val="20"/>
              </w:rPr>
              <w:t xml:space="preserve">Figure 6</w:t>
            </w:r>
          </w:p>
        </w:tc>
        <w:tc>
          <w:tcPr/>
          <w:p>
            <w:pPr>
              <w:pStyle w:val="Compact"/>
              <w:spacing w:before="0" w:after="0" w:line="240" w:lineRule="auto"/>
              <w:ind w:firstLine="0" w:left="0"/>
            </w:pPr>
            <w:r>
              <w:rPr>
                <w:sz w:val="20"/>
                <w:szCs w:val="20"/>
              </w:rPr>
              <w:t xml:space="preserve">2026: actual vs fuel-driven change</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05_policy_2026.py, 06_figures.py</w:t>
            </w:r>
          </w:p>
        </w:tc>
        <w:tc>
          <w:tcPr/>
          <w:p>
            <w:pPr>
              <w:pStyle w:val="Compact"/>
              <w:spacing w:before="0" w:after="0" w:line="240" w:lineRule="auto"/>
              <w:ind w:firstLine="0" w:left="0"/>
            </w:pPr>
            <w:r>
              <w:rPr>
                <w:sz w:val="20"/>
                <w:szCs w:val="20"/>
              </w:rPr>
              <w:t xml:space="preserve">05_policy_2026.do</w:t>
            </w:r>
          </w:p>
        </w:tc>
      </w:tr>
      <w:tr>
        <w:tc>
          <w:tcPr/>
          <w:p>
            <w:pPr>
              <w:pStyle w:val="Compact"/>
              <w:spacing w:before="0" w:after="0" w:line="240" w:lineRule="auto"/>
              <w:ind w:firstLine="0" w:left="0"/>
            </w:pPr>
            <w:r>
              <w:rPr>
                <w:sz w:val="20"/>
                <w:szCs w:val="20"/>
              </w:rPr>
              <w:t xml:space="preserve">Table 6</w:t>
            </w:r>
          </w:p>
        </w:tc>
        <w:tc>
          <w:tcPr/>
          <w:p>
            <w:pPr>
              <w:pStyle w:val="Compact"/>
              <w:spacing w:before="0" w:after="0" w:line="240" w:lineRule="auto"/>
              <w:ind w:firstLine="0" w:left="0"/>
            </w:pPr>
            <w:r>
              <w:rPr>
                <w:sz w:val="20"/>
                <w:szCs w:val="20"/>
              </w:rPr>
              <w:t xml:space="preserve">2026 by region; peso cost for a poverty-line family</w:t>
            </w:r>
          </w:p>
        </w:tc>
        <w:tc>
          <w:tcPr/>
          <w:p>
            <w:pPr>
              <w:pStyle w:val="Compact"/>
              <w:spacing w:before="0" w:after="0" w:line="240" w:lineRule="auto"/>
              <w:ind w:firstLine="0" w:left="0"/>
            </w:pPr>
            <w:r>
              <w:rPr>
                <w:sz w:val="20"/>
                <w:szCs w:val="20"/>
              </w:rPr>
              <w:t xml:space="preserve">S1-S5</w:t>
            </w:r>
          </w:p>
        </w:tc>
        <w:tc>
          <w:tcPr/>
          <w:p>
            <w:pPr>
              <w:pStyle w:val="Compact"/>
              <w:spacing w:before="0" w:after="0" w:line="240" w:lineRule="auto"/>
              <w:ind w:firstLine="0" w:left="0"/>
            </w:pPr>
            <w:r>
              <w:rPr>
                <w:sz w:val="20"/>
                <w:szCs w:val="20"/>
              </w:rPr>
              <w:t xml:space="preserve">05_policy_2026.py</w:t>
            </w:r>
          </w:p>
        </w:tc>
        <w:tc>
          <w:tcPr/>
          <w:p>
            <w:pPr>
              <w:pStyle w:val="Compact"/>
              <w:spacing w:before="0" w:after="0" w:line="240" w:lineRule="auto"/>
              <w:ind w:firstLine="0" w:left="0"/>
            </w:pPr>
            <w:r>
              <w:rPr>
                <w:sz w:val="20"/>
                <w:szCs w:val="20"/>
              </w:rPr>
              <w:t xml:space="preserve">05_policy_2026.do</w:t>
            </w:r>
          </w:p>
        </w:tc>
      </w:tr>
      <w:tr>
        <w:tc>
          <w:tcPr/>
          <w:p>
            <w:pPr>
              <w:pStyle w:val="Compact"/>
              <w:spacing w:before="0" w:after="0" w:line="240" w:lineRule="auto"/>
              <w:ind w:firstLine="0" w:left="0"/>
            </w:pPr>
            <w:r>
              <w:rPr>
                <w:sz w:val="20"/>
                <w:szCs w:val="20"/>
              </w:rPr>
              <w:t xml:space="preserve">Table 7</w:t>
            </w:r>
          </w:p>
        </w:tc>
        <w:tc>
          <w:tcPr/>
          <w:p>
            <w:pPr>
              <w:pStyle w:val="Compact"/>
              <w:spacing w:before="0" w:after="0" w:line="240" w:lineRule="auto"/>
              <w:ind w:firstLine="0" w:left="0"/>
            </w:pPr>
            <w:r>
              <w:rPr>
                <w:sz w:val="20"/>
                <w:szCs w:val="20"/>
              </w:rPr>
              <w:t xml:space="preserve">LPG, kerosene, solid fuels, fares, cereals: both baskets</w:t>
            </w:r>
          </w:p>
        </w:tc>
        <w:tc>
          <w:tcPr/>
          <w:p>
            <w:pPr>
              <w:pStyle w:val="Compact"/>
              <w:spacing w:before="0" w:after="0" w:line="240" w:lineRule="auto"/>
              <w:ind w:firstLine="0" w:left="0"/>
            </w:pPr>
            <w:r>
              <w:rPr>
                <w:sz w:val="20"/>
                <w:szCs w:val="20"/>
              </w:rPr>
              <w:t xml:space="preserve">S1, S3</w:t>
            </w:r>
          </w:p>
        </w:tc>
        <w:tc>
          <w:tcPr/>
          <w:p>
            <w:pPr>
              <w:pStyle w:val="Compact"/>
              <w:spacing w:before="0" w:after="0" w:line="240" w:lineRule="auto"/>
              <w:ind w:firstLine="0" w:left="0"/>
            </w:pPr>
            <w:r>
              <w:rPr>
                <w:sz w:val="20"/>
                <w:szCs w:val="20"/>
              </w:rPr>
              <w:t xml:space="preserve">05_policy_2026.py</w:t>
            </w:r>
          </w:p>
        </w:tc>
        <w:tc>
          <w:tcPr/>
          <w:p>
            <w:pPr>
              <w:pStyle w:val="Compact"/>
              <w:spacing w:before="0" w:after="0" w:line="240" w:lineRule="auto"/>
              <w:ind w:firstLine="0" w:left="0"/>
            </w:pPr>
            <w:r>
              <w:rPr>
                <w:sz w:val="20"/>
                <w:szCs w:val="20"/>
              </w:rPr>
              <w:t xml:space="preserve">05_policy_2026.do</w:t>
            </w:r>
          </w:p>
        </w:tc>
      </w:tr>
      <w:tr>
        <w:tc>
          <w:tcPr/>
          <w:p>
            <w:pPr>
              <w:pStyle w:val="Compact"/>
              <w:spacing w:before="0" w:after="0" w:line="240" w:lineRule="auto"/>
              <w:ind w:firstLine="0" w:left="0"/>
            </w:pPr>
            <w:r>
              <w:rPr>
                <w:sz w:val="20"/>
                <w:szCs w:val="20"/>
              </w:rPr>
              <w:t xml:space="preserve">Figure 7</w:t>
            </w:r>
          </w:p>
        </w:tc>
        <w:tc>
          <w:tcPr/>
          <w:p>
            <w:pPr>
              <w:pStyle w:val="Compact"/>
              <w:spacing w:before="0" w:after="0" w:line="240" w:lineRule="auto"/>
              <w:ind w:firstLine="0" w:left="0"/>
            </w:pPr>
            <w:r>
              <w:rPr>
                <w:sz w:val="20"/>
                <w:szCs w:val="20"/>
              </w:rPr>
              <w:t xml:space="preserve">Item contributions to the 2026 gap</w:t>
            </w:r>
          </w:p>
        </w:tc>
        <w:tc>
          <w:tcPr/>
          <w:p>
            <w:pPr>
              <w:pStyle w:val="Compact"/>
              <w:spacing w:before="0" w:after="0" w:line="240" w:lineRule="auto"/>
              <w:ind w:firstLine="0" w:left="0"/>
            </w:pPr>
            <w:r>
              <w:rPr>
                <w:sz w:val="20"/>
                <w:szCs w:val="20"/>
              </w:rPr>
              <w:t xml:space="preserve">S2, S4</w:t>
            </w:r>
          </w:p>
        </w:tc>
        <w:tc>
          <w:tcPr/>
          <w:p>
            <w:pPr>
              <w:pStyle w:val="Compact"/>
              <w:spacing w:before="0" w:after="0" w:line="240" w:lineRule="auto"/>
              <w:ind w:firstLine="0" w:left="0"/>
            </w:pPr>
            <w:r>
              <w:rPr>
                <w:sz w:val="20"/>
                <w:szCs w:val="20"/>
              </w:rPr>
              <w:t xml:space="preserve">05_policy_2026.py, 06_figures.py</w:t>
            </w:r>
          </w:p>
        </w:tc>
        <w:tc>
          <w:tcPr/>
          <w:p>
            <w:pPr>
              <w:pStyle w:val="Compact"/>
              <w:spacing w:before="0" w:after="0" w:line="240" w:lineRule="auto"/>
              <w:ind w:firstLine="0" w:left="0"/>
            </w:pPr>
            <w:r>
              <w:rPr>
                <w:sz w:val="20"/>
                <w:szCs w:val="20"/>
              </w:rPr>
              <w:t xml:space="preserve">05_policy_2026.do</w:t>
            </w:r>
          </w:p>
        </w:tc>
      </w:tr>
      <w:tr>
        <w:tc>
          <w:tcPr/>
          <w:p>
            <w:pPr>
              <w:pStyle w:val="Compact"/>
              <w:spacing w:before="0" w:after="0" w:line="240" w:lineRule="auto"/>
              <w:ind w:firstLine="0" w:left="0"/>
            </w:pPr>
            <w:r>
              <w:rPr>
                <w:sz w:val="20"/>
                <w:szCs w:val="20"/>
              </w:rPr>
              <w:t xml:space="preserve">Tables A2–A3</w:t>
            </w:r>
          </w:p>
        </w:tc>
        <w:tc>
          <w:tcPr/>
          <w:p>
            <w:pPr>
              <w:pStyle w:val="Compact"/>
              <w:spacing w:before="0" w:after="0" w:line="240" w:lineRule="auto"/>
              <w:ind w:firstLine="0" w:left="0"/>
            </w:pPr>
            <w:r>
              <w:rPr>
                <w:sz w:val="20"/>
                <w:szCs w:val="20"/>
              </w:rPr>
              <w:t xml:space="preserve">Region-group interactions; other robustness checks</w:t>
            </w:r>
          </w:p>
        </w:tc>
        <w:tc>
          <w:tcPr/>
          <w:p>
            <w:pPr>
              <w:pStyle w:val="Compact"/>
              <w:spacing w:before="0" w:after="0" w:line="240" w:lineRule="auto"/>
              <w:ind w:firstLine="0" w:left="0"/>
            </w:pPr>
            <w:r>
              <w:rPr>
                <w:sz w:val="20"/>
                <w:szCs w:val="20"/>
              </w:rPr>
              <w:t xml:space="preserve">S1-S10</w:t>
            </w:r>
          </w:p>
        </w:tc>
        <w:tc>
          <w:tcPr/>
          <w:p>
            <w:pPr>
              <w:pStyle w:val="Compact"/>
              <w:spacing w:before="0" w:after="0" w:line="240" w:lineRule="auto"/>
              <w:ind w:firstLine="0" w:left="0"/>
            </w:pPr>
            <w:r>
              <w:rPr>
                <w:sz w:val="20"/>
                <w:szCs w:val="20"/>
              </w:rPr>
              <w:t xml:space="preserve">04_estimate.py</w:t>
            </w:r>
          </w:p>
        </w:tc>
        <w:tc>
          <w:tcPr/>
          <w:p>
            <w:pPr>
              <w:pStyle w:val="Compact"/>
              <w:spacing w:before="0" w:after="0" w:line="240" w:lineRule="auto"/>
              <w:ind w:firstLine="0" w:left="0"/>
            </w:pPr>
            <w:r>
              <w:rPr>
                <w:sz w:val="20"/>
                <w:szCs w:val="20"/>
              </w:rPr>
              <w:t xml:space="preserve">04_estimate.do</w:t>
            </w:r>
          </w:p>
        </w:tc>
      </w:tr>
      <w:tr>
        <w:tc>
          <w:tcPr/>
          <w:p>
            <w:pPr>
              <w:pStyle w:val="Compact"/>
              <w:spacing w:before="0" w:after="0" w:line="240" w:lineRule="auto"/>
              <w:ind w:firstLine="0" w:left="0"/>
            </w:pPr>
            <w:r>
              <w:rPr>
                <w:sz w:val="20"/>
                <w:szCs w:val="20"/>
              </w:rPr>
              <w:t xml:space="preserve">Figure A1</w:t>
            </w:r>
          </w:p>
        </w:tc>
        <w:tc>
          <w:tcPr/>
          <w:p>
            <w:pPr>
              <w:pStyle w:val="Compact"/>
              <w:spacing w:before="0" w:after="0" w:line="240" w:lineRule="auto"/>
              <w:ind w:firstLine="0" w:left="0"/>
            </w:pPr>
            <w:r>
              <w:rPr>
                <w:sz w:val="20"/>
                <w:szCs w:val="20"/>
              </w:rPr>
              <w:t xml:space="preserve">Region-group interactions</w:t>
            </w:r>
          </w:p>
        </w:tc>
        <w:tc>
          <w:tcPr/>
          <w:p>
            <w:pPr>
              <w:pStyle w:val="Compact"/>
              <w:spacing w:before="0" w:after="0" w:line="240" w:lineRule="auto"/>
              <w:ind w:firstLine="0" w:left="0"/>
            </w:pPr>
            <w:r>
              <w:rPr>
                <w:sz w:val="20"/>
                <w:szCs w:val="20"/>
              </w:rPr>
              <w:t xml:space="preserve">S1-S5</w:t>
            </w:r>
          </w:p>
        </w:tc>
        <w:tc>
          <w:tcPr/>
          <w:p>
            <w:pPr>
              <w:pStyle w:val="Compact"/>
              <w:spacing w:before="0" w:after="0" w:line="240" w:lineRule="auto"/>
              <w:ind w:firstLine="0" w:left="0"/>
            </w:pPr>
            <w:r>
              <w:rPr>
                <w:sz w:val="20"/>
                <w:szCs w:val="20"/>
              </w:rPr>
              <w:t xml:space="preserve">04_estimate.py, 06_figures.py</w:t>
            </w:r>
          </w:p>
        </w:tc>
        <w:tc>
          <w:tcPr/>
          <w:p>
            <w:pPr>
              <w:pStyle w:val="Compact"/>
              <w:spacing w:before="0" w:after="0" w:line="240" w:lineRule="auto"/>
              <w:ind w:firstLine="0" w:left="0"/>
            </w:pPr>
            <w:r>
              <w:rPr>
                <w:sz w:val="20"/>
                <w:szCs w:val="20"/>
              </w:rPr>
              <w:t xml:space="preserve">04_estimate.do</w:t>
            </w:r>
          </w:p>
        </w:tc>
      </w:tr>
      <w:tr>
        <w:tc>
          <w:tcPr/>
          <w:p>
            <w:pPr>
              <w:pStyle w:val="Compact"/>
              <w:spacing w:before="0" w:after="0" w:line="240" w:lineRule="auto"/>
              <w:ind w:firstLine="0" w:left="0"/>
            </w:pPr>
            <w:r>
              <w:rPr>
                <w:sz w:val="20"/>
                <w:szCs w:val="20"/>
              </w:rPr>
              <w:t xml:space="preserve">Figure A2</w:t>
            </w:r>
          </w:p>
        </w:tc>
        <w:tc>
          <w:tcPr/>
          <w:p>
            <w:pPr>
              <w:pStyle w:val="Compact"/>
              <w:spacing w:before="0" w:after="0" w:line="240" w:lineRule="auto"/>
              <w:ind w:firstLine="0" w:left="0"/>
            </w:pPr>
            <w:r>
              <w:rPr>
                <w:sz w:val="20"/>
                <w:szCs w:val="20"/>
              </w:rPr>
              <w:t xml:space="preserve">Other robustness checks</w:t>
            </w:r>
          </w:p>
        </w:tc>
        <w:tc>
          <w:tcPr/>
          <w:p>
            <w:pPr>
              <w:pStyle w:val="Compact"/>
              <w:spacing w:before="0" w:after="0" w:line="240" w:lineRule="auto"/>
              <w:ind w:firstLine="0" w:left="0"/>
            </w:pPr>
            <w:r>
              <w:rPr>
                <w:sz w:val="20"/>
                <w:szCs w:val="20"/>
              </w:rPr>
              <w:t xml:space="preserve">S1-S10</w:t>
            </w:r>
          </w:p>
        </w:tc>
        <w:tc>
          <w:tcPr/>
          <w:p>
            <w:pPr>
              <w:pStyle w:val="Compact"/>
              <w:spacing w:before="0" w:after="0" w:line="240" w:lineRule="auto"/>
              <w:ind w:firstLine="0" w:left="0"/>
            </w:pPr>
            <w:r>
              <w:rPr>
                <w:sz w:val="20"/>
                <w:szCs w:val="20"/>
              </w:rPr>
              <w:t xml:space="preserve">04_estimate.py, 06_figures.py</w:t>
            </w:r>
          </w:p>
        </w:tc>
        <w:tc>
          <w:tcPr/>
          <w:p>
            <w:pPr>
              <w:pStyle w:val="Compact"/>
              <w:spacing w:before="0" w:after="0" w:line="240" w:lineRule="auto"/>
              <w:ind w:firstLine="0" w:left="0"/>
            </w:pPr>
            <w:r>
              <w:rPr>
                <w:sz w:val="20"/>
                <w:szCs w:val="20"/>
              </w:rPr>
              <w:t xml:space="preserve">04_estimate.do</w:t>
            </w:r>
          </w:p>
        </w:tc>
      </w:tr>
    </w:tbl>
    <w:bookmarkEnd w:id="129"/>
    <w:bookmarkEnd w:id="130"/>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ind w:firstLine="0"/>
      <w:jc w:val="center"/>
    </w:pPr>
    <w: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Graduate School of Applied Economics, University of Southeastern Philippines, Davao City.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0" w:before="0" w:line="480" w:lineRule="auto"/>
      <w:ind w:left="0" w:right="0" w:firstLine="720"/>
      <w:jc w:val="left"/>
    </w:pPr>
    <w:rPr>
      <w:rFonts w:ascii="Times New Roman" w:cs="Times New Roman" w:eastAsia="Times New Roman" w:hAnsi="Times New Roman"/>
      <w:b w:val="0"/>
      <w:i w:val="0"/>
      <w:color w:val="000000"/>
      <w:sz w:val="24"/>
    </w:rPr>
  </w:style>
  <w:style w:styleId="BodyText" w:type="paragraph">
    <w:name w:val="Body Text"/>
    <w:basedOn w:val="Normal"/>
    <w:link w:val="BodyTextChar"/>
    <w:pPr>
      <w:keepNext w:val="0"/>
      <w:widowControl/>
      <w:spacing w:after="0" w:before="0" w:line="480" w:lineRule="auto"/>
      <w:ind w:left="0" w:right="0" w:firstLine="720"/>
      <w:jc w:val="left"/>
    </w:pPr>
    <w:qFormat/>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keepNext w:val="0"/>
      <w:widowControl/>
      <w:spacing w:after="0" w:before="0" w:line="480" w:lineRule="auto"/>
      <w:ind w:left="0" w:right="0" w:firstLine="0"/>
      <w:jc w:val="left"/>
    </w:pPr>
    <w:rPr>
      <w:rFonts w:ascii="Times New Roman" w:cs="Times New Roman" w:eastAsia="Times New Roman" w:hAnsi="Times New Roman"/>
      <w:b w:val="0"/>
      <w:i w:val="0"/>
      <w:color w:val="000000"/>
      <w:sz w:val="24"/>
    </w:rPr>
  </w:style>
  <w:style w:customStyle="1" w:styleId="Compact" w:type="paragraph">
    <w:name w:val="Compact"/>
    <w:basedOn w:val="BodyText"/>
    <w:qFormat/>
    <w:pPr>
      <w:keepNext w:val="0"/>
      <w:widowControl/>
      <w:spacing w:after="0" w:before="0" w:line="240" w:lineRule="auto"/>
      <w:ind w:left="0" w:right="0" w:firstLine="0"/>
      <w:jc w:val="left"/>
    </w:pPr>
    <w:rPr>
      <w:rFonts w:ascii="Times New Roman" w:cs="Times New Roman" w:eastAsia="Times New Roman" w:hAnsi="Times New Roman"/>
      <w:b w:val="0"/>
      <w:i w:val="0"/>
      <w:color w:val="000000"/>
      <w:sz w:val="24"/>
    </w:rPr>
  </w:style>
  <w:style w:styleId="Title" w:type="paragraph">
    <w:name w:val="Title"/>
    <w:basedOn w:val="Normal"/>
    <w:next w:val="BodyText"/>
    <w:qFormat/>
    <w:pPr>
      <w:keepNext/>
      <w:keepLines/>
      <w:widowControl/>
      <w:spacing w:after="240" w:before="0" w:line="240" w:lineRule="auto"/>
      <w:ind w:left="0" w:right="0" w:firstLine="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widowControl/>
      <w:spacing w:after="240" w:before="0" w:line="240" w:lineRule="auto"/>
      <w:ind w:left="0" w:right="0" w:firstLine="0"/>
      <w:jc w:val="center"/>
    </w:pPr>
    <w:rPr>
      <w:rFonts w:ascii="Times New Roman" w:cs="Times New Roman" w:eastAsia="Times New Roman" w:hAnsi="Times New Roman"/>
      <w:b w:val="0"/>
      <w:i w:val="0"/>
      <w:color w:val="000000"/>
      <w:sz w:val="24"/>
      <w:szCs w:val="30"/>
    </w:rPr>
  </w:style>
  <w:style w:customStyle="1" w:styleId="Author" w:type="paragraph">
    <w:name w:val="Author"/>
    <w:next w:val="BodyText"/>
    <w:qFormat/>
    <w:pPr>
      <w:keepNext/>
      <w:keepLines/>
      <w:widowControl/>
      <w:spacing w:after="0" w:before="0" w:line="240" w:lineRule="auto"/>
      <w:ind w:left="0" w:right="0" w:firstLine="0"/>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widowControl/>
      <w:spacing w:after="480" w:before="0" w:line="240" w:lineRule="auto"/>
      <w:ind w:left="0" w:right="0" w:firstLine="0"/>
      <w:jc w:val="center"/>
    </w:pPr>
    <w:rPr>
      <w:rFonts w:ascii="Times New Roman" w:cs="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ind w:left="0" w:right="0" w:firstLine="0"/>
      <w:jc w:val="center"/>
      <w:widowControl/>
      <w:spacing w:after="120" w:before="240" w:line="240" w:lineRule="auto"/>
    </w:pPr>
    <w:rPr>
      <w:color w:val="000000"/>
      <w:sz w:val="24"/>
      <w:szCs w:val="20"/>
      <w:rFonts w:ascii="Times New Roman" w:cs="Times New Roman" w:eastAsia="Times New Roman" w:hAnsi="Times New Roman"/>
      <w:b/>
      <w:i w:val="0"/>
    </w:rPr>
  </w:style>
  <w:style w:customStyle="1" w:styleId="Abstract" w:type="paragraph">
    <w:name w:val="Abstract"/>
    <w:basedOn w:val="Normal"/>
    <w:next w:val="BodyText"/>
    <w:qFormat/>
    <w:pPr>
      <w:keepNext w:val="0"/>
      <w:keepLines/>
      <w:widowControl/>
      <w:spacing w:after="240" w:before="0" w:line="240" w:lineRule="auto"/>
      <w:ind w:left="720" w:right="720" w:firstLine="0"/>
      <w:jc w:val="both"/>
    </w:pPr>
    <w:rPr>
      <w:rFonts w:ascii="Times New Roman" w:cs="Times New Roman" w:eastAsia="Times New Roman" w:hAnsi="Times New Roman"/>
      <w:b w:val="0"/>
      <w:i w:val="0"/>
      <w:color w:val="000000"/>
      <w:sz w:val="24"/>
      <w:szCs w:val="20"/>
    </w:rPr>
  </w:style>
  <w:style w:styleId="Bibliography" w:type="paragraph">
    <w:name w:val="Bibliography"/>
    <w:basedOn w:val="Normal"/>
    <w:next w:val="Bibliography"/>
    <w:qFormat/>
    <w:pPr>
      <w:keepNext w:val="0"/>
      <w:widowControl/>
      <w:spacing w:after="120" w:before="0" w:line="240" w:lineRule="auto"/>
      <w:ind w:left="720" w:right="0" w:hanging="720"/>
      <w:jc w:val="left"/>
    </w:pPr>
    <w:rPr>
      <w:rFonts w:ascii="Times New Roman" w:cs="Times New Roman" w:eastAsia="Times New Roman" w:hAnsi="Times New Roman"/>
      <w:b w:val="0"/>
      <w:i w:val="0"/>
      <w:color w:val="000000"/>
      <w:sz w:val="24"/>
    </w:rPr>
  </w:style>
  <w:style w:styleId="Heading1" w:type="paragraph">
    <w:name w:val="Heading 1"/>
    <w:basedOn w:val="Normal"/>
    <w:next w:val="BodyText"/>
    <w:uiPriority w:val="9"/>
    <w:qFormat/>
    <w:pPr>
      <w:keepNext/>
      <w:keepLines/>
      <w:widowControl/>
      <w:spacing w:after="0" w:before="240" w:line="480" w:lineRule="auto"/>
      <w:ind w:left="0" w:right="0" w:firstLine="0"/>
      <w:jc w:val="left"/>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widowControl/>
      <w:spacing w:after="0" w:before="240" w:line="480" w:lineRule="auto"/>
      <w:ind w:left="0" w:right="0" w:firstLine="0"/>
      <w:jc w:val="left"/>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widowControl/>
      <w:spacing w:after="0" w:before="240" w:line="480" w:lineRule="auto"/>
      <w:ind w:left="0" w:right="0" w:firstLine="0"/>
      <w:jc w:val="left"/>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widowControl/>
      <w:spacing w:after="0" w:before="240" w:line="480" w:lineRule="auto"/>
      <w:ind w:left="0" w:right="0" w:firstLine="0"/>
      <w:jc w:val="left"/>
      <w:outlineLvl w:val="3"/>
    </w:pPr>
    <w:rPr>
      <w:rFonts w:ascii="Times New Roman" w:cs="Times New Roman" w:eastAsia="Times New Roman" w:hAnsi="Times New Roman"/>
      <w:i/>
      <w:b w:val="0"/>
      <w:bCs/>
      <w:color w:val="000000"/>
      <w:sz w:val="24"/>
      <w:szCs w:val="24"/>
    </w:rPr>
  </w:style>
  <w:style w:styleId="Heading5" w:type="paragraph">
    <w:name w:val="Heading 5"/>
    <w:basedOn w:val="Normal"/>
    <w:next w:val="BodyText"/>
    <w:uiPriority w:val="9"/>
    <w:unhideWhenUsed/>
    <w:qFormat/>
    <w:pPr>
      <w:keepNext/>
      <w:keepLines/>
      <w:widowControl/>
      <w:spacing w:after="0" w:before="240" w:line="480" w:lineRule="auto"/>
      <w:ind w:left="0" w:right="0" w:firstLine="0"/>
      <w:jc w:val="left"/>
      <w:outlineLvl w:val="4"/>
    </w:pPr>
    <w:rPr>
      <w:rFonts w:ascii="Times New Roman" w:cs="Times New Roman" w:eastAsia="Times New Roman" w:hAnsi="Times New Roman"/>
      <w:b w:val="0"/>
      <w:i/>
      <w:iCs/>
      <w:color w:val="000000"/>
      <w:sz w:val="24"/>
      <w:szCs w:val="24"/>
    </w:rPr>
  </w:style>
  <w:style w:styleId="Heading6" w:type="paragraph">
    <w:name w:val="Heading 6"/>
    <w:basedOn w:val="Normal"/>
    <w:next w:val="BodyText"/>
    <w:uiPriority w:val="9"/>
    <w:unhideWhenUsed/>
    <w:qFormat/>
    <w:pPr>
      <w:keepNext/>
      <w:keepLines/>
      <w:widowControl/>
      <w:spacing w:after="0" w:before="240" w:line="480" w:lineRule="auto"/>
      <w:ind w:left="0" w:right="0" w:firstLine="0"/>
      <w:jc w:val="left"/>
      <w:outlineLvl w:val="5"/>
    </w:pPr>
    <w:rPr>
      <w:rFonts w:ascii="Times New Roman" w:cs="Times New Roman" w:eastAsia="Times New Roman" w:hAnsi="Times New Roman"/>
      <w:b w:val="0"/>
      <w:i/>
      <w:color w:val="000000"/>
      <w:sz w:val="24"/>
      <w:szCs w:val="24"/>
    </w:rPr>
  </w:style>
  <w:style w:styleId="Heading7" w:type="paragraph">
    <w:name w:val="Heading 7"/>
    <w:basedOn w:val="Normal"/>
    <w:next w:val="BodyText"/>
    <w:uiPriority w:val="9"/>
    <w:unhideWhenUsed/>
    <w:qFormat/>
    <w:pPr>
      <w:keepNext/>
      <w:keepLines/>
      <w:widowControl/>
      <w:spacing w:after="0" w:before="240" w:line="480" w:lineRule="auto"/>
      <w:ind w:left="0" w:right="0" w:firstLine="0"/>
      <w:jc w:val="left"/>
      <w:outlineLvl w:val="6"/>
    </w:pPr>
    <w:rPr>
      <w:rFonts w:ascii="Times New Roman" w:cs="Times New Roman" w:eastAsia="Times New Roman" w:hAnsi="Times New Roman"/>
      <w:b w:val="0"/>
      <w:i/>
      <w:color w:val="000000"/>
      <w:sz w:val="24"/>
      <w:szCs w:val="24"/>
    </w:rPr>
  </w:style>
  <w:style w:styleId="Heading8" w:type="paragraph">
    <w:name w:val="Heading 8"/>
    <w:basedOn w:val="Normal"/>
    <w:next w:val="BodyText"/>
    <w:uiPriority w:val="9"/>
    <w:unhideWhenUsed/>
    <w:qFormat/>
    <w:pPr>
      <w:keepNext/>
      <w:keepLines/>
      <w:widowControl/>
      <w:spacing w:after="0" w:before="240" w:line="480" w:lineRule="auto"/>
      <w:ind w:left="0" w:right="0" w:firstLine="0"/>
      <w:jc w:val="left"/>
      <w:outlineLvl w:val="7"/>
    </w:pPr>
    <w:rPr>
      <w:rFonts w:ascii="Times New Roman" w:cs="Times New Roman" w:eastAsia="Times New Roman" w:hAnsi="Times New Roman"/>
      <w:b w:val="0"/>
      <w:i/>
      <w:color w:val="000000"/>
      <w:sz w:val="24"/>
      <w:szCs w:val="24"/>
    </w:rPr>
  </w:style>
  <w:style w:styleId="Heading9" w:type="paragraph">
    <w:name w:val="Heading 9"/>
    <w:basedOn w:val="Normal"/>
    <w:next w:val="BodyText"/>
    <w:uiPriority w:val="9"/>
    <w:unhideWhenUsed/>
    <w:qFormat/>
    <w:pPr>
      <w:keepNext/>
      <w:keepLines/>
      <w:widowControl/>
      <w:spacing w:after="0" w:before="240" w:line="480" w:lineRule="auto"/>
      <w:ind w:left="0" w:right="0" w:firstLine="0"/>
      <w:jc w:val="left"/>
      <w:outlineLvl w:val="8"/>
    </w:pPr>
    <w:rPr>
      <w:rFonts w:ascii="Times New Roman" w:cs="Times New Roman" w:eastAsia="Times New Roman" w:hAnsi="Times New Roman"/>
      <w:b w:val="0"/>
      <w:i/>
      <w:color w:val="000000"/>
      <w:sz w:val="24"/>
      <w:szCs w:val="24"/>
    </w:rPr>
  </w:style>
  <w:style w:styleId="BlockText" w:type="paragraph">
    <w:name w:val="Block Text"/>
    <w:basedOn w:val="BodyText"/>
    <w:next w:val="BodyText"/>
    <w:uiPriority w:val="9"/>
    <w:unhideWhenUsed/>
    <w:qFormat/>
    <w:pPr>
      <w:keepNext w:val="0"/>
      <w:widowControl/>
      <w:spacing w:after="240" w:before="120" w:line="240" w:lineRule="auto"/>
      <w:ind w:left="720" w:right="720" w:firstLine="0"/>
      <w:jc w:val="left"/>
    </w:pPr>
    <w:rPr>
      <w:rFonts w:ascii="Times New Roman" w:cs="Times New Roman" w:eastAsia="Times New Roman" w:hAnsi="Times New Roman"/>
      <w:b w:val="0"/>
      <w:i w:val="0"/>
      <w:color w:val="000000"/>
      <w:sz w:val="24"/>
    </w:rPr>
  </w:style>
  <w:style w:styleId="FootnoteText" w:type="paragraph">
    <w:name w:val="Footnote Text"/>
    <w:basedOn w:val="Normal"/>
    <w:next w:val="FootnoteText"/>
    <w:uiPriority w:val="9"/>
    <w:unhideWhenUsed/>
    <w:qFormat/>
    <w:pPr>
      <w:keepNext w:val="0"/>
      <w:widowControl/>
      <w:spacing w:after="40" w:before="0" w:line="240" w:lineRule="auto"/>
      <w:ind w:left="0" w:right="0" w:firstLine="0"/>
      <w:jc w:val="left"/>
    </w:pPr>
    <w:rPr>
      <w:rFonts w:ascii="Times New Roman" w:cs="Times New Roman" w:eastAsia="Times New Roman" w:hAnsi="Times New Roman"/>
      <w:b w:val="0"/>
      <w:i w:val="0"/>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val="single" w:sz="12" w:space="0" w:color="000000"/>
        <w:left w:val="nil"/>
        <w:bottom w:val="single" w:sz="12" w:space="0" w:color="000000"/>
        <w:right w:val="nil"/>
        <w:insideH w:val="nil"/>
        <w:insideV w:val="nil"/>
      </w:tblBorders>
    </w:tblPr>
    <w:tblStylePr w:type="firstRow">
      <w:tcPr>
        <w:tcBorders>
          <w:bottom w:val="single" w:sz="6" w:space="0" w:color="000000"/>
        </w:tcBorders>
      </w:tcPr>
    </w:tblStylePr>
  </w:style>
  <w:style w:customStyle="1" w:styleId="DefinitionTerm" w:type="paragraph">
    <w:name w:val="Definition Term"/>
    <w:basedOn w:val="Normal"/>
    <w:next w:val="Definition"/>
    <w:pPr>
      <w:keepNext/>
      <w:keepLines/>
      <w:widowControl/>
      <w:spacing w:after="0" w:before="0" w:line="240" w:lineRule="auto"/>
      <w:ind w:left="0" w:right="0" w:firstLine="0"/>
      <w:jc w:val="left"/>
    </w:pPr>
    <w:rPr>
      <w:rFonts w:ascii="Times New Roman" w:cs="Times New Roman" w:eastAsia="Times New Roman" w:hAnsi="Times New Roman"/>
      <w:b/>
      <w:i w:val="0"/>
      <w:color w:val="000000"/>
      <w:sz w:val="24"/>
    </w:rPr>
  </w:style>
  <w:style w:customStyle="1" w:styleId="Definition" w:type="paragraph">
    <w:name w:val="Definition"/>
    <w:basedOn w:val="Normal"/>
    <w:pPr>
      <w:keepNext w:val="0"/>
      <w:widowControl/>
      <w:spacing w:after="120" w:before="0" w:line="240" w:lineRule="auto"/>
      <w:ind w:left="720" w:right="0" w:firstLine="0"/>
      <w:jc w:val="left"/>
    </w:pPr>
    <w:rPr>
      <w:rFonts w:ascii="Times New Roman" w:cs="Times New Roman" w:eastAsia="Times New Roman" w:hAnsi="Times New Roman"/>
      <w:b w:val="0"/>
      <w:i w:val="0"/>
      <w:color w:val="000000"/>
      <w:sz w:val="24"/>
    </w:rPr>
  </w:style>
  <w:style w:styleId="Caption" w:type="paragraph">
    <w:name w:val="Caption"/>
    <w:basedOn w:val="Normal"/>
    <w:link w:val="BodyTextChar"/>
    <w:pPr>
      <w:keepNext w:val="0"/>
      <w:widowControl/>
      <w:spacing w:after="240" w:before="120" w:line="240" w:lineRule="auto"/>
      <w:ind w:left="0" w:right="0" w:firstLine="0"/>
      <w:jc w:val="left"/>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widowControl/>
      <w:spacing w:after="120" w:before="240" w:line="240" w:lineRule="auto"/>
      <w:ind w:left="0" w:right="0" w:firstLine="0"/>
      <w:jc w:val="left"/>
    </w:pPr>
    <w:rPr>
      <w:rFonts w:ascii="Times New Roman" w:cs="Times New Roman" w:eastAsia="Times New Roman" w:hAnsi="Times New Roman"/>
      <w:b w:val="0"/>
      <w:i w:val="0"/>
      <w:color w:val="000000"/>
      <w:sz w:val="24"/>
    </w:rPr>
  </w:style>
  <w:style w:customStyle="1" w:styleId="ImageCaption" w:type="paragraph">
    <w:name w:val="Image Caption"/>
    <w:basedOn w:val="Caption"/>
    <w:pPr>
      <w:keepNext w:val="0"/>
      <w:widowControl/>
      <w:spacing w:after="240" w:before="120" w:line="240" w:lineRule="auto"/>
      <w:ind w:left="0" w:right="0" w:firstLine="0"/>
      <w:jc w:val="left"/>
    </w:pPr>
    <w:rPr>
      <w:rFonts w:ascii="Times New Roman" w:cs="Times New Roman" w:eastAsia="Times New Roman" w:hAnsi="Times New Roman"/>
      <w:b w:val="0"/>
      <w:i w:val="0"/>
      <w:color w:val="000000"/>
      <w:sz w:val="24"/>
    </w:rPr>
  </w:style>
  <w:style w:customStyle="1" w:styleId="Figure" w:type="paragraph">
    <w:name w:val="Figure"/>
    <w:basedOn w:val="Normal"/>
    <w:pPr>
      <w:keepNext/>
      <w:widowControl/>
      <w:spacing w:after="0" w:before="240" w:line="240" w:lineRule="auto"/>
      <w:ind w:left="0" w:right="0" w:firstLine="0"/>
      <w:jc w:val="center"/>
    </w:pPr>
    <w:rPr>
      <w:rFonts w:ascii="Times New Roman" w:cs="Times New Roman" w:eastAsia="Times New Roman" w:hAnsi="Times New Roman"/>
      <w:b w:val="0"/>
      <w:i w:val="0"/>
      <w:color w:val="000000"/>
      <w:sz w:val="24"/>
    </w:rPr>
  </w:style>
  <w:style w:customStyle="1" w:styleId="CaptionedFigure" w:type="paragraph">
    <w:name w:val="Captioned Figure"/>
    <w:basedOn w:val="Figure"/>
    <w:pPr>
      <w:keepNext/>
      <w:widowControl/>
      <w:spacing w:after="0" w:before="240" w:line="240" w:lineRule="auto"/>
      <w:ind w:left="0" w:right="0" w:firstLine="0"/>
      <w:jc w:val="center"/>
    </w:pPr>
    <w:rPr>
      <w:rFonts w:ascii="Times New Roman" w:cs="Times New Roman" w:eastAsia="Times New Roman" w:hAnsi="Times New Roman"/>
      <w:b w:val="0"/>
      <w:i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i w:val="0"/>
      <w:color w:val="000000"/>
      <w:sz w:val="20"/>
      <w:u w:val="none"/>
    </w:rPr>
  </w:style>
  <w:style w:customStyle="1" w:styleId="SectionNumber" w:type="character">
    <w:name w:val="Section Number"/>
    <w:basedOn w:val="BodyTextChar"/>
  </w:style>
  <w:style w:styleId="FootnoteReference" w:type="character">
    <w:name w:val="Footnote Reference"/>
    <w:basedOn w:val="BodyTextChar"/>
    <w:rPr>
      <w:rFonts w:ascii="Times New Roman" w:cs="Times New Roman" w:eastAsia="Times New Roman" w:hAnsi="Times New Roman"/>
      <w:b w:val="0"/>
      <w:i w:val="0"/>
      <w:color w:val="000000"/>
      <w:sz w:val="24"/>
      <w:u w:val="none"/>
      <w:vertAlign w:val="superscript"/>
    </w:rPr>
  </w:style>
  <w:style w:styleId="Hyperlink" w:type="character">
    <w:name w:val="Hyperlink"/>
    <w:basedOn w:val="BodyTextChar"/>
    <w:rPr>
      <w:rFonts w:ascii="Times New Roman" w:cs="Times New Roman" w:eastAsia="Times New Roman" w:hAnsi="Times New Roman"/>
      <w:b w:val="0"/>
      <w:i w:val="0"/>
      <w:color w:val="000000"/>
      <w:sz w:val="24"/>
      <w:u w:val="none"/>
    </w:rPr>
  </w:style>
  <w:style w:styleId="TOCHeading" w:type="paragraph">
    <w:name w:val="TOC Heading"/>
    <w:basedOn w:val="Heading1"/>
    <w:next w:val="BodyText"/>
    <w:uiPriority w:val="39"/>
    <w:unhideWhenUsed/>
    <w:qFormat/>
    <w:pPr>
      <w:keepNext w:val="0"/>
      <w:widowControl/>
      <w:spacing w:after="120" w:before="240" w:line="240" w:lineRule="auto"/>
      <w:ind w:left="0" w:right="0" w:firstLine="0"/>
      <w:jc w:val="left"/>
      <w:outlineLvl w:val="9"/>
    </w:pPr>
    <w:rPr>
      <w:rFonts w:ascii="Times New Roman" w:cs="Times New Roman" w:eastAsia="Times New Roman" w:hAnsi="Times New Roman"/>
      <w:b/>
      <w:bCs w:val="0"/>
      <w:i w:val="0"/>
      <w:color w:val="000000"/>
      <w:sz w:val="24"/>
    </w:rPr>
  </w:style>
  <w:style w:customStyle="1" w:styleId="TableNote" w:type="paragraph">
    <w:name w:val="Table Note"/>
    <w:basedOn w:val="Normal"/>
    <w:pPr>
      <w:keepNext w:val="0"/>
      <w:widowControl/>
      <w:spacing w:after="80" w:before="0" w:line="240" w:lineRule="auto"/>
      <w:ind w:left="0" w:right="0" w:firstLine="0"/>
      <w:jc w:val="left"/>
    </w:pPr>
    <w:rPr>
      <w:rFonts w:ascii="Times New Roman" w:cs="Times New Roman" w:eastAsia="Times New Roman" w:hAnsi="Times New Roman"/>
      <w:b w:val="0"/>
      <w:i w:val="0"/>
      <w:color w:val="000000"/>
      <w:sz w:val="20"/>
    </w:rPr>
  </w:style>
  <w:style w:customStyle="1" w:styleId="FigureNote" w:type="paragraph">
    <w:name w:val="Figure Note"/>
    <w:basedOn w:val="Normal"/>
    <w:pPr>
      <w:keepNext w:val="0"/>
      <w:widowControl/>
      <w:spacing w:after="80" w:before="0" w:line="240" w:lineRule="auto"/>
      <w:ind w:left="0" w:right="0" w:firstLine="0"/>
      <w:jc w:val="left"/>
    </w:pPr>
    <w:rPr>
      <w:rFonts w:ascii="Times New Roman" w:cs="Times New Roman" w:eastAsia="Times New Roman" w:hAnsi="Times New Roman"/>
      <w:b w:val="0"/>
      <w:i w:val="0"/>
      <w:color w:val="0000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0" Type="http://schemas.openxmlformats.org/officeDocument/2006/relationships/image" Target="media/rId20.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 Id="rId44" Type="http://schemas.openxmlformats.org/officeDocument/2006/relationships/image" Target="media/rId44.png"/><Relationship Id="rId47" Type="http://schemas.openxmlformats.org/officeDocument/2006/relationships/image" Target="media/rId47.png"/><Relationship Id="rId103" Type="http://schemas.openxmlformats.org/officeDocument/2006/relationships/image" Target="media/rId103.png"/><Relationship Id="rId106" Type="http://schemas.openxmlformats.org/officeDocument/2006/relationships/image" Target="media/rId106.png"/><Relationship Id="rId124" Type="http://schemas.openxmlformats.org/officeDocument/2006/relationships/hyperlink" Target="https://datacatalogfiles.worldbank.org/ddh-published/0066829/DR0095290/Global_Fuel_Prices_Database.xlsx" TargetMode="External"/><Relationship Id="rId97" Type="http://schemas.openxmlformats.org/officeDocument/2006/relationships/hyperlink" Target="https://doi.org/10.1002/jae.2333" TargetMode="External"/><Relationship Id="rId86" Type="http://schemas.openxmlformats.org/officeDocument/2006/relationships/hyperlink" Target="https://doi.org/10.1016/j.eneco.2017.06.017" TargetMode="External"/><Relationship Id="rId88" Type="http://schemas.openxmlformats.org/officeDocument/2006/relationships/hyperlink" Target="https://doi.org/10.1016/j.eneco.2022.105909" TargetMode="External"/><Relationship Id="rId68" Type="http://schemas.openxmlformats.org/officeDocument/2006/relationships/hyperlink" Target="https://doi.org/10.1016/j.foodpol.2012.11.009" TargetMode="External"/><Relationship Id="rId60" Type="http://schemas.openxmlformats.org/officeDocument/2006/relationships/hyperlink" Target="https://doi.org/10.1016/j.jimonfin.2017.12.004" TargetMode="External"/><Relationship Id="rId80" Type="http://schemas.openxmlformats.org/officeDocument/2006/relationships/hyperlink" Target="https://doi.org/10.1016/j.jmoneco.2017.08.002" TargetMode="External"/><Relationship Id="rId55" Type="http://schemas.openxmlformats.org/officeDocument/2006/relationships/hyperlink" Target="https://doi.org/10.1016/j.latcb.2025.100180" TargetMode="External"/><Relationship Id="rId74" Type="http://schemas.openxmlformats.org/officeDocument/2006/relationships/hyperlink" Target="https://doi.org/10.1111/j.1467-8411.2011.01275.x" TargetMode="External"/><Relationship Id="rId70" Type="http://schemas.openxmlformats.org/officeDocument/2006/relationships/hyperlink" Target="https://doi.org/10.1111/j.1475-4991.2005.00170.x" TargetMode="External"/><Relationship Id="rId72" Type="http://schemas.openxmlformats.org/officeDocument/2006/relationships/hyperlink" Target="https://doi.org/10.1146/annurev-economics-091520-082042" TargetMode="External"/><Relationship Id="rId66" Type="http://schemas.openxmlformats.org/officeDocument/2006/relationships/hyperlink" Target="https://doi.org/10.1162/003465398557825" TargetMode="External"/><Relationship Id="rId76" Type="http://schemas.openxmlformats.org/officeDocument/2006/relationships/hyperlink" Target="https://doi.org/10.1257/0002828053828518" TargetMode="External"/><Relationship Id="rId57" Type="http://schemas.openxmlformats.org/officeDocument/2006/relationships/hyperlink" Target="https://doi.org/10.1257/aer.20151569" TargetMode="External"/><Relationship Id="rId78" Type="http://schemas.openxmlformats.org/officeDocument/2006/relationships/hyperlink" Target="https://doi.org/10.1257/aer.20190964" TargetMode="External"/><Relationship Id="rId84" Type="http://schemas.openxmlformats.org/officeDocument/2006/relationships/hyperlink" Target="https://doi.org/10.1257/aer.99.3.1053" TargetMode="External"/><Relationship Id="rId82" Type="http://schemas.openxmlformats.org/officeDocument/2006/relationships/hyperlink" Target="https://doi.org/10.1257/jel.46.4.871" TargetMode="External"/><Relationship Id="rId91" Type="http://schemas.openxmlformats.org/officeDocument/2006/relationships/hyperlink" Target="https://doi.org/10.2307/1913610" TargetMode="External"/><Relationship Id="rId62" Type="http://schemas.openxmlformats.org/officeDocument/2006/relationships/hyperlink" Target="https://doi.org/10.2307/2234068" TargetMode="External"/><Relationship Id="rId64" Type="http://schemas.openxmlformats.org/officeDocument/2006/relationships/hyperlink" Target="https://doi.org/10.62986/dp2009.07" TargetMode="External"/><Relationship Id="rId110" Type="http://schemas.openxmlformats.org/officeDocument/2006/relationships/hyperlink" Target="https://github.com/liancataytayjk-coder/oil-shock-distribution" TargetMode="External"/><Relationship Id="rId95" Type="http://schemas.openxmlformats.org/officeDocument/2006/relationships/hyperlink" Target="https://lawphil.net/statutes/repacts/ra2026/ra_12316_2026.html" TargetMode="External"/><Relationship Id="rId93" Type="http://schemas.openxmlformats.org/officeDocument/2006/relationships/hyperlink" Target="https://openstat.psa.gov.ph" TargetMode="External"/><Relationship Id="rId122" Type="http://schemas.openxmlformats.org/officeDocument/2006/relationships/hyperlink" Target="https://openstat.psa.gov.ph/PXWeb/api/v1/en/DB/1F/FY/0031F3DF020.px" TargetMode="External"/><Relationship Id="rId118" Type="http://schemas.openxmlformats.org/officeDocument/2006/relationships/hyperlink" Target="https://openstat.psa.gov.ph/PXWeb/api/v1/en/DB/2M/PI/BIH/2018/0022M4ABOT1.px" TargetMode="External"/><Relationship Id="rId119" Type="http://schemas.openxmlformats.org/officeDocument/2006/relationships/hyperlink" Target="https://openstat.psa.gov.ph/PXWeb/api/v1/en/DB/2M/PI/BIH/2018/0022M4ABOT3.px" TargetMode="External"/><Relationship Id="rId117" Type="http://schemas.openxmlformats.org/officeDocument/2006/relationships/hyperlink" Target="https://openstat.psa.gov.ph/PXWeb/api/v1/en/DB/2M/PI/BIH/2018/0022M4ABOT4.px" TargetMode="External"/><Relationship Id="rId116" Type="http://schemas.openxmlformats.org/officeDocument/2006/relationships/hyperlink" Target="https://openstat.psa.gov.ph/PXWeb/api/v1/en/DB/2M/PI/BIH/2018/0022M4ABOT5.px" TargetMode="External"/><Relationship Id="rId120" Type="http://schemas.openxmlformats.org/officeDocument/2006/relationships/hyperlink" Target="https://openstat.psa.gov.ph/PXWeb/api/v1/en/DB/2M/PI/BIH/2018NEW/0022M4ABIR1.px" TargetMode="External"/><Relationship Id="rId121" Type="http://schemas.openxmlformats.org/officeDocument/2006/relationships/hyperlink" Target="https://openstat.psa.gov.ph/PXWeb/api/v1/en/DB/2M/PI/BIH/2018NEW/0022M4ABIR3.px" TargetMode="External"/><Relationship Id="rId112" Type="http://schemas.openxmlformats.org/officeDocument/2006/relationships/hyperlink" Target="https://openstat.psa.gov.ph/PXWeb/api/v1/en/DB/2M/PI/CPI/2018/0012M4ACP09.px" TargetMode="External"/><Relationship Id="rId113" Type="http://schemas.openxmlformats.org/officeDocument/2006/relationships/hyperlink" Target="https://openstat.psa.gov.ph/PXWeb/api/v1/en/DB/2M/PI/CPI/2018/0012M4ACP12.px" TargetMode="External"/><Relationship Id="rId111" Type="http://schemas.openxmlformats.org/officeDocument/2006/relationships/hyperlink" Target="https://openstat.psa.gov.ph/PXWeb/api/v1/en/DB/2M/PI/CPI/2018/0012M4ACP15.px" TargetMode="External"/><Relationship Id="rId114" Type="http://schemas.openxmlformats.org/officeDocument/2006/relationships/hyperlink" Target="https://openstat.psa.gov.ph/PXWeb/api/v1/en/DB/2M/PI/CPI/2018NEW/0012M4ACP22.px" TargetMode="External"/><Relationship Id="rId115" Type="http://schemas.openxmlformats.org/officeDocument/2006/relationships/hyperlink" Target="https://openstat.psa.gov.ph/PXWeb/api/v1/en/DB/2M/PI/CPI/2018NEW/0012M4ACP25.px" TargetMode="External"/><Relationship Id="rId126" Type="http://schemas.openxmlformats.org/officeDocument/2006/relationships/hyperlink" Target="https://stats.bis.org/api/v1/data/WS_CBPOL/M.PH?format=csv" TargetMode="External"/><Relationship Id="rId123" Type="http://schemas.openxmlformats.org/officeDocument/2006/relationships/hyperlink" Target="https://thedocs.worldbank.org/en/doc/74e8be41ceb20fa0da750cda2f6b9e4e-0050012026/related/CMO-Historical-Data-Monthly.xlsx" TargetMode="External"/><Relationship Id="rId125" Type="http://schemas.openxmlformats.org/officeDocument/2006/relationships/hyperlink" Target="https://www.bsp.gov.ph/Statistics/External/pesodollar.xlsx" TargetMode="External"/><Relationship Id="rId127" Type="http://schemas.openxmlformats.org/officeDocument/2006/relationships/hyperlink" Target="https://www.fao.org/media/docs/worldfoodsituationlibraries/wfs-library/food_price_indices_data.csv" TargetMode="External"/><Relationship Id="rId128" Type="http://schemas.openxmlformats.org/officeDocument/2006/relationships/hyperlink" Target="https://www.imf.org/en/publications/wp/issues/2021/11/12/the-distributional-implications-of-the-impact-of-fuel-price-increases-on-inflation-506822" TargetMode="External"/></Relationships>
</file>

<file path=word/_rels/footnotes.xml.rels><?xml version='1.0' encoding='UTF-8' standalone='yes'?>
<Relationships xmlns="http://schemas.openxmlformats.org/package/2006/relationships"><Relationship Id="rId124" Type="http://schemas.openxmlformats.org/officeDocument/2006/relationships/hyperlink" Target="https://datacatalogfiles.worldbank.org/ddh-published/0066829/DR0095290/Global_Fuel_Prices_Database.xlsx" TargetMode="External"/><Relationship Id="rId97" Type="http://schemas.openxmlformats.org/officeDocument/2006/relationships/hyperlink" Target="https://doi.org/10.1002/jae.2333" TargetMode="External"/><Relationship Id="rId86" Type="http://schemas.openxmlformats.org/officeDocument/2006/relationships/hyperlink" Target="https://doi.org/10.1016/j.eneco.2017.06.017" TargetMode="External"/><Relationship Id="rId88" Type="http://schemas.openxmlformats.org/officeDocument/2006/relationships/hyperlink" Target="https://doi.org/10.1016/j.eneco.2022.105909" TargetMode="External"/><Relationship Id="rId68" Type="http://schemas.openxmlformats.org/officeDocument/2006/relationships/hyperlink" Target="https://doi.org/10.1016/j.foodpol.2012.11.009" TargetMode="External"/><Relationship Id="rId60" Type="http://schemas.openxmlformats.org/officeDocument/2006/relationships/hyperlink" Target="https://doi.org/10.1016/j.jimonfin.2017.12.004" TargetMode="External"/><Relationship Id="rId80" Type="http://schemas.openxmlformats.org/officeDocument/2006/relationships/hyperlink" Target="https://doi.org/10.1016/j.jmoneco.2017.08.002" TargetMode="External"/><Relationship Id="rId55" Type="http://schemas.openxmlformats.org/officeDocument/2006/relationships/hyperlink" Target="https://doi.org/10.1016/j.latcb.2025.100180" TargetMode="External"/><Relationship Id="rId74" Type="http://schemas.openxmlformats.org/officeDocument/2006/relationships/hyperlink" Target="https://doi.org/10.1111/j.1467-8411.2011.01275.x" TargetMode="External"/><Relationship Id="rId70" Type="http://schemas.openxmlformats.org/officeDocument/2006/relationships/hyperlink" Target="https://doi.org/10.1111/j.1475-4991.2005.00170.x" TargetMode="External"/><Relationship Id="rId72" Type="http://schemas.openxmlformats.org/officeDocument/2006/relationships/hyperlink" Target="https://doi.org/10.1146/annurev-economics-091520-082042" TargetMode="External"/><Relationship Id="rId66" Type="http://schemas.openxmlformats.org/officeDocument/2006/relationships/hyperlink" Target="https://doi.org/10.1162/003465398557825" TargetMode="External"/><Relationship Id="rId76" Type="http://schemas.openxmlformats.org/officeDocument/2006/relationships/hyperlink" Target="https://doi.org/10.1257/0002828053828518" TargetMode="External"/><Relationship Id="rId57" Type="http://schemas.openxmlformats.org/officeDocument/2006/relationships/hyperlink" Target="https://doi.org/10.1257/aer.20151569" TargetMode="External"/><Relationship Id="rId78" Type="http://schemas.openxmlformats.org/officeDocument/2006/relationships/hyperlink" Target="https://doi.org/10.1257/aer.20190964" TargetMode="External"/><Relationship Id="rId84" Type="http://schemas.openxmlformats.org/officeDocument/2006/relationships/hyperlink" Target="https://doi.org/10.1257/aer.99.3.1053" TargetMode="External"/><Relationship Id="rId82" Type="http://schemas.openxmlformats.org/officeDocument/2006/relationships/hyperlink" Target="https://doi.org/10.1257/jel.46.4.871" TargetMode="External"/><Relationship Id="rId91" Type="http://schemas.openxmlformats.org/officeDocument/2006/relationships/hyperlink" Target="https://doi.org/10.2307/1913610" TargetMode="External"/><Relationship Id="rId62" Type="http://schemas.openxmlformats.org/officeDocument/2006/relationships/hyperlink" Target="https://doi.org/10.2307/2234068" TargetMode="External"/><Relationship Id="rId64" Type="http://schemas.openxmlformats.org/officeDocument/2006/relationships/hyperlink" Target="https://doi.org/10.62986/dp2009.07" TargetMode="External"/><Relationship Id="rId110" Type="http://schemas.openxmlformats.org/officeDocument/2006/relationships/hyperlink" Target="https://github.com/liancataytayjk-coder/oil-shock-distribution" TargetMode="External"/><Relationship Id="rId95" Type="http://schemas.openxmlformats.org/officeDocument/2006/relationships/hyperlink" Target="https://lawphil.net/statutes/repacts/ra2026/ra_12316_2026.html" TargetMode="External"/><Relationship Id="rId93" Type="http://schemas.openxmlformats.org/officeDocument/2006/relationships/hyperlink" Target="https://openstat.psa.gov.ph" TargetMode="External"/><Relationship Id="rId122" Type="http://schemas.openxmlformats.org/officeDocument/2006/relationships/hyperlink" Target="https://openstat.psa.gov.ph/PXWeb/api/v1/en/DB/1F/FY/0031F3DF020.px" TargetMode="External"/><Relationship Id="rId118" Type="http://schemas.openxmlformats.org/officeDocument/2006/relationships/hyperlink" Target="https://openstat.psa.gov.ph/PXWeb/api/v1/en/DB/2M/PI/BIH/2018/0022M4ABOT1.px" TargetMode="External"/><Relationship Id="rId119" Type="http://schemas.openxmlformats.org/officeDocument/2006/relationships/hyperlink" Target="https://openstat.psa.gov.ph/PXWeb/api/v1/en/DB/2M/PI/BIH/2018/0022M4ABOT3.px" TargetMode="External"/><Relationship Id="rId117" Type="http://schemas.openxmlformats.org/officeDocument/2006/relationships/hyperlink" Target="https://openstat.psa.gov.ph/PXWeb/api/v1/en/DB/2M/PI/BIH/2018/0022M4ABOT4.px" TargetMode="External"/><Relationship Id="rId116" Type="http://schemas.openxmlformats.org/officeDocument/2006/relationships/hyperlink" Target="https://openstat.psa.gov.ph/PXWeb/api/v1/en/DB/2M/PI/BIH/2018/0022M4ABOT5.px" TargetMode="External"/><Relationship Id="rId120" Type="http://schemas.openxmlformats.org/officeDocument/2006/relationships/hyperlink" Target="https://openstat.psa.gov.ph/PXWeb/api/v1/en/DB/2M/PI/BIH/2018NEW/0022M4ABIR1.px" TargetMode="External"/><Relationship Id="rId121" Type="http://schemas.openxmlformats.org/officeDocument/2006/relationships/hyperlink" Target="https://openstat.psa.gov.ph/PXWeb/api/v1/en/DB/2M/PI/BIH/2018NEW/0022M4ABIR3.px" TargetMode="External"/><Relationship Id="rId112" Type="http://schemas.openxmlformats.org/officeDocument/2006/relationships/hyperlink" Target="https://openstat.psa.gov.ph/PXWeb/api/v1/en/DB/2M/PI/CPI/2018/0012M4ACP09.px" TargetMode="External"/><Relationship Id="rId113" Type="http://schemas.openxmlformats.org/officeDocument/2006/relationships/hyperlink" Target="https://openstat.psa.gov.ph/PXWeb/api/v1/en/DB/2M/PI/CPI/2018/0012M4ACP12.px" TargetMode="External"/><Relationship Id="rId111" Type="http://schemas.openxmlformats.org/officeDocument/2006/relationships/hyperlink" Target="https://openstat.psa.gov.ph/PXWeb/api/v1/en/DB/2M/PI/CPI/2018/0012M4ACP15.px" TargetMode="External"/><Relationship Id="rId114" Type="http://schemas.openxmlformats.org/officeDocument/2006/relationships/hyperlink" Target="https://openstat.psa.gov.ph/PXWeb/api/v1/en/DB/2M/PI/CPI/2018NEW/0012M4ACP22.px" TargetMode="External"/><Relationship Id="rId115" Type="http://schemas.openxmlformats.org/officeDocument/2006/relationships/hyperlink" Target="https://openstat.psa.gov.ph/PXWeb/api/v1/en/DB/2M/PI/CPI/2018NEW/0012M4ACP25.px" TargetMode="External"/><Relationship Id="rId126" Type="http://schemas.openxmlformats.org/officeDocument/2006/relationships/hyperlink" Target="https://stats.bis.org/api/v1/data/WS_CBPOL/M.PH?format=csv" TargetMode="External"/><Relationship Id="rId123" Type="http://schemas.openxmlformats.org/officeDocument/2006/relationships/hyperlink" Target="https://thedocs.worldbank.org/en/doc/74e8be41ceb20fa0da750cda2f6b9e4e-0050012026/related/CMO-Historical-Data-Monthly.xlsx" TargetMode="External"/><Relationship Id="rId125" Type="http://schemas.openxmlformats.org/officeDocument/2006/relationships/hyperlink" Target="https://www.bsp.gov.ph/Statistics/External/pesodollar.xlsx" TargetMode="External"/><Relationship Id="rId127" Type="http://schemas.openxmlformats.org/officeDocument/2006/relationships/hyperlink" Target="https://www.fao.org/media/docs/worldfoodsituationlibraries/wfs-library/food_price_indices_data.csv" TargetMode="External"/><Relationship Id="rId128" Type="http://schemas.openxmlformats.org/officeDocument/2006/relationships/hyperlink" Target="https://www.imf.org/en/publications/wp/issues/2021/11/12/the-distributional-implications-of-the-impact-of-fuel-price-increases-on-inflation-5068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Pays for Oil Shocks? Fuel Price Pass-Through to the Inflation of Poor Households across Philippine Regions</dc:title>
  <dc:creator>Lian Cataytay</dc:creator>
  <cp:keywords/>
  <dcterms:created xsi:type="dcterms:W3CDTF">2026-10-22T07:16:22Z</dcterms:created>
  <dcterms:modified xsi:type="dcterms:W3CDTF">2026-10-22T07:16:22Z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Cross-country evidence finds that fuel price increases are progressive: they raise prices more for richer households. We test this within one country, using the Philippine Statistics Authority’s official consumer price indices for the bottom 30% income households and for all households, nationally and for 17 regions, from 2001 to 2026. Following Kpodar and Liu (2022), we estimate local projections of each index on the CPI sub-index for retail motor fuels. A 1% rise in retail fuel prices raises the price level by 0.044 percentage points within the month and by 0.102 after a year; world crude prices capture only about 40% of this. The effect is not progressive: in the regional panel, the bottom 30%‘s prices rise 0.0214 percentage points more than all households’ after six months. Budget shares alone would predict the opposite sign, so the gap comes from larger price increases within the categories the poor buy. The effect is concentrated in 2001–2012 and weakens with macroeconomic controls. A model estimated on data to 2025 explains about half of the 2026 oil-shock price surge; the fuel-driven extra cost for a poverty-line family of five reached about PHP 467 a month, and rice accounted for most of the poor’s excess inflation. Relief on gasoline and diesel taxes would mainly benefit better-off households; transfers sized with the bottom-30% CPI are better targeted.Keywords: oil price shocks; inflation inequality; fuel prices; local projections; PhilippinesJEL classification: E31, Q41, I32, D31, R12</vt:lpwstr>
  </property>
  <property fmtid="{D5CDD505-2E9C-101B-9397-08002B2CF9AE}" pid="3" name="bibliography">
    <vt:lpwstr>/home/user/oil-shock-distribution/paper/references.bib</vt:lpwstr>
  </property>
  <property fmtid="{D5CDD505-2E9C-101B-9397-08002B2CF9AE}" pid="4" name="date">
    <vt:lpwstr>November 2026</vt:lpwstr>
  </property>
  <property fmtid="{D5CDD505-2E9C-101B-9397-08002B2CF9AE}" pid="5" name="link-citations">
    <vt:lpwstr>True</vt:lpwstr>
  </property>
</Properties>
</file>