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 Pays for Oil Shocks? Fuel Price Pass-Through to the Inflation of Poor Households across Philippine Regions</w:t>
      </w:r>
    </w:p>
    <w:p>
      <w:pPr>
        <w:pStyle w:val="Subtitle"/>
      </w:pPr>
      <w:r>
        <w:t xml:space="preserve">Working Paper</w:t>
      </w:r>
    </w:p>
    <w:p>
      <w:pPr>
        <w:pStyle w:val="Author"/>
      </w:pPr>
      <w:r>
        <w:t xml:space="preserve">Lian Cataytay</w:t>
      </w:r>
      <w:r>
        <w:rPr>
          <w:rStyle w:val="FootnoteReference"/>
        </w:rPr>
        <w:footnoteReference w:id="18"/>
      </w:r>
    </w:p>
    <w:p>
      <w:pPr>
        <w:pStyle w:val="Date"/>
      </w:pPr>
      <w:r>
        <w:t xml:space="preserve">November 2026</w:t>
      </w:r>
    </w:p>
    <w:p>
      <w:pPr>
        <w:pStyle w:val="AbstractTitle"/>
      </w:pPr>
      <w:r>
        <w:t xml:space="preserve">Abstract</w:t>
      </w:r>
    </w:p>
    <w:p>
      <w:pPr>
        <w:pStyle w:val="Abstract"/>
      </w:pPr>
      <w:r>
        <w:t xml:space="preserve">This paper asks whether poor Filipino households face larger price increases than other households when fuel prices rise, and whether the answer depends on where they live. It uses the Philippine Statistics Authority’s monthly consumer price index (CPI) for all income households and for the bottom 30% income households, nationally and for 17 regions, together with the CPI sub-index for retail motor fuels, from 2001 to August 2026. The paper has three objectives. Objective 1 describes the trends: bottom-30% prices rose 13.3 log points more than all-income prices between 2001 and 2025, and the poor’s inflation was higher in 6 of 9 fuel-shock episodes. Objective 2 estimates the local projection model of Kpodar and Liu (2022). A 1% rise in retail fuel prices raises the price level by 0.044 percentage points within the month and 0.102 after a year (RQ1). Contrary to the cross-country finding that fuel shocks are progressive, the poor’s prices rise 0.0214 percentage points more after six months in the regional panel (RQ2), because the prices they pay within food, utilities and other categories rise more; the effect is concentrated in 2001–2012. Objective 3 applies the model to the 2026 oil shock (RQ3): estimated on data to 2025, it explains about half of the 2026 price rise; the fuel-driven extra cost for a poverty-line family of five reached about PHP 467 a month; and rice accounted for most of the poor’s excess inflation. Relief on gasoline and diesel taxes would mainly help better-off households, relief on LPG is neutral, and transfers sized with the bottom-30% CPI, with attention to rice and fares, are better targeted.</w:t>
      </w:r>
    </w:p>
    <w:p>
      <w:pPr>
        <w:pStyle w:val="Abstract"/>
      </w:pPr>
      <w:r>
        <w:rPr>
          <w:b/>
          <w:bCs/>
        </w:rPr>
        <w:t xml:space="preserve">Keywords:</w:t>
      </w:r>
      <w:r>
        <w:t xml:space="preserve"> </w:t>
      </w:r>
      <w:r>
        <w:t xml:space="preserve">oil price shock; inflation inequality; fuel price pass-through; local projections; bottom 30% CPI; Philippines</w:t>
      </w:r>
    </w:p>
    <w:p>
      <w:pPr>
        <w:pStyle w:val="Abstract"/>
      </w:pPr>
      <w:r>
        <w:rPr>
          <w:b/>
          <w:bCs/>
        </w:rPr>
        <w:t xml:space="preserve">JEL classification:</w:t>
      </w:r>
      <w:r>
        <w:t xml:space="preserve"> </w:t>
      </w:r>
      <w:r>
        <w:t xml:space="preserve">E31, Q41, I32, D31, R12</w:t>
      </w:r>
    </w:p>
    <w:bookmarkStart w:id="25" w:name="chapter-1.-introduction"/>
    <w:p>
      <w:pPr>
        <w:pStyle w:val="Heading1"/>
      </w:pPr>
      <w:r>
        <w:t xml:space="preserve">Chapter 1. Introduction</w:t>
      </w:r>
    </w:p>
    <w:bookmarkStart w:id="19" w:name="background-of-the-study"/>
    <w:p>
      <w:pPr>
        <w:pStyle w:val="Heading2"/>
      </w:pPr>
      <w:r>
        <w:t xml:space="preserve">1.1 Background of the study</w:t>
      </w:r>
    </w:p>
    <w:p>
      <w:pPr>
        <w:pStyle w:val="FirstParagraph"/>
      </w:pPr>
      <w:r>
        <w:t xml:space="preserve">The Philippines imports almost all of the oil it uses. When world oil prices rise, Filipino households feel it quickly: at the pump, in the price of liquefied petroleum gas (LPG) for cooking, in jeepney and bus fares, and in the price of food, which must be grown, pumped, milled and trucked. The country has lived through several oil price surges since 2000: the run-up of 2004–2006, the spike of 2008 that coincided with the global rice crisis, the surge of 2021–2022 after the pandemic, and, in 2026, the oil shock caused by the conflict in the Middle East.</w:t>
      </w:r>
    </w:p>
    <w:p>
      <w:pPr>
        <w:pStyle w:val="BodyText"/>
      </w:pPr>
      <w:r>
        <w:t xml:space="preserve">The 2026 shock was among the sharpest. The consumer price index (CPI) sub-index for retail motor fuels was 36% higher in March 2026 than a year earlier and 76% higher in April. Headline inflation, the yearly change in the CPI, rose from 2.4% in February to 4.1% in March and 7.2% in April, above the 2–4% target of the Bangko Sentral ng Pilipinas (BSP), and was still 6.1% in August. Inflation measured by the Philippine Statistics Authority’s (PSA) CPI for the bottom 30% income households was higher still: 8.5% in April and 8.2% in August.</w:t>
      </w:r>
    </w:p>
    <w:p>
      <w:pPr>
        <w:pStyle w:val="BodyText"/>
      </w:pPr>
      <w:r>
        <w:t xml:space="preserve">The government responded in several ways. Republic Act (RA) 12316, approved on 25 March 2026, gives the President standby authority to suspend or reduce excise taxes on petroleum products for up to three months at a time whenever Dubai crude averages USD 80 per barrel or more</w:t>
      </w:r>
      <w:r>
        <w:t xml:space="preserve"> </w:t>
      </w:r>
      <w:r>
        <w:t xml:space="preserve">(</w:t>
      </w:r>
      <w:hyperlink w:anchor="ref-ra12316_2026">
        <w:r>
          <w:rPr>
            <w:rStyle w:val="Hyperlink"/>
          </w:rPr>
          <w:t xml:space="preserve">Republic of the Philippines 2026</w:t>
        </w:r>
      </w:hyperlink>
      <w:r>
        <w:t xml:space="preserve">)</w:t>
      </w:r>
      <w:r>
        <w:t xml:space="preserve">. The law itself covers all petroleum products. The executive orders that used it in 2026 suspended the excise taxes on LPG and kerosene only, from April to July and again from late September, and left gasoline and diesel out, on the grounds that relief on these fuels would not be progressive. Fuel subsidies were given to drivers of public utility vehicles, the jeepney minimum fare rose by one peso at the end of September, and the BSP raised its policy rate three times between March and August, from 4.25% to 5.00%.</w:t>
      </w:r>
    </w:p>
    <w:bookmarkEnd w:id="19"/>
    <w:bookmarkStart w:id="20" w:name="rationale"/>
    <w:p>
      <w:pPr>
        <w:pStyle w:val="Heading2"/>
      </w:pPr>
      <w:r>
        <w:t xml:space="preserve">1.2 Rationale</w:t>
      </w:r>
    </w:p>
    <w:p>
      <w:pPr>
        <w:pStyle w:val="FirstParagraph"/>
      </w:pPr>
      <w:r>
        <w:t xml:space="preserve">Each of these responses rests on an assumption about who bears the cost of a fuel price shock. The best cross-country evidence answers that question in a way that would favour broad measures.</w:t>
      </w:r>
      <w:r>
        <w:t xml:space="preserve"> </w:t>
      </w:r>
      <w:r>
        <w:t xml:space="preserve">Kpodar and Liu (</w:t>
      </w:r>
      <w:hyperlink w:anchor="ref-kpodar_liu_2022">
        <w:r>
          <w:rPr>
            <w:rStyle w:val="Hyperlink"/>
          </w:rPr>
          <w:t xml:space="preserve">2022</w:t>
        </w:r>
      </w:hyperlink>
      <w:r>
        <w:t xml:space="preserve">)</w:t>
      </w:r>
      <w:r>
        <w:t xml:space="preserve">, using retail fuel prices for 122 countries and price indices for income groups rebuilt from household surveys, find that fuel price increases are</w:t>
      </w:r>
      <w:r>
        <w:t xml:space="preserve"> </w:t>
      </w:r>
      <w:r>
        <w:rPr>
          <w:i/>
          <w:iCs/>
        </w:rPr>
        <w:t xml:space="preserve">progressive</w:t>
      </w:r>
      <w:r>
        <w:t xml:space="preserve">: prices rise more for the richest households, because they spend more on cars and fuel.</w:t>
      </w:r>
    </w:p>
    <w:p>
      <w:pPr>
        <w:pStyle w:val="BodyText"/>
      </w:pPr>
      <w:r>
        <w:t xml:space="preserve">There are three reasons to doubt that this holds in the Philippines. First, poor Filipino households spend more than half of their budget on food (54.9% in the 2018 basket, against 37.7% for all households) and travel by public transport, so the indirect effects of fuel on food and fares may matter more to them than the direct effect on motor fuel. Second, the cross-country method gives every income group the same price for each spending category and lets only the budget shares differ. If the poor buy different items within a category, and those items’ prices respond differently, that method cannot see it. The Philippines is one of the few countries whose statistical agency publishes an official CPI for poor households, monthly and by region, so the question can be tested directly. Third, the Philippines is an archipelago with large regional differences in poverty, diets and transport costs; a national or cross-country estimate cannot show whether households in some regions bear more of the shock.</w:t>
      </w:r>
    </w:p>
    <w:p>
      <w:pPr>
        <w:pStyle w:val="BodyText"/>
      </w:pPr>
      <w:r>
        <w:t xml:space="preserve">The 2026 shock gives the question practical urgency. Relief was designed in weeks. Whether it reached the people who needed it depends on facts this study can establish.</w:t>
      </w:r>
    </w:p>
    <w:bookmarkEnd w:id="20"/>
    <w:bookmarkStart w:id="21" w:name="objectives-of-the-study"/>
    <w:p>
      <w:pPr>
        <w:pStyle w:val="Heading2"/>
      </w:pPr>
      <w:r>
        <w:t xml:space="preserve">1.3 Objectives of the study</w:t>
      </w:r>
    </w:p>
    <w:p>
      <w:pPr>
        <w:pStyle w:val="FirstParagraph"/>
      </w:pPr>
      <w:r>
        <w:t xml:space="preserve">The general objective is to determine how fuel price shocks affect the prices faced by poor households compared with all households in the Philippines, nationally and across regions, from 2001 to 2026, and what this implies for policy.</w:t>
      </w:r>
    </w:p>
    <w:p>
      <w:pPr>
        <w:pStyle w:val="BodyText"/>
      </w:pPr>
      <w:r>
        <w:rPr>
          <w:b/>
          <w:bCs/>
        </w:rPr>
        <w:t xml:space="preserve">Objective 1 (descriptive statistics and trend analysis)</w:t>
      </w:r>
      <w:r>
        <w:t xml:space="preserve"> </w:t>
      </w:r>
      <w:r>
        <w:t xml:space="preserve">is to describe the levels, trends and volatility of retail fuel prices, all-income inflation and bottom-30% inflation in the Philippines and its regions from 2001 to 2026, and how the gap between the two groups behaved during episodes of high fuel prices.</w:t>
      </w:r>
    </w:p>
    <w:p>
      <w:pPr>
        <w:pStyle w:val="BodyText"/>
      </w:pPr>
      <w:r>
        <w:rPr>
          <w:b/>
          <w:bCs/>
        </w:rPr>
        <w:t xml:space="preserve">Objective 2 (estimation)</w:t>
      </w:r>
      <w:r>
        <w:t xml:space="preserve"> </w:t>
      </w:r>
      <w:r>
        <w:t xml:space="preserve">is to estimate how fuel price shocks pass through to consumer prices, using the local projection model of</w:t>
      </w:r>
      <w:r>
        <w:t xml:space="preserve"> </w:t>
      </w:r>
      <w:r>
        <w:t xml:space="preserve">Kpodar and Liu (</w:t>
      </w:r>
      <w:hyperlink w:anchor="ref-kpodar_liu_2022">
        <w:r>
          <w:rPr>
            <w:rStyle w:val="Hyperlink"/>
          </w:rPr>
          <w:t xml:space="preserve">2022</w:t>
        </w:r>
      </w:hyperlink>
      <w:r>
        <w:t xml:space="preserve">)</w:t>
      </w:r>
      <w:r>
        <w:t xml:space="preserve">. It answers two research questions.</w:t>
      </w:r>
      <w:r>
        <w:t xml:space="preserve"> </w:t>
      </w:r>
      <w:r>
        <w:rPr>
          <w:b/>
          <w:bCs/>
        </w:rPr>
        <w:t xml:space="preserve">RQ1</w:t>
      </w:r>
      <w:r>
        <w:t xml:space="preserve"> </w:t>
      </w:r>
      <w:r>
        <w:t xml:space="preserve">asks how much, and how fast, a rise in retail fuel prices raises the price level of all households and of the bottom 30%.</w:t>
      </w:r>
      <w:r>
        <w:t xml:space="preserve"> </w:t>
      </w:r>
      <w:r>
        <w:rPr>
          <w:b/>
          <w:bCs/>
        </w:rPr>
        <w:t xml:space="preserve">RQ2</w:t>
      </w:r>
      <w:r>
        <w:t xml:space="preserve"> </w:t>
      </w:r>
      <w:r>
        <w:t xml:space="preserve">asks whether the bottom 30% face larger price increases than all households, nationally and across the 17 regions, and why.</w:t>
      </w:r>
    </w:p>
    <w:p>
      <w:pPr>
        <w:pStyle w:val="BodyText"/>
      </w:pPr>
      <w:r>
        <w:rPr>
          <w:b/>
          <w:bCs/>
        </w:rPr>
        <w:t xml:space="preserve">Objective 3 (policy implications)</w:t>
      </w:r>
      <w:r>
        <w:t xml:space="preserve"> </w:t>
      </w:r>
      <w:r>
        <w:t xml:space="preserve">is to apply the estimates to the 2026 oil shock.</w:t>
      </w:r>
      <w:r>
        <w:t xml:space="preserve"> </w:t>
      </w:r>
      <w:r>
        <w:rPr>
          <w:b/>
          <w:bCs/>
        </w:rPr>
        <w:t xml:space="preserve">RQ3</w:t>
      </w:r>
      <w:r>
        <w:t xml:space="preserve"> </w:t>
      </w:r>
      <w:r>
        <w:t xml:space="preserve">asks what the 2026 shock cost poor families, nationally and by region, which goods drove the poor’s extra inflation, and how well the 2026 policy instruments (excise relief, fuel subsidies, fares, monetary policy and transfers) were targeted to the poor.</w:t>
      </w:r>
    </w:p>
    <w:p>
      <w:pPr>
        <w:pStyle w:val="BodyText"/>
      </w:pPr>
      <w:r>
        <w:rPr>
          <w:b/>
          <w:bCs/>
        </w:rPr>
        <w:t xml:space="preserve">Hypotheses.</w:t>
      </w:r>
      <w:r>
        <w:t xml:space="preserve"> </w:t>
      </w:r>
      <w:r>
        <w:t xml:space="preserve">For RQ1, hypothesis H1 is that fuel prices pass through positively and persistently to the price level. For RQ2 there are two competing hypotheses. H2a, the cross-country finding, is that the effect is progressive: all-income prices rise more. H2b, the alternative, is that the effect is regressive: bottom-30% prices rise more, because of food, household fuels and fares. RQ3 applies the estimates and is not a hypothesis test.</w:t>
      </w:r>
    </w:p>
    <w:bookmarkEnd w:id="21"/>
    <w:bookmarkStart w:id="22" w:name="significance-of-the-study"/>
    <w:p>
      <w:pPr>
        <w:pStyle w:val="Heading2"/>
      </w:pPr>
      <w:r>
        <w:t xml:space="preserve">1.4 Significance of the study</w:t>
      </w:r>
    </w:p>
    <w:p>
      <w:pPr>
        <w:pStyle w:val="FirstParagraph"/>
      </w:pPr>
      <w:r>
        <w:t xml:space="preserve">The study matters to several groups. For the Department of Finance and the Bureau of Internal Revenue, RA 12316 creates a recurring decision on fuel excise relief until 2028; the study shows which fuels’ relief reaches the poor and how much it is worth to them. For the Department of Social Welfare and Development, it turns a fuel shock into a monthly peso amount for a family at the poverty line, by region, which can be used to size and time emergency transfers. For the Department of Transportation, the Land Transportation Franchising and Regulatory Board (LTFRB) and the Department of Agriculture, it shows that fares and rice, rather than motor fuel, are the main channels through which the poor feel oil shocks. For the BSP, it measures how large and how lasting the effect of retail fuel prices on inflation is, and how it differs between income groups. For the PSA, it shows the value of the bottom-30% CPI and its regional detail. For researchers, it offers a within-country test of a cross-country finding and a fully reproducible data and code package in Python and Stata.</w:t>
      </w:r>
    </w:p>
    <w:bookmarkEnd w:id="22"/>
    <w:bookmarkStart w:id="23" w:name="scope-and-limitations"/>
    <w:p>
      <w:pPr>
        <w:pStyle w:val="Heading2"/>
      </w:pPr>
      <w:r>
        <w:t xml:space="preserve">1.5 Scope and limitations</w:t>
      </w:r>
    </w:p>
    <w:p>
      <w:pPr>
        <w:pStyle w:val="FirstParagraph"/>
      </w:pPr>
      <w:r>
        <w:t xml:space="preserve">The study covers the Philippines and its 17 regions, as defined in PSA’s long-run price series, monthly from January 2001 to August 2026. It uses published price indices, not household survey records.</w:t>
      </w:r>
    </w:p>
    <w:p>
      <w:pPr>
        <w:pStyle w:val="BodyText"/>
      </w:pPr>
      <w:r>
        <w:t xml:space="preserve">The study has six main limitations. First, the fuel price is measured by the CPI sub-index for fuels and lubricants for personal transport, because the retail price database of the reference study is not public; the sub-index tracks pump prices closely but is not itself a pump price. Second, the comparison is between the bottom 30% and all households, not between the poorest and the richest; because the all-income index includes the poor, the true gap between rich and poor is larger than the one measured here. Third, retail fuel prices may partly respond to conditions inside the Philippines; the study checks the results with world crude oil prices but does not isolate a pure world oil supply shock. Fourth, the bottom-30% series before 2018 are PSA back-calculations on the 2018 basket. Fifth, the 2026 analysis covers eight months, and the effect of rice prices cannot be separated from trade policy. Sixth, price indices measure the cost of a fixed basket and ignore the fact that households can switch to cheaper goods, and that some households also earn more when prices rise.</w:t>
      </w:r>
    </w:p>
    <w:bookmarkEnd w:id="23"/>
    <w:bookmarkStart w:id="24" w:name="definition-of-terms"/>
    <w:p>
      <w:pPr>
        <w:pStyle w:val="Heading2"/>
      </w:pPr>
      <w:r>
        <w:t xml:space="preserve">1.6 Definition of terms</w:t>
      </w:r>
    </w:p>
    <w:p>
      <w:pPr>
        <w:pStyle w:val="FirstParagraph"/>
      </w:pPr>
      <w:r>
        <w:t xml:space="preserve">Throughout,</w:t>
      </w:r>
      <w:r>
        <w:t xml:space="preserve"> </w:t>
      </w:r>
      <w:r>
        <w:rPr>
          <w:i/>
          <w:iCs/>
        </w:rPr>
        <w:t xml:space="preserve">t</w:t>
      </w:r>
      <w:r>
        <w:t xml:space="preserve"> </w:t>
      </w:r>
      <w:r>
        <w:t xml:space="preserve">is the month,</w:t>
      </w:r>
      <w:r>
        <w:t xml:space="preserve"> </w:t>
      </w:r>
      <w:r>
        <w:rPr>
          <w:i/>
          <w:iCs/>
        </w:rPr>
        <w:t xml:space="preserve">r</w:t>
      </w:r>
      <w:r>
        <w:t xml:space="preserve"> </w:t>
      </w:r>
      <w:r>
        <w:t xml:space="preserve">the region,</w:t>
      </w:r>
      <w:r>
        <w:t xml:space="preserve"> </w:t>
      </w:r>
      <w:r>
        <w:rPr>
          <w:i/>
          <w:iCs/>
        </w:rPr>
        <w:t xml:space="preserve">k</w:t>
      </w:r>
      <w:r>
        <w:t xml:space="preserve"> </w:t>
      </w:r>
      <w:r>
        <w:t xml:space="preserve">a spending category, and</w:t>
      </w:r>
      <w:r>
        <w:t xml:space="preserve"> </w:t>
      </w:r>
      <w:r>
        <w:rPr>
          <w:i/>
          <w:iCs/>
        </w:rPr>
        <w:t xml:space="preserve">g</w:t>
      </w:r>
      <w:r>
        <w:t xml:space="preserve"> </w:t>
      </w:r>
      <w:r>
        <w:t xml:space="preserve">the household group:</w:t>
      </w:r>
      <w:r>
        <w:t xml:space="preserve"> </w:t>
      </w:r>
      <w:r>
        <w:rPr>
          <w:i/>
          <w:iCs/>
        </w:rPr>
        <w:t xml:space="preserve">A</w:t>
      </w:r>
      <w:r>
        <w:t xml:space="preserve"> </w:t>
      </w:r>
      <w:r>
        <w:t xml:space="preserve">for all income households and</w:t>
      </w:r>
      <w:r>
        <w:t xml:space="preserve"> </w:t>
      </w:r>
      <w:r>
        <w:rPr>
          <w:i/>
          <w:iCs/>
        </w:rPr>
        <w:t xml:space="preserve">B</w:t>
      </w:r>
      <w:r>
        <w:t xml:space="preserve"> </w:t>
      </w:r>
      <w:r>
        <w:t xml:space="preserve">for the bottom 30%.</w:t>
      </w:r>
    </w:p>
    <w:p>
      <w:pPr>
        <w:pStyle w:val="BodyText"/>
      </w:pPr>
      <w:r>
        <w:rPr>
          <w:b/>
          <w:bCs/>
        </w:rPr>
        <w:t xml:space="preserve">Consumer price index (CPI).</w:t>
      </w:r>
      <w:r>
        <w:t xml:space="preserve"> </w:t>
      </w:r>
      <w:r>
        <w:t xml:space="preserve">The cost of a fixed basket of goods and services compared with the base year 2018 (= 100). PSA computes it as a weighted average of item prices, with weights equal to each group’s 2018 budget shares</w:t>
      </w:r>
      <w:r>
        <w:t xml:space="preserve"> </w:t>
      </w:r>
      <m:oMath>
        <m:sSubSup>
          <m:e>
            <m:r>
              <m:t>w</m:t>
            </m:r>
          </m:e>
          <m:sub>
            <m:r>
              <m:t>k</m:t>
            </m:r>
          </m:sub>
          <m:sup>
            <m:r>
              <m:t>g</m:t>
            </m:r>
          </m:sup>
        </m:sSubSup>
      </m:oMath>
      <w:r>
        <w:t xml:space="preserve"> </w:t>
      </w:r>
      <w:r>
        <w:t xml:space="preserve">(which add up to one):</w:t>
      </w:r>
    </w:p>
    <w:p>
      <w:pPr>
        <w:pStyle w:val="BodyText"/>
      </w:pPr>
      <m:oMathPara>
        <m:oMathParaPr>
          <m:jc m:val="center"/>
        </m:oMathParaPr>
        <m:oMath>
          <m:sSubSup>
            <m:e>
              <m:r>
                <m:t>P</m:t>
              </m:r>
            </m:e>
            <m:sub>
              <m:r>
                <m:t>t</m:t>
              </m:r>
            </m:sub>
            <m:sup>
              <m:r>
                <m:t>g</m:t>
              </m:r>
            </m:sup>
          </m:sSubSup>
          <m:r>
            <m:rPr>
              <m:sty m:val="p"/>
            </m:rPr>
            <m:t>=</m:t>
          </m:r>
          <m:r>
            <m:t>100</m:t>
          </m:r>
          <m:r>
            <m:rPr>
              <m:sty m:val="p"/>
            </m:rPr>
            <m:t>×</m:t>
          </m:r>
          <m:nary>
            <m:naryPr>
              <m:chr m:val="∑"/>
              <m:limLoc m:val="undOvr"/>
              <m:subHide m:val="off"/>
              <m:supHide m:val="on"/>
            </m:naryPr>
            <m:sub>
              <m:r>
                <m:t>k</m:t>
              </m:r>
            </m:sub>
            <m:sup>
              <m:r>
                <m:t>​</m:t>
              </m:r>
            </m:sup>
            <m:e>
              <m:sSubSup>
                <m:e>
                  <m:r>
                    <m:t>w</m:t>
                  </m:r>
                </m:e>
                <m:sub>
                  <m:r>
                    <m:t>k</m:t>
                  </m:r>
                </m:sub>
                <m:sup>
                  <m:r>
                    <m:t>g</m:t>
                  </m:r>
                </m:sup>
              </m:sSubSup>
            </m:e>
          </m:nary>
          <m:r>
            <m:t> </m:t>
          </m:r>
          <m:f>
            <m:fPr>
              <m:type m:val="bar"/>
            </m:fPr>
            <m:num>
              <m:sSub>
                <m:e>
                  <m:r>
                    <m:t>p</m:t>
                  </m:r>
                </m:e>
                <m:sub>
                  <m:r>
                    <m:t>k</m:t>
                  </m:r>
                  <m:r>
                    <m:rPr>
                      <m:sty m:val="p"/>
                    </m:rPr>
                    <m:t>,</m:t>
                  </m:r>
                  <m:r>
                    <m:t>t</m:t>
                  </m:r>
                </m:sub>
              </m:sSub>
            </m:num>
            <m:den>
              <m:sSub>
                <m:e>
                  <m:r>
                    <m:t>p</m:t>
                  </m:r>
                </m:e>
                <m:sub>
                  <m:r>
                    <m:t>k</m:t>
                  </m:r>
                  <m:r>
                    <m:rPr>
                      <m:sty m:val="p"/>
                    </m:rPr>
                    <m:t>,</m:t>
                  </m:r>
                  <m:r>
                    <m:t>2018</m:t>
                  </m:r>
                </m:sub>
              </m:sSub>
            </m:den>
          </m:f>
          <m:r>
            <m:t>  </m:t>
          </m:r>
          <m:r>
            <m:t>  </m:t>
          </m:r>
          <m:r>
            <m:rPr>
              <m:sty m:val="p"/>
            </m:rPr>
            <m:t>(</m:t>
          </m:r>
          <m:r>
            <m:t>1</m:t>
          </m:r>
          <m:r>
            <m:rPr>
              <m:sty m:val="p"/>
            </m:rPr>
            <m:t>)</m:t>
          </m:r>
        </m:oMath>
      </m:oMathPara>
    </w:p>
    <w:p>
      <w:pPr>
        <w:pStyle w:val="FirstParagraph"/>
      </w:pPr>
      <w:r>
        <w:rPr>
          <w:b/>
          <w:bCs/>
        </w:rPr>
        <w:t xml:space="preserve">Bottom-30% CPI.</w:t>
      </w:r>
      <w:r>
        <w:t xml:space="preserve"> </w:t>
      </w:r>
      <w:r>
        <w:t xml:space="preserve">PSA’s official CPI for households in the poorest 30% of the income distribution. It uses the same prices as the all-income CPI but the budget shares of poor households from the Family Income and Expenditure Survey.</w:t>
      </w:r>
    </w:p>
    <w:p>
      <w:pPr>
        <w:pStyle w:val="BodyText"/>
      </w:pPr>
      <w:r>
        <w:rPr>
          <w:b/>
          <w:bCs/>
        </w:rPr>
        <w:t xml:space="preserve">Log change.</w:t>
      </w:r>
      <w:r>
        <w:t xml:space="preserve"> </w:t>
      </w:r>
      <w:r>
        <w:t xml:space="preserve">100 times the change in the natural logarithm of a series,</w:t>
      </w:r>
      <w:r>
        <w:t xml:space="preserve"> </w:t>
      </w:r>
      <m:oMath>
        <m:r>
          <m:t>100</m:t>
        </m:r>
        <m:r>
          <m:t> </m:t>
        </m:r>
        <m:r>
          <m:rPr>
            <m:sty m:val="p"/>
          </m:rPr>
          <m:t>Δ</m:t>
        </m:r>
        <m:r>
          <m:rPr>
            <m:sty m:val="p"/>
          </m:rPr>
          <m:t>ln</m:t>
        </m:r>
        <m:sSub>
          <m:e>
            <m:r>
              <m:t>X</m:t>
            </m:r>
          </m:e>
          <m:sub>
            <m:r>
              <m:t>t</m:t>
            </m:r>
          </m:sub>
        </m:sSub>
        <m:r>
          <m:rPr>
            <m:sty m:val="p"/>
          </m:rPr>
          <m:t>=</m:t>
        </m:r>
        <m:r>
          <m:t>100</m:t>
        </m:r>
        <m:r>
          <m:t> </m:t>
        </m:r>
        <m:r>
          <m:rPr>
            <m:sty m:val="p"/>
          </m:rPr>
          <m:t>(</m:t>
        </m:r>
        <m:r>
          <m:rPr>
            <m:sty m:val="p"/>
          </m:rPr>
          <m:t>ln</m:t>
        </m:r>
        <m:sSub>
          <m:e>
            <m:r>
              <m:t>X</m:t>
            </m:r>
          </m:e>
          <m:sub>
            <m:r>
              <m:t>t</m:t>
            </m:r>
          </m:sub>
        </m:sSub>
        <m:r>
          <m:rPr>
            <m:sty m:val="p"/>
          </m:rPr>
          <m:t>−</m:t>
        </m:r>
        <m:r>
          <m:rPr>
            <m:sty m:val="p"/>
          </m:rPr>
          <m:t>ln</m:t>
        </m:r>
        <m:sSub>
          <m:e>
            <m:r>
              <m:t>X</m:t>
            </m:r>
          </m:e>
          <m:sub>
            <m:r>
              <m:t>t</m:t>
            </m:r>
            <m:r>
              <m:rPr>
                <m:sty m:val="p"/>
              </m:rPr>
              <m:t>−</m:t>
            </m:r>
            <m:r>
              <m:t>1</m:t>
            </m:r>
          </m:sub>
        </m:sSub>
        <m:r>
          <m:rPr>
            <m:sty m:val="p"/>
          </m:rPr>
          <m:t>)</m:t>
        </m:r>
      </m:oMath>
      <w:r>
        <w:t xml:space="preserve">. For small changes it equals the percentage change, and changes over several months add up.</w:t>
      </w:r>
    </w:p>
    <w:p>
      <w:pPr>
        <w:pStyle w:val="BodyText"/>
      </w:pPr>
      <w:r>
        <w:rPr>
          <w:b/>
          <w:bCs/>
        </w:rPr>
        <w:t xml:space="preserve">Fuel price shock.</w:t>
      </w:r>
      <w:r>
        <w:t xml:space="preserve"> </w:t>
      </w:r>
      <w:r>
        <w:t xml:space="preserve">The monthly log change in the retail fuel index</w:t>
      </w:r>
      <w:r>
        <w:t xml:space="preserve"> </w:t>
      </w:r>
      <m:oMath>
        <m:r>
          <m:t>F</m:t>
        </m:r>
      </m:oMath>
      <w:r>
        <w:t xml:space="preserve"> </w:t>
      </w:r>
      <w:r>
        <w:t xml:space="preserve">(PSA CPI 07.2.2):</w:t>
      </w:r>
      <w:r>
        <w:t xml:space="preserve"> </w:t>
      </w:r>
      <m:oMath>
        <m:sSub>
          <m:e>
            <m:r>
              <m:t>f</m:t>
            </m:r>
          </m:e>
          <m:sub>
            <m:r>
              <m:t>t</m:t>
            </m:r>
          </m:sub>
        </m:sSub>
        <m:r>
          <m:rPr>
            <m:sty m:val="p"/>
          </m:rPr>
          <m:t>=</m:t>
        </m:r>
        <m:r>
          <m:t>100</m:t>
        </m:r>
        <m:r>
          <m:t> </m:t>
        </m:r>
        <m:r>
          <m:rPr>
            <m:sty m:val="p"/>
          </m:rPr>
          <m:t>Δ</m:t>
        </m:r>
        <m:r>
          <m:rPr>
            <m:sty m:val="p"/>
          </m:rPr>
          <m:t>ln</m:t>
        </m:r>
        <m:sSub>
          <m:e>
            <m:r>
              <m:t>F</m:t>
            </m:r>
          </m:e>
          <m:sub>
            <m:r>
              <m:t>t</m:t>
            </m:r>
          </m:sub>
        </m:sSub>
      </m:oMath>
      <w:r>
        <w:t xml:space="preserve">. A shock of 5 means pump prices rose about 5% in that month.</w:t>
      </w:r>
    </w:p>
    <w:p>
      <w:pPr>
        <w:pStyle w:val="BodyText"/>
      </w:pPr>
      <w:r>
        <w:rPr>
          <w:b/>
          <w:bCs/>
        </w:rPr>
        <w:t xml:space="preserve">Inflation.</w:t>
      </w:r>
      <w:r>
        <w:t xml:space="preserve"> </w:t>
      </w:r>
      <w:r>
        <w:t xml:space="preserve">Monthly inflation for group</w:t>
      </w:r>
      <w:r>
        <w:t xml:space="preserve"> </w:t>
      </w:r>
      <w:r>
        <w:rPr>
          <w:i/>
          <w:iCs/>
        </w:rPr>
        <w:t xml:space="preserve">g</w:t>
      </w:r>
      <w:r>
        <w:t xml:space="preserve"> </w:t>
      </w:r>
      <w:r>
        <w:t xml:space="preserve">is</w:t>
      </w:r>
      <w:r>
        <w:t xml:space="preserve"> </w:t>
      </w:r>
      <m:oMath>
        <m:sSubSup>
          <m:e>
            <m:r>
              <m:t>π</m:t>
            </m:r>
          </m:e>
          <m:sub>
            <m:r>
              <m:t>t</m:t>
            </m:r>
          </m:sub>
          <m:sup>
            <m:r>
              <m:t>g</m:t>
            </m:r>
          </m:sup>
        </m:sSubSup>
        <m:r>
          <m:rPr>
            <m:sty m:val="p"/>
          </m:rPr>
          <m:t>=</m:t>
        </m:r>
        <m:r>
          <m:t>100</m:t>
        </m:r>
        <m:r>
          <m:t> </m:t>
        </m:r>
        <m:r>
          <m:rPr>
            <m:sty m:val="p"/>
          </m:rPr>
          <m:t>Δ</m:t>
        </m:r>
        <m:r>
          <m:rPr>
            <m:sty m:val="p"/>
          </m:rPr>
          <m:t>ln</m:t>
        </m:r>
        <m:sSubSup>
          <m:e>
            <m:r>
              <m:t>P</m:t>
            </m:r>
          </m:e>
          <m:sub>
            <m:r>
              <m:t>t</m:t>
            </m:r>
          </m:sub>
          <m:sup>
            <m:r>
              <m:t>g</m:t>
            </m:r>
          </m:sup>
        </m:sSubSup>
      </m:oMath>
      <w:r>
        <w:t xml:space="preserve">. Annual inflation, the figure reported in the news, is the change over twelve months.</w:t>
      </w:r>
    </w:p>
    <w:p>
      <w:pPr>
        <w:pStyle w:val="BodyText"/>
      </w:pPr>
      <w:r>
        <w:rPr>
          <w:b/>
          <w:bCs/>
        </w:rPr>
        <w:t xml:space="preserve">Pass-through.</w:t>
      </w:r>
      <w:r>
        <w:t xml:space="preserve"> </w:t>
      </w:r>
      <w:r>
        <w:t xml:space="preserve">The change in a group’s monthly inflation</w:t>
      </w:r>
      <w:r>
        <w:t xml:space="preserve"> </w:t>
      </w:r>
      <w:r>
        <w:rPr>
          <w:i/>
          <w:iCs/>
        </w:rPr>
        <w:t xml:space="preserve">h</w:t>
      </w:r>
      <w:r>
        <w:t xml:space="preserve"> </w:t>
      </w:r>
      <w:r>
        <w:t xml:space="preserve">months after a 1% rise in the fuel price, holding other things constant,</w:t>
      </w:r>
      <w:r>
        <w:t xml:space="preserve"> </w:t>
      </w:r>
      <m:oMath>
        <m:sSub>
          <m:e>
            <m:r>
              <m:t>β</m:t>
            </m:r>
          </m:e>
          <m:sub>
            <m:r>
              <m:t>h</m:t>
            </m:r>
          </m:sub>
        </m:sSub>
      </m:oMath>
      <w:r>
        <w:t xml:space="preserve">.</w:t>
      </w:r>
      <w:r>
        <w:t xml:space="preserve"> </w:t>
      </w:r>
      <w:r>
        <w:rPr>
          <w:b/>
          <w:bCs/>
        </w:rPr>
        <w:t xml:space="preserve">Cumulative pass-through</w:t>
      </w:r>
      <w:r>
        <w:t xml:space="preserve"> </w:t>
      </w:r>
      <w:r>
        <w:t xml:space="preserve">adds these up and gives the effect on the price level after</w:t>
      </w:r>
      <w:r>
        <w:t xml:space="preserve"> </w:t>
      </w:r>
      <w:r>
        <w:rPr>
          <w:i/>
          <w:iCs/>
        </w:rPr>
        <w:t xml:space="preserve">h</w:t>
      </w:r>
      <w:r>
        <w:t xml:space="preserve"> </w:t>
      </w:r>
      <w:r>
        <w:t xml:space="preserve">months:</w:t>
      </w:r>
      <w:r>
        <w:t xml:space="preserve"> </w:t>
      </w:r>
      <m:oMath>
        <m:sSub>
          <m:e>
            <m:r>
              <m:t>B</m:t>
            </m:r>
          </m:e>
          <m:sub>
            <m:r>
              <m:t>h</m:t>
            </m:r>
          </m:sub>
        </m:sSub>
        <m:r>
          <m:rPr>
            <m:sty m:val="p"/>
          </m:rPr>
          <m:t>=</m:t>
        </m:r>
        <m:sSub>
          <m:e>
            <m:r>
              <m:t>β</m:t>
            </m:r>
          </m:e>
          <m:sub>
            <m:r>
              <m:t>0</m:t>
            </m:r>
          </m:sub>
        </m:sSub>
        <m:r>
          <m:rPr>
            <m:sty m:val="p"/>
          </m:rPr>
          <m:t>+</m:t>
        </m:r>
        <m:sSub>
          <m:e>
            <m:r>
              <m:t>β</m:t>
            </m:r>
          </m:e>
          <m:sub>
            <m:r>
              <m:t>1</m:t>
            </m:r>
          </m:sub>
        </m:sSub>
        <m:r>
          <m:rPr>
            <m:sty m:val="p"/>
          </m:rPr>
          <m:t>+</m:t>
        </m:r>
        <m:r>
          <m:rPr>
            <m:sty m:val="p"/>
          </m:rPr>
          <m:t>…</m:t>
        </m:r>
        <m:r>
          <m:rPr>
            <m:sty m:val="p"/>
          </m:rPr>
          <m:t>+</m:t>
        </m:r>
        <m:sSub>
          <m:e>
            <m:r>
              <m:t>β</m:t>
            </m:r>
          </m:e>
          <m:sub>
            <m:r>
              <m:t>h</m:t>
            </m:r>
          </m:sub>
        </m:sSub>
      </m:oMath>
      <w:r>
        <w:t xml:space="preserve">. For example,</w:t>
      </w:r>
      <w:r>
        <w:t xml:space="preserve"> </w:t>
      </w:r>
      <m:oMath>
        <m:sSub>
          <m:e>
            <m:r>
              <m:t>B</m:t>
            </m:r>
          </m:e>
          <m:sub>
            <m:r>
              <m:t>12</m:t>
            </m:r>
          </m:sub>
        </m:sSub>
        <m:r>
          <m:rPr>
            <m:sty m:val="p"/>
          </m:rPr>
          <m:t>=</m:t>
        </m:r>
        <m:r>
          <m:t>0.05</m:t>
        </m:r>
      </m:oMath>
      <w:r>
        <w:t xml:space="preserve"> </w:t>
      </w:r>
      <w:r>
        <w:t xml:space="preserve">means a 10% fuel price rise makes prices 0.5% higher a year later.</w:t>
      </w:r>
    </w:p>
    <w:p>
      <w:pPr>
        <w:pStyle w:val="BodyText"/>
      </w:pPr>
      <w:r>
        <w:rPr>
          <w:b/>
          <w:bCs/>
        </w:rPr>
        <w:t xml:space="preserve">Inflation gap.</w:t>
      </w:r>
      <w:r>
        <w:t xml:space="preserve"> </w:t>
      </w:r>
      <w:r>
        <w:t xml:space="preserve">The difference between the two price levels, in log points; its monthly change is the difference between the two inflation rates:</w:t>
      </w:r>
    </w:p>
    <w:p>
      <w:pPr>
        <w:pStyle w:val="BodyText"/>
      </w:pPr>
      <m:oMathPara>
        <m:oMathParaPr>
          <m:jc m:val="center"/>
        </m:oMathParaPr>
        <m:oMath>
          <m:sSub>
            <m:e>
              <m:r>
                <m:t>D</m:t>
              </m:r>
            </m:e>
            <m:sub>
              <m:r>
                <m:t>t</m:t>
              </m:r>
            </m:sub>
          </m:sSub>
          <m:r>
            <m:rPr>
              <m:sty m:val="p"/>
            </m:rPr>
            <m:t>=</m:t>
          </m:r>
          <m:r>
            <m:t>100</m:t>
          </m:r>
          <m:r>
            <m:rPr>
              <m:sty m:val="p"/>
            </m:rPr>
            <m:t>×</m:t>
          </m:r>
          <m:r>
            <m:rPr>
              <m:sty m:val="p"/>
            </m:rPr>
            <m:t>ln</m:t>
          </m:r>
          <m:r>
            <m:t>​</m:t>
          </m:r>
          <m:d>
            <m:dPr>
              <m:begChr m:val="("/>
              <m:sepChr m:val=""/>
              <m:endChr m:val=")"/>
              <m:grow/>
            </m:dPr>
            <m:e>
              <m:f>
                <m:fPr>
                  <m:type m:val="bar"/>
                </m:fPr>
                <m:num>
                  <m:sSubSup>
                    <m:e>
                      <m:r>
                        <m:t>P</m:t>
                      </m:r>
                    </m:e>
                    <m:sub>
                      <m:r>
                        <m:t>t</m:t>
                      </m:r>
                    </m:sub>
                    <m:sup>
                      <m:r>
                        <m:t>A</m:t>
                      </m:r>
                    </m:sup>
                  </m:sSubSup>
                </m:num>
                <m:den>
                  <m:sSubSup>
                    <m:e>
                      <m:r>
                        <m:t>P</m:t>
                      </m:r>
                    </m:e>
                    <m:sub>
                      <m:r>
                        <m:t>t</m:t>
                      </m:r>
                    </m:sub>
                    <m:sup>
                      <m:r>
                        <m:t>B</m:t>
                      </m:r>
                    </m:sup>
                  </m:sSubSup>
                </m:den>
              </m:f>
            </m:e>
          </m:d>
          <m:r>
            <m:rPr>
              <m:sty m:val="p"/>
            </m:rPr>
            <m:t>,</m:t>
          </m:r>
          <m:r>
            <m:t>  </m:t>
          </m:r>
          <m:r>
            <m:rPr>
              <m:sty m:val="p"/>
            </m:rPr>
            <m:t>Δ</m:t>
          </m:r>
          <m:sSub>
            <m:e>
              <m:r>
                <m:t>D</m:t>
              </m:r>
            </m:e>
            <m:sub>
              <m:r>
                <m:t>t</m:t>
              </m:r>
            </m:sub>
          </m:sSub>
          <m:r>
            <m:rPr>
              <m:sty m:val="p"/>
            </m:rPr>
            <m:t>=</m:t>
          </m:r>
          <m:sSubSup>
            <m:e>
              <m:r>
                <m:t>π</m:t>
              </m:r>
            </m:e>
            <m:sub>
              <m:r>
                <m:t>t</m:t>
              </m:r>
            </m:sub>
            <m:sup>
              <m:r>
                <m:t>A</m:t>
              </m:r>
            </m:sup>
          </m:sSubSup>
          <m:r>
            <m:rPr>
              <m:sty m:val="p"/>
            </m:rPr>
            <m:t>−</m:t>
          </m:r>
          <m:sSubSup>
            <m:e>
              <m:r>
                <m:t>π</m:t>
              </m:r>
            </m:e>
            <m:sub>
              <m:r>
                <m:t>t</m:t>
              </m:r>
            </m:sub>
            <m:sup>
              <m:r>
                <m:t>B</m:t>
              </m:r>
            </m:sup>
          </m:sSubSup>
          <m:r>
            <m:t>  </m:t>
          </m:r>
          <m:r>
            <m:t>  </m:t>
          </m:r>
          <m:r>
            <m:rPr>
              <m:sty m:val="p"/>
            </m:rPr>
            <m:t>(</m:t>
          </m:r>
          <m:r>
            <m:t>2</m:t>
          </m:r>
          <m:r>
            <m:rPr>
              <m:sty m:val="p"/>
            </m:rPr>
            <m:t>)</m:t>
          </m:r>
        </m:oMath>
      </m:oMathPara>
    </w:p>
    <w:p>
      <w:pPr>
        <w:pStyle w:val="FirstParagraph"/>
      </w:pPr>
      <w:r>
        <w:rPr>
          <w:b/>
          <w:bCs/>
        </w:rPr>
        <w:t xml:space="preserve">Progressive and regressive.</w:t>
      </w:r>
      <w:r>
        <w:t xml:space="preserve"> </w:t>
      </w:r>
      <w:r>
        <w:t xml:space="preserve">A fuel shock is</w:t>
      </w:r>
      <w:r>
        <w:t xml:space="preserve"> </w:t>
      </w:r>
      <w:r>
        <w:rPr>
          <w:i/>
          <w:iCs/>
        </w:rPr>
        <w:t xml:space="preserve">progressive</w:t>
      </w:r>
      <w:r>
        <w:t xml:space="preserve"> </w:t>
      </w:r>
      <w:r>
        <w:t xml:space="preserve">if it raises prices more for the average household (the gap</w:t>
      </w:r>
      <w:r>
        <w:t xml:space="preserve"> </w:t>
      </w:r>
      <m:oMath>
        <m:r>
          <m:t>D</m:t>
        </m:r>
      </m:oMath>
      <w:r>
        <w:t xml:space="preserve"> </w:t>
      </w:r>
      <w:r>
        <w:t xml:space="preserve">rises) and</w:t>
      </w:r>
      <w:r>
        <w:t xml:space="preserve"> </w:t>
      </w:r>
      <w:r>
        <w:rPr>
          <w:i/>
          <w:iCs/>
        </w:rPr>
        <w:t xml:space="preserve">regressive</w:t>
      </w:r>
      <w:r>
        <w:t xml:space="preserve"> </w:t>
      </w:r>
      <w:r>
        <w:t xml:space="preserve">if it raises them more for the poor (</w:t>
      </w:r>
      <m:oMath>
        <m:r>
          <m:t>D</m:t>
        </m:r>
      </m:oMath>
      <w:r>
        <w:t xml:space="preserve"> </w:t>
      </w:r>
      <w:r>
        <w:t xml:space="preserve">falls). The gap is the study’s own construction from the two official indices.</w:t>
      </w:r>
    </w:p>
    <w:p>
      <w:pPr>
        <w:pStyle w:val="BodyText"/>
      </w:pPr>
      <w:r>
        <w:rPr>
          <w:b/>
          <w:bCs/>
        </w:rPr>
        <w:t xml:space="preserve">Local projection.</w:t>
      </w:r>
      <w:r>
        <w:t xml:space="preserve"> </w:t>
      </w:r>
      <w:r>
        <w:t xml:space="preserve">A method that estimates the effect of a shock on each future month with its own regression (Section 3.4).</w:t>
      </w:r>
    </w:p>
    <w:bookmarkEnd w:id="24"/>
    <w:bookmarkEnd w:id="25"/>
    <w:bookmarkStart w:id="37" w:name="chapter-2.-review-of-related-literature"/>
    <w:p>
      <w:pPr>
        <w:pStyle w:val="Heading1"/>
      </w:pPr>
      <w:r>
        <w:t xml:space="preserve">Chapter 2. Review of Related Literature</w:t>
      </w:r>
    </w:p>
    <w:p>
      <w:pPr>
        <w:pStyle w:val="FirstParagraph"/>
      </w:pPr>
      <w:r>
        <w:t xml:space="preserve">This chapter reviews 30 studies in five themes. Appendix A summarises each in a review matrix (author and year, country or sample, method and key findings). The chapter ends with the theoretical framework, which turns the literature into the equations that the study tests, and the conceptual framework.</w:t>
      </w:r>
    </w:p>
    <w:bookmarkStart w:id="26" w:name="X6f5da99250058ee4d6900c10bc7f84dd44e8bd7"/>
    <w:p>
      <w:pPr>
        <w:pStyle w:val="Heading2"/>
      </w:pPr>
      <w:r>
        <w:t xml:space="preserve">2.1 How a fuel price becomes a consumer price</w:t>
      </w:r>
    </w:p>
    <w:p>
      <w:pPr>
        <w:pStyle w:val="FirstParagraph"/>
      </w:pPr>
      <w:r>
        <w:t xml:space="preserve">Fuel enters almost every price. In the input–output price model of Leontief</w:t>
      </w:r>
      <w:r>
        <w:t xml:space="preserve"> </w:t>
      </w:r>
      <w:r>
        <w:t xml:space="preserve">(</w:t>
      </w:r>
      <w:hyperlink w:anchor="ref-miller_blair_2009">
        <w:r>
          <w:rPr>
            <w:rStyle w:val="Hyperlink"/>
          </w:rPr>
          <w:t xml:space="preserve">Miller and Blair 2009</w:t>
        </w:r>
      </w:hyperlink>
      <w:r>
        <w:t xml:space="preserve">)</w:t>
      </w:r>
      <w:r>
        <w:t xml:space="preserve">, the price of each good covers the cost of its inputs plus wages and profits, so a rise in the price of one input, such as fuel, raises every price in proportion to the fuel used to make it, directly and through its other inputs.</w:t>
      </w:r>
      <w:r>
        <w:t xml:space="preserve"> </w:t>
      </w:r>
      <w:r>
        <w:t xml:space="preserve">Kilian (</w:t>
      </w:r>
      <w:hyperlink w:anchor="ref-kilian_2008">
        <w:r>
          <w:rPr>
            <w:rStyle w:val="Hyperlink"/>
          </w:rPr>
          <w:t xml:space="preserve">2008</w:t>
        </w:r>
      </w:hyperlink>
      <w:r>
        <w:t xml:space="preserve">)</w:t>
      </w:r>
      <w:r>
        <w:t xml:space="preserve"> </w:t>
      </w:r>
      <w:r>
        <w:t xml:space="preserve">distinguishes two routes: a</w:t>
      </w:r>
      <w:r>
        <w:t xml:space="preserve"> </w:t>
      </w:r>
      <w:r>
        <w:rPr>
          <w:i/>
          <w:iCs/>
        </w:rPr>
        <w:t xml:space="preserve">direct</w:t>
      </w:r>
      <w:r>
        <w:t xml:space="preserve"> </w:t>
      </w:r>
      <w:r>
        <w:t xml:space="preserve">route, through the energy households buy themselves, and an</w:t>
      </w:r>
      <w:r>
        <w:t xml:space="preserve"> </w:t>
      </w:r>
      <w:r>
        <w:rPr>
          <w:i/>
          <w:iCs/>
        </w:rPr>
        <w:t xml:space="preserve">indirect</w:t>
      </w:r>
      <w:r>
        <w:t xml:space="preserve"> </w:t>
      </w:r>
      <w:r>
        <w:t xml:space="preserve">route, through the costs of producing and moving other goods.</w:t>
      </w:r>
      <w:r>
        <w:t xml:space="preserve"> </w:t>
      </w:r>
      <w:r>
        <w:t xml:space="preserve">Blanchard and Galí (</w:t>
      </w:r>
      <w:hyperlink w:anchor="ref-blanchard_gali_2010">
        <w:r>
          <w:rPr>
            <w:rStyle w:val="Hyperlink"/>
          </w:rPr>
          <w:t xml:space="preserve">2010</w:t>
        </w:r>
      </w:hyperlink>
      <w:r>
        <w:t xml:space="preserve">)</w:t>
      </w:r>
      <w:r>
        <w:t xml:space="preserve"> </w:t>
      </w:r>
      <w:r>
        <w:t xml:space="preserve">add a</w:t>
      </w:r>
      <w:r>
        <w:t xml:space="preserve"> </w:t>
      </w:r>
      <w:r>
        <w:rPr>
          <w:i/>
          <w:iCs/>
        </w:rPr>
        <w:t xml:space="preserve">second-round</w:t>
      </w:r>
      <w:r>
        <w:t xml:space="preserve"> </w:t>
      </w:r>
      <w:r>
        <w:t xml:space="preserve">route through wages and expectations, and show that it weakened after the 1970s as monetary policy became more credible and economies used less oil. Not all oil price changes are alike: their effects depend on whether they come from oil supply, world demand or oil-specific demand</w:t>
      </w:r>
      <w:r>
        <w:t xml:space="preserve"> </w:t>
      </w:r>
      <w:r>
        <w:t xml:space="preserve">(</w:t>
      </w:r>
      <w:hyperlink w:anchor="ref-kilian_2009">
        <w:r>
          <w:rPr>
            <w:rStyle w:val="Hyperlink"/>
          </w:rPr>
          <w:t xml:space="preserve">Kilian 2009</w:t>
        </w:r>
      </w:hyperlink>
      <w:r>
        <w:t xml:space="preserve">)</w:t>
      </w:r>
      <w:r>
        <w:t xml:space="preserve">, and supply disruptions explain more of oil price movements than once thought</w:t>
      </w:r>
      <w:r>
        <w:t xml:space="preserve"> </w:t>
      </w:r>
      <w:r>
        <w:t xml:space="preserve">(</w:t>
      </w:r>
      <w:hyperlink w:anchor="ref-baumeister_hamilton_2019">
        <w:r>
          <w:rPr>
            <w:rStyle w:val="Hyperlink"/>
          </w:rPr>
          <w:t xml:space="preserve">Baumeister and Hamilton 2019</w:t>
        </w:r>
      </w:hyperlink>
      <w:r>
        <w:t xml:space="preserve">)</w:t>
      </w:r>
      <w:r>
        <w:t xml:space="preserve">.</w:t>
      </w:r>
      <w:r>
        <w:t xml:space="preserve"> </w:t>
      </w:r>
      <w:r>
        <w:t xml:space="preserve">Känzig (</w:t>
      </w:r>
      <w:hyperlink w:anchor="ref-kanzig_2021">
        <w:r>
          <w:rPr>
            <w:rStyle w:val="Hyperlink"/>
          </w:rPr>
          <w:t xml:space="preserve">2021</w:t>
        </w:r>
      </w:hyperlink>
      <w:r>
        <w:t xml:space="preserve">)</w:t>
      </w:r>
      <w:r>
        <w:t xml:space="preserve"> </w:t>
      </w:r>
      <w:r>
        <w:t xml:space="preserve">isolates oil supply news from OPEC announcements and shows that it raises prices and lowers activity, partly through expectations. Finally,</w:t>
      </w:r>
      <w:r>
        <w:t xml:space="preserve"> </w:t>
      </w:r>
      <w:r>
        <w:t xml:space="preserve">Deaton (</w:t>
      </w:r>
      <w:hyperlink w:anchor="ref-deaton_1989">
        <w:r>
          <w:rPr>
            <w:rStyle w:val="Hyperlink"/>
          </w:rPr>
          <w:t xml:space="preserve">1989</w:t>
        </w:r>
      </w:hyperlink>
      <w:r>
        <w:t xml:space="preserve">)</w:t>
      </w:r>
      <w:r>
        <w:t xml:space="preserve"> </w:t>
      </w:r>
      <w:r>
        <w:t xml:space="preserve">shows how to measure who loses from a price change: to a first approximation, a household’s loss is its budget share of the good times the price change, so the burden depends on what each household buys.</w:t>
      </w:r>
    </w:p>
    <w:bookmarkEnd w:id="26"/>
    <w:bookmarkStart w:id="27" w:name="evidence-on-pass-through-to-inflation"/>
    <w:p>
      <w:pPr>
        <w:pStyle w:val="Heading2"/>
      </w:pPr>
      <w:r>
        <w:t xml:space="preserve">2.2 Evidence on pass-through to inflation</w:t>
      </w:r>
    </w:p>
    <w:p>
      <w:pPr>
        <w:pStyle w:val="FirstParagraph"/>
      </w:pPr>
      <w:r>
        <w:t xml:space="preserve">Early studies used crude oil prices and found that the effect of oil on inflation in advanced economies fell sharply after the 1980s</w:t>
      </w:r>
      <w:r>
        <w:t xml:space="preserve"> </w:t>
      </w:r>
      <w:r>
        <w:t xml:space="preserve">(</w:t>
      </w:r>
      <w:hyperlink w:anchor="ref-blanchard_gali_2010">
        <w:r>
          <w:rPr>
            <w:rStyle w:val="Hyperlink"/>
          </w:rPr>
          <w:t xml:space="preserve">Blanchard and Galí 2010</w:t>
        </w:r>
      </w:hyperlink>
      <w:r>
        <w:t xml:space="preserve">)</w:t>
      </w:r>
      <w:r>
        <w:t xml:space="preserve">. Cross-country studies find that a 10% rise in world oil prices raises inflation by about 0.4 percentage points on impact, that the effect is larger for increases than decreases and has declined over time</w:t>
      </w:r>
      <w:r>
        <w:t xml:space="preserve"> </w:t>
      </w:r>
      <w:r>
        <w:t xml:space="preserve">(</w:t>
      </w:r>
      <w:hyperlink w:anchor="ref-choi_etal_2018">
        <w:r>
          <w:rPr>
            <w:rStyle w:val="Hyperlink"/>
          </w:rPr>
          <w:t xml:space="preserve">Choi et al. 2018</w:t>
        </w:r>
      </w:hyperlink>
      <w:r>
        <w:t xml:space="preserve">)</w:t>
      </w:r>
      <w:r>
        <w:t xml:space="preserve">, and that it is larger and lasts longer in oil-intensive economies and where inflation is already high</w:t>
      </w:r>
      <w:r>
        <w:t xml:space="preserve"> </w:t>
      </w:r>
      <w:r>
        <w:t xml:space="preserve">(</w:t>
      </w:r>
      <w:hyperlink w:anchor="ref-gelos_ustyugova_2017">
        <w:r>
          <w:rPr>
            <w:rStyle w:val="Hyperlink"/>
          </w:rPr>
          <w:t xml:space="preserve">Gelos and Ustyugova 2017</w:t>
        </w:r>
      </w:hyperlink>
      <w:r>
        <w:t xml:space="preserve">)</w:t>
      </w:r>
      <w:r>
        <w:t xml:space="preserve">. Crude prices, however, are a poor measure of what consumers pay, because retail prices include taxes and margins and are often regulated.</w:t>
      </w:r>
      <w:r>
        <w:t xml:space="preserve"> </w:t>
      </w:r>
      <w:r>
        <w:t xml:space="preserve">Kpodar and Abdallah (</w:t>
      </w:r>
      <w:hyperlink w:anchor="ref-kpodar_abdallah_2017">
        <w:r>
          <w:rPr>
            <w:rStyle w:val="Hyperlink"/>
          </w:rPr>
          <w:t xml:space="preserve">2017</w:t>
        </w:r>
      </w:hyperlink>
      <w:r>
        <w:t xml:space="preserve">)</w:t>
      </w:r>
      <w:r>
        <w:t xml:space="preserve"> </w:t>
      </w:r>
      <w:r>
        <w:t xml:space="preserve">built a monthly database of retail fuel prices for 162 countries and showed that a one-cent rise in crude per litre raises pump prices by about 1.2 cents at peak, more for increases than decreases.</w:t>
      </w:r>
      <w:r>
        <w:t xml:space="preserve"> </w:t>
      </w:r>
      <w:r>
        <w:t xml:space="preserve">Kpodar and Imam (</w:t>
      </w:r>
      <w:hyperlink w:anchor="ref-kpodar_imam_2021">
        <w:r>
          <w:rPr>
            <w:rStyle w:val="Hyperlink"/>
          </w:rPr>
          <w:t xml:space="preserve">2021</w:t>
        </w:r>
      </w:hyperlink>
      <w:r>
        <w:t xml:space="preserve">)</w:t>
      </w:r>
      <w:r>
        <w:t xml:space="preserve"> </w:t>
      </w:r>
      <w:r>
        <w:t xml:space="preserve">show that developing-country governments pass world prices through more when changes are moderate and pricing rules flexible.</w:t>
      </w:r>
      <w:r>
        <w:t xml:space="preserve"> </w:t>
      </w:r>
      <w:r>
        <w:t xml:space="preserve">Kpodar and Liu (</w:t>
      </w:r>
      <w:hyperlink w:anchor="ref-kpodar_liu_2022">
        <w:r>
          <w:rPr>
            <w:rStyle w:val="Hyperlink"/>
          </w:rPr>
          <w:t xml:space="preserve">2022</w:t>
        </w:r>
      </w:hyperlink>
      <w:r>
        <w:t xml:space="preserve">)</w:t>
      </w:r>
      <w:r>
        <w:t xml:space="preserve">, the reference study for this paper, use retail prices for 122 countries and find that fuel prices pass through to inflation, more persistently in developing economies, and that crude prices understate the effect.</w:t>
      </w:r>
    </w:p>
    <w:p>
      <w:pPr>
        <w:pStyle w:val="BodyText"/>
      </w:pPr>
      <w:r>
        <w:t xml:space="preserve">In developing Asia, the pass-through of the 2007–2008 food and oil price spike to consumer prices was limited, partly because of subsidies and price controls</w:t>
      </w:r>
      <w:r>
        <w:t xml:space="preserve"> </w:t>
      </w:r>
      <w:r>
        <w:t xml:space="preserve">(</w:t>
      </w:r>
      <w:hyperlink w:anchor="ref-jongwanich_park_2011">
        <w:r>
          <w:rPr>
            <w:rStyle w:val="Hyperlink"/>
          </w:rPr>
          <w:t xml:space="preserve">Jongwanich and Park 2011</w:t>
        </w:r>
      </w:hyperlink>
      <w:r>
        <w:t xml:space="preserve">)</w:t>
      </w:r>
      <w:r>
        <w:t xml:space="preserve">. For the Philippines,</w:t>
      </w:r>
      <w:r>
        <w:t xml:space="preserve"> </w:t>
      </w:r>
      <w:r>
        <w:t xml:space="preserve">Allon-Pineda et al. (</w:t>
      </w:r>
      <w:hyperlink w:anchor="ref-allon_pineda_etal_2026">
        <w:r>
          <w:rPr>
            <w:rStyle w:val="Hyperlink"/>
          </w:rPr>
          <w:t xml:space="preserve">2026</w:t>
        </w:r>
      </w:hyperlink>
      <w:r>
        <w:t xml:space="preserve">)</w:t>
      </w:r>
      <w:r>
        <w:t xml:space="preserve"> </w:t>
      </w:r>
      <w:r>
        <w:t xml:space="preserve">find with local projections that global oil and food shocks have significant and persistent effects on inflation, and that the second-round effects of oil are as large as its direct effects.</w:t>
      </w:r>
      <w:r>
        <w:t xml:space="preserve"> </w:t>
      </w:r>
      <w:r>
        <w:t xml:space="preserve">Valera et al. (</w:t>
      </w:r>
      <w:hyperlink w:anchor="ref-valera_etal_2025">
        <w:r>
          <w:rPr>
            <w:rStyle w:val="Hyperlink"/>
          </w:rPr>
          <w:t xml:space="preserve">2025</w:t>
        </w:r>
      </w:hyperlink>
      <w:r>
        <w:t xml:space="preserve">)</w:t>
      </w:r>
      <w:r>
        <w:t xml:space="preserve"> </w:t>
      </w:r>
      <w:r>
        <w:t xml:space="preserve">find that energy and rice prices raise Philippine inflation more when inflation is already high. Neither study distinguishes income groups or regions.</w:t>
      </w:r>
    </w:p>
    <w:bookmarkEnd w:id="27"/>
    <w:bookmarkStart w:id="28" w:name="who-bears-fuel-price-changes"/>
    <w:p>
      <w:pPr>
        <w:pStyle w:val="Heading2"/>
      </w:pPr>
      <w:r>
        <w:t xml:space="preserve">2.3 Who bears fuel price changes</w:t>
      </w:r>
    </w:p>
    <w:p>
      <w:pPr>
        <w:pStyle w:val="FirstParagraph"/>
      </w:pPr>
      <w:r>
        <w:t xml:space="preserve">A large literature simulates who bears fuel price changes using household surveys and input–output or general equilibrium models. Reviews of developing countries find that a fuel price increase lowers real incomes by a similar percentage across income groups, with more than half of the effect coming through the indirect route, while fuel subsidies flow mostly to richer households in peso terms</w:t>
      </w:r>
      <w:r>
        <w:t xml:space="preserve"> </w:t>
      </w:r>
      <w:r>
        <w:t xml:space="preserve">(</w:t>
      </w:r>
      <w:hyperlink w:anchor="ref-arze_etal_2012">
        <w:r>
          <w:rPr>
            <w:rStyle w:val="Hyperlink"/>
          </w:rPr>
          <w:t xml:space="preserve">Arze del Granado et al. 2012</w:t>
        </w:r>
      </w:hyperlink>
      <w:r>
        <w:t xml:space="preserve">;</w:t>
      </w:r>
      <w:r>
        <w:t xml:space="preserve"> </w:t>
      </w:r>
      <w:hyperlink w:anchor="ref-coady_etal_2015">
        <w:r>
          <w:rPr>
            <w:rStyle w:val="Hyperlink"/>
          </w:rPr>
          <w:t xml:space="preserve">Coady et al. 2015</w:t>
        </w:r>
      </w:hyperlink>
      <w:r>
        <w:t xml:space="preserve">)</w:t>
      </w:r>
      <w:r>
        <w:t xml:space="preserve">. In Nigeria, removing fuel subsidies raises output but can hurt poor households unless transfers compensate them</w:t>
      </w:r>
      <w:r>
        <w:t xml:space="preserve"> </w:t>
      </w:r>
      <w:r>
        <w:t xml:space="preserve">(</w:t>
      </w:r>
      <w:hyperlink w:anchor="ref-siddig_etal_2014">
        <w:r>
          <w:rPr>
            <w:rStyle w:val="Hyperlink"/>
          </w:rPr>
          <w:t xml:space="preserve">Siddig et al. 2014</w:t>
        </w:r>
      </w:hyperlink>
      <w:r>
        <w:t xml:space="preserve">)</w:t>
      </w:r>
      <w:r>
        <w:t xml:space="preserve">, and petrol subsidies benefit the rich while kerosene subsidies are shared more evenly</w:t>
      </w:r>
      <w:r>
        <w:t xml:space="preserve"> </w:t>
      </w:r>
      <w:r>
        <w:t xml:space="preserve">(</w:t>
      </w:r>
      <w:hyperlink w:anchor="ref-soile_mu_2015">
        <w:r>
          <w:rPr>
            <w:rStyle w:val="Hyperlink"/>
          </w:rPr>
          <w:t xml:space="preserve">Soile and Mu 2015</w:t>
        </w:r>
      </w:hyperlink>
      <w:r>
        <w:t xml:space="preserve">)</w:t>
      </w:r>
      <w:r>
        <w:t xml:space="preserve">. Carbon pricing tends to be progressive in poorer countries, because energy budget shares first rise and then fall with income</w:t>
      </w:r>
      <w:r>
        <w:t xml:space="preserve"> </w:t>
      </w:r>
      <w:r>
        <w:t xml:space="preserve">(</w:t>
      </w:r>
      <w:hyperlink w:anchor="ref-dorband_etal_2019">
        <w:r>
          <w:rPr>
            <w:rStyle w:val="Hyperlink"/>
          </w:rPr>
          <w:t xml:space="preserve">Dorband et al. 2019</w:t>
        </w:r>
      </w:hyperlink>
      <w:r>
        <w:t xml:space="preserve">)</w:t>
      </w:r>
      <w:r>
        <w:t xml:space="preserve">. In the Philippines,</w:t>
      </w:r>
      <w:r>
        <w:t xml:space="preserve"> </w:t>
      </w:r>
      <w:r>
        <w:t xml:space="preserve">Domingo et al. (</w:t>
      </w:r>
      <w:hyperlink w:anchor="ref-domingo_etal_2009">
        <w:r>
          <w:rPr>
            <w:rStyle w:val="Hyperlink"/>
          </w:rPr>
          <w:t xml:space="preserve">2009</w:t>
        </w:r>
      </w:hyperlink>
      <w:r>
        <w:t xml:space="preserve">)</w:t>
      </w:r>
      <w:r>
        <w:t xml:space="preserve"> </w:t>
      </w:r>
      <w:r>
        <w:t xml:space="preserve">show that higher rice and fuel prices affect households very differently by occupation, location and income, with gainers as well as losers. Targeting matters: even a programme aimed at the poor, such as Indonesia’s rice subsidy, can reach the poorest least</w:t>
      </w:r>
      <w:r>
        <w:t xml:space="preserve"> </w:t>
      </w:r>
      <w:r>
        <w:t xml:space="preserve">(</w:t>
      </w:r>
      <w:hyperlink w:anchor="ref-satriawan_shrestha_2018">
        <w:r>
          <w:rPr>
            <w:rStyle w:val="Hyperlink"/>
          </w:rPr>
          <w:t xml:space="preserve">Satriawan and Shrestha 2018</w:t>
        </w:r>
      </w:hyperlink>
      <w:r>
        <w:t xml:space="preserve">)</w:t>
      </w:r>
      <w:r>
        <w:t xml:space="preserve">.</w:t>
      </w:r>
    </w:p>
    <w:bookmarkEnd w:id="28"/>
    <w:bookmarkStart w:id="29" w:name="do-the-poor-face-different-inflation"/>
    <w:p>
      <w:pPr>
        <w:pStyle w:val="Heading2"/>
      </w:pPr>
      <w:r>
        <w:t xml:space="preserve">2.4 Do the poor face different inflation?</w:t>
      </w:r>
    </w:p>
    <w:p>
      <w:pPr>
        <w:pStyle w:val="FirstParagraph"/>
      </w:pPr>
      <w:r>
        <w:t xml:space="preserve">A related literature measures inflation separately for different households. The poor are more likely than the rich to name inflation as a top concern, and high inflation lowers their share of income</w:t>
      </w:r>
      <w:r>
        <w:t xml:space="preserve"> </w:t>
      </w:r>
      <w:r>
        <w:t xml:space="preserve">(</w:t>
      </w:r>
      <w:hyperlink w:anchor="ref-easterly_fischer_2001">
        <w:r>
          <w:rPr>
            <w:rStyle w:val="Hyperlink"/>
          </w:rPr>
          <w:t xml:space="preserve">Easterly and Fischer 2001</w:t>
        </w:r>
      </w:hyperlink>
      <w:r>
        <w:t xml:space="preserve">)</w:t>
      </w:r>
      <w:r>
        <w:t xml:space="preserve">. In the United States, the cost of living of poor households is the most sensitive to gasoline prices</w:t>
      </w:r>
      <w:r>
        <w:t xml:space="preserve"> </w:t>
      </w:r>
      <w:r>
        <w:t xml:space="preserve">(</w:t>
      </w:r>
      <w:hyperlink w:anchor="ref-hobijn_lagakos_2005">
        <w:r>
          <w:rPr>
            <w:rStyle w:val="Hyperlink"/>
          </w:rPr>
          <w:t xml:space="preserve">Hobijn and Lagakos 2005</w:t>
        </w:r>
      </w:hyperlink>
      <w:r>
        <w:t xml:space="preserve">)</w:t>
      </w:r>
      <w:r>
        <w:t xml:space="preserve">; lower-income households face higher inflation, mostly because of the prices they pay for the same kinds of goods</w:t>
      </w:r>
      <w:r>
        <w:t xml:space="preserve"> </w:t>
      </w:r>
      <w:r>
        <w:t xml:space="preserve">(</w:t>
      </w:r>
      <w:hyperlink w:anchor="ref-kaplan_schulhofer_2017">
        <w:r>
          <w:rPr>
            <w:rStyle w:val="Hyperlink"/>
          </w:rPr>
          <w:t xml:space="preserve">Kaplan and Schulhofer-Wohl 2017</w:t>
        </w:r>
      </w:hyperlink>
      <w:r>
        <w:t xml:space="preserve">)</w:t>
      </w:r>
      <w:r>
        <w:t xml:space="preserve">; and measuring this needs detailed price data, because averages hide differences in what each group buys within categories</w:t>
      </w:r>
      <w:r>
        <w:t xml:space="preserve"> </w:t>
      </w:r>
      <w:r>
        <w:t xml:space="preserve">(</w:t>
      </w:r>
      <w:hyperlink w:anchor="ref-jaravel_2021">
        <w:r>
          <w:rPr>
            <w:rStyle w:val="Hyperlink"/>
          </w:rPr>
          <w:t xml:space="preserve">Jaravel 2021</w:t>
        </w:r>
      </w:hyperlink>
      <w:r>
        <w:t xml:space="preserve">)</w:t>
      </w:r>
      <w:r>
        <w:t xml:space="preserve">. In the Philippines, the food price increases of 2006–2008 raised poverty and hit the poorest households hardest</w:t>
      </w:r>
      <w:r>
        <w:t xml:space="preserve"> </w:t>
      </w:r>
      <w:r>
        <w:t xml:space="preserve">(</w:t>
      </w:r>
      <w:hyperlink w:anchor="ref-fujii_2013">
        <w:r>
          <w:rPr>
            <w:rStyle w:val="Hyperlink"/>
          </w:rPr>
          <w:t xml:space="preserve">Fujii 2013</w:t>
        </w:r>
      </w:hyperlink>
      <w:r>
        <w:t xml:space="preserve">)</w:t>
      </w:r>
      <w:r>
        <w:t xml:space="preserve">.</w:t>
      </w:r>
    </w:p>
    <w:bookmarkEnd w:id="29"/>
    <w:bookmarkStart w:id="30" w:name="rice-food-prices-and-policy-in-asia"/>
    <w:p>
      <w:pPr>
        <w:pStyle w:val="Heading2"/>
      </w:pPr>
      <w:r>
        <w:t xml:space="preserve">2.5 Rice, food prices and policy in Asia</w:t>
      </w:r>
    </w:p>
    <w:p>
      <w:pPr>
        <w:pStyle w:val="FirstParagraph"/>
      </w:pPr>
      <w:r>
        <w:t xml:space="preserve">Rice is central to the cost of living of poor Asian households, and governments have long tried to stabilise its price; in Indonesia a rice price spike caused by an import ban pushed about four million people into poverty</w:t>
      </w:r>
      <w:r>
        <w:t xml:space="preserve"> </w:t>
      </w:r>
      <w:r>
        <w:t xml:space="preserve">(</w:t>
      </w:r>
      <w:hyperlink w:anchor="ref-timmer_dawe_2007">
        <w:r>
          <w:rPr>
            <w:rStyle w:val="Hyperlink"/>
          </w:rPr>
          <w:t xml:space="preserve">Timmer and Dawe 2007</w:t>
        </w:r>
      </w:hyperlink>
      <w:r>
        <w:t xml:space="preserve">)</w:t>
      </w:r>
      <w:r>
        <w:t xml:space="preserve">. In the Philippines, the 2019 rice tariffication law lowered rice prices and benefited most households, especially the poorest, while hurting net-selling farmers</w:t>
      </w:r>
      <w:r>
        <w:t xml:space="preserve"> </w:t>
      </w:r>
      <w:r>
        <w:t xml:space="preserve">(</w:t>
      </w:r>
      <w:hyperlink w:anchor="ref-balie_etal_2020">
        <w:r>
          <w:rPr>
            <w:rStyle w:val="Hyperlink"/>
          </w:rPr>
          <w:t xml:space="preserve">Balié et al. 2020</w:t>
        </w:r>
      </w:hyperlink>
      <w:r>
        <w:t xml:space="preserve">;</w:t>
      </w:r>
      <w:r>
        <w:t xml:space="preserve"> </w:t>
      </w:r>
      <w:hyperlink w:anchor="ref-briones_2021">
        <w:r>
          <w:rPr>
            <w:rStyle w:val="Hyperlink"/>
          </w:rPr>
          <w:t xml:space="preserve">Briones 2021</w:t>
        </w:r>
      </w:hyperlink>
      <w:r>
        <w:t xml:space="preserve">)</w:t>
      </w:r>
      <w:r>
        <w:t xml:space="preserve">. These studies matter here because an oil shock raises the cost of growing and moving rice, and because rice prices can move for reasons of trade policy at the same time as fuel prices.</w:t>
      </w:r>
    </w:p>
    <w:bookmarkEnd w:id="30"/>
    <w:bookmarkStart w:id="31" w:name="synthesis-and-research-gap"/>
    <w:p>
      <w:pPr>
        <w:pStyle w:val="Heading2"/>
      </w:pPr>
      <w:r>
        <w:t xml:space="preserve">2.6 Synthesis and research gap</w:t>
      </w:r>
    </w:p>
    <w:p>
      <w:pPr>
        <w:pStyle w:val="FirstParagraph"/>
      </w:pPr>
      <w:r>
        <w:t xml:space="preserve">The literature establishes three things: fuel prices pass through to inflation; retail prices capture this better than crude prices; and, from cross-country data, the effect is progressive. It also shows that the poor can face different inflation from the average household, mostly because of the prices they pay within categories. These two findings have not been brought together. There is no within-country test of the cross-country finding using official price indices for income groups, no evidence on whether the effect differs across regions, and no evidence for the 2026 shock. This study fills these three gaps.</w:t>
      </w:r>
    </w:p>
    <w:bookmarkEnd w:id="31"/>
    <w:bookmarkStart w:id="32" w:name="theoretical-framework"/>
    <w:p>
      <w:pPr>
        <w:pStyle w:val="Heading2"/>
      </w:pPr>
      <w:r>
        <w:t xml:space="preserve">2.7 Theoretical framework</w:t>
      </w:r>
    </w:p>
    <w:p>
      <w:pPr>
        <w:pStyle w:val="FirstParagraph"/>
      </w:pPr>
      <w:r>
        <w:t xml:space="preserve">The study rests on two bodies of theory, written below as equations that lead directly to the tests.</w:t>
      </w:r>
    </w:p>
    <w:p>
      <w:pPr>
        <w:pStyle w:val="BodyText"/>
      </w:pPr>
      <w:r>
        <w:rPr>
          <w:b/>
          <w:bCs/>
        </w:rPr>
        <w:t xml:space="preserve">Cost-push pricing.</w:t>
      </w:r>
      <w:r>
        <w:t xml:space="preserve"> </w:t>
      </w:r>
      <w:r>
        <w:t xml:space="preserve">By the input–output price model</w:t>
      </w:r>
      <w:r>
        <w:t xml:space="preserve"> </w:t>
      </w:r>
      <w:r>
        <w:t xml:space="preserve">(</w:t>
      </w:r>
      <w:hyperlink w:anchor="ref-miller_blair_2009">
        <w:r>
          <w:rPr>
            <w:rStyle w:val="Hyperlink"/>
          </w:rPr>
          <w:t xml:space="preserve">Miller and Blair 2009</w:t>
        </w:r>
      </w:hyperlink>
      <w:r>
        <w:t xml:space="preserve">)</w:t>
      </w:r>
      <w:r>
        <w:t xml:space="preserve">, if margins and other costs stay the same, a rise in the fuel price raises the price of good</w:t>
      </w:r>
      <w:r>
        <w:t xml:space="preserve"> </w:t>
      </w:r>
      <w:r>
        <w:rPr>
          <w:i/>
          <w:iCs/>
        </w:rPr>
        <w:t xml:space="preserve">k</w:t>
      </w:r>
      <w:r>
        <w:t xml:space="preserve"> </w:t>
      </w:r>
      <w:r>
        <w:t xml:space="preserve">in proportion to the total fuel it contains, directly and through its inputs:</w:t>
      </w:r>
    </w:p>
    <w:p>
      <w:pPr>
        <w:pStyle w:val="BodyText"/>
      </w:pPr>
      <m:oMathPara>
        <m:oMathParaPr>
          <m:jc m:val="center"/>
        </m:oMathParaPr>
        <m:oMath>
          <m:sSub>
            <m:e>
              <m:r>
                <m:t>π</m:t>
              </m:r>
            </m:e>
            <m:sub>
              <m:r>
                <m:t>k</m:t>
              </m:r>
              <m:r>
                <m:rPr>
                  <m:sty m:val="p"/>
                </m:rPr>
                <m:t>,</m:t>
              </m:r>
              <m:r>
                <m:t>t</m:t>
              </m:r>
            </m:sub>
          </m:sSub>
          <m:r>
            <m:rPr>
              <m:sty m:val="p"/>
            </m:rPr>
            <m:t>≈</m:t>
          </m:r>
          <m:sSub>
            <m:e>
              <m:r>
                <m:t>ϕ</m:t>
              </m:r>
            </m:e>
            <m:sub>
              <m:r>
                <m:t>k</m:t>
              </m:r>
            </m:sub>
          </m:sSub>
          <m:r>
            <m:t> </m:t>
          </m:r>
          <m:sSub>
            <m:e>
              <m:r>
                <m:t>f</m:t>
              </m:r>
            </m:e>
            <m:sub>
              <m:r>
                <m:t>t</m:t>
              </m:r>
            </m:sub>
          </m:sSub>
          <m:r>
            <m:t>  </m:t>
          </m:r>
          <m:r>
            <m:t>  </m:t>
          </m:r>
          <m:r>
            <m:rPr>
              <m:sty m:val="p"/>
            </m:rPr>
            <m:t>(</m:t>
          </m:r>
          <m:r>
            <m:t>3</m:t>
          </m:r>
          <m:r>
            <m:rPr>
              <m:sty m:val="p"/>
            </m:rPr>
            <m:t>)</m:t>
          </m:r>
        </m:oMath>
      </m:oMathPara>
    </w:p>
    <w:p>
      <w:pPr>
        <w:pStyle w:val="FirstParagraph"/>
      </w:pPr>
      <w:r>
        <w:t xml:space="preserve">where</w:t>
      </w:r>
      <w:r>
        <w:t xml:space="preserve"> </w:t>
      </w:r>
      <m:oMath>
        <m:sSub>
          <m:e>
            <m:r>
              <m:t>ϕ</m:t>
            </m:r>
          </m:e>
          <m:sub>
            <m:r>
              <m:t>k</m:t>
            </m:r>
          </m:sub>
        </m:sSub>
      </m:oMath>
      <w:r>
        <w:t xml:space="preserve"> </w:t>
      </w:r>
      <w:r>
        <w:t xml:space="preserve">is the total fuel cost share of good</w:t>
      </w:r>
      <w:r>
        <w:t xml:space="preserve"> </w:t>
      </w:r>
      <w:r>
        <w:rPr>
          <w:i/>
          <w:iCs/>
        </w:rPr>
        <w:t xml:space="preserve">k</w:t>
      </w:r>
      <w:r>
        <w:t xml:space="preserve">. For pump fuel</w:t>
      </w:r>
      <w:r>
        <w:t xml:space="preserve"> </w:t>
      </w:r>
      <m:oMath>
        <m:sSub>
          <m:e>
            <m:r>
              <m:t>ϕ</m:t>
            </m:r>
          </m:e>
          <m:sub>
            <m:r>
              <m:t>k</m:t>
            </m:r>
          </m:sub>
        </m:sSub>
      </m:oMath>
      <w:r>
        <w:t xml:space="preserve"> </w:t>
      </w:r>
      <w:r>
        <w:t xml:space="preserve">is close to one; for a jeepney fare it is large; for rice it is smaller but not zero.</w:t>
      </w:r>
    </w:p>
    <w:p>
      <w:pPr>
        <w:pStyle w:val="BodyText"/>
      </w:pPr>
      <w:r>
        <w:rPr>
          <w:b/>
          <w:bCs/>
        </w:rPr>
        <w:t xml:space="preserve">The cost of living of each group.</w:t>
      </w:r>
      <w:r>
        <w:t xml:space="preserve"> </w:t>
      </w:r>
      <w:r>
        <w:t xml:space="preserve">Equation (1) implies that a group’s inflation is the weighted average of item inflation with that group’s weights,</w:t>
      </w:r>
      <w:r>
        <w:t xml:space="preserve"> </w:t>
      </w:r>
      <m:oMath>
        <m:sSubSup>
          <m:e>
            <m:r>
              <m:t>π</m:t>
            </m:r>
          </m:e>
          <m:sub>
            <m:r>
              <m:t>t</m:t>
            </m:r>
          </m:sub>
          <m:sup>
            <m:r>
              <m:t>g</m:t>
            </m:r>
          </m:sup>
        </m:sSubSup>
        <m:r>
          <m:rPr>
            <m:sty m:val="p"/>
          </m:rPr>
          <m:t>≈</m:t>
        </m:r>
        <m:nary>
          <m:naryPr>
            <m:chr m:val="∑"/>
            <m:limLoc m:val="undOvr"/>
            <m:subHide m:val="off"/>
            <m:supHide m:val="on"/>
          </m:naryPr>
          <m:sub>
            <m:r>
              <m:t>k</m:t>
            </m:r>
          </m:sub>
          <m:sup>
            <m:r>
              <m:t>​</m:t>
            </m:r>
          </m:sup>
          <m:e>
            <m:sSubSup>
              <m:e>
                <m:r>
                  <m:t>w</m:t>
                </m:r>
              </m:e>
              <m:sub>
                <m:r>
                  <m:t>k</m:t>
                </m:r>
              </m:sub>
              <m:sup>
                <m:r>
                  <m:t>g</m:t>
                </m:r>
              </m:sup>
            </m:sSubSup>
          </m:e>
        </m:nary>
        <m:sSub>
          <m:e>
            <m:r>
              <m:t>π</m:t>
            </m:r>
          </m:e>
          <m:sub>
            <m:r>
              <m:t>k</m:t>
            </m:r>
            <m:r>
              <m:rPr>
                <m:sty m:val="p"/>
              </m:rPr>
              <m:t>,</m:t>
            </m:r>
            <m:r>
              <m:t>t</m:t>
            </m:r>
          </m:sub>
        </m:sSub>
      </m:oMath>
      <w:r>
        <w:t xml:space="preserve">. Combining this with equation (3) gives the central prediction:</w:t>
      </w:r>
    </w:p>
    <w:p>
      <w:pPr>
        <w:pStyle w:val="BodyText"/>
      </w:pPr>
      <m:oMathPara>
        <m:oMathParaPr>
          <m:jc m:val="center"/>
        </m:oMathParaPr>
        <m:oMath>
          <m:sSubSup>
            <m:e>
              <m:r>
                <m:t>π</m:t>
              </m:r>
            </m:e>
            <m:sub>
              <m:r>
                <m:t>t</m:t>
              </m:r>
            </m:sub>
            <m:sup>
              <m:r>
                <m:t>g</m:t>
              </m:r>
            </m:sup>
          </m:sSubSup>
          <m:r>
            <m:rPr>
              <m:sty m:val="p"/>
            </m:rPr>
            <m:t>≈</m:t>
          </m:r>
          <m:sSup>
            <m:e>
              <m:r>
                <m:rPr>
                  <m:sty m:val="p"/>
                </m:rPr>
                <m:t>Φ</m:t>
              </m:r>
            </m:e>
            <m:sup>
              <m:r>
                <m:t>g</m:t>
              </m:r>
            </m:sup>
          </m:sSup>
          <m:sSub>
            <m:e>
              <m:r>
                <m:t>f</m:t>
              </m:r>
            </m:e>
            <m:sub>
              <m:r>
                <m:t>t</m:t>
              </m:r>
            </m:sub>
          </m:sSub>
          <m:r>
            <m:rPr>
              <m:sty m:val="p"/>
            </m:rPr>
            <m:t>,</m:t>
          </m:r>
          <m:r>
            <m:t>  </m:t>
          </m:r>
          <m:sSup>
            <m:e>
              <m:r>
                <m:rPr>
                  <m:sty m:val="p"/>
                </m:rPr>
                <m:t>Φ</m:t>
              </m:r>
            </m:e>
            <m:sup>
              <m:r>
                <m:t>g</m:t>
              </m:r>
            </m:sup>
          </m:sSup>
          <m:r>
            <m:rPr>
              <m:sty m:val="p"/>
            </m:rPr>
            <m:t>=</m:t>
          </m:r>
          <m:nary>
            <m:naryPr>
              <m:chr m:val="∑"/>
              <m:limLoc m:val="undOvr"/>
              <m:subHide m:val="off"/>
              <m:supHide m:val="on"/>
            </m:naryPr>
            <m:sub>
              <m:r>
                <m:t>k</m:t>
              </m:r>
            </m:sub>
            <m:sup>
              <m:r>
                <m:t>​</m:t>
              </m:r>
            </m:sup>
            <m:e>
              <m:sSubSup>
                <m:e>
                  <m:r>
                    <m:t>w</m:t>
                  </m:r>
                </m:e>
                <m:sub>
                  <m:r>
                    <m:t>k</m:t>
                  </m:r>
                </m:sub>
                <m:sup>
                  <m:r>
                    <m:t>g</m:t>
                  </m:r>
                </m:sup>
              </m:sSubSup>
            </m:e>
          </m:nary>
          <m:sSub>
            <m:e>
              <m:r>
                <m:t>ϕ</m:t>
              </m:r>
            </m:e>
            <m:sub>
              <m:r>
                <m:t>k</m:t>
              </m:r>
            </m:sub>
          </m:sSub>
          <m:r>
            <m:t>  </m:t>
          </m:r>
          <m:r>
            <m:t>  </m:t>
          </m:r>
          <m:r>
            <m:rPr>
              <m:sty m:val="p"/>
            </m:rPr>
            <m:t>(</m:t>
          </m:r>
          <m:r>
            <m:t>4</m:t>
          </m:r>
          <m:r>
            <m:rPr>
              <m:sty m:val="p"/>
            </m:rPr>
            <m:t>)</m:t>
          </m:r>
        </m:oMath>
      </m:oMathPara>
    </w:p>
    <w:p>
      <w:pPr>
        <w:pStyle w:val="FirstParagraph"/>
      </w:pPr>
      <w:r>
        <w:t xml:space="preserve">A group’s pass-through equals the</w:t>
      </w:r>
      <w:r>
        <w:t xml:space="preserve"> </w:t>
      </w:r>
      <w:r>
        <w:rPr>
          <w:i/>
          <w:iCs/>
        </w:rPr>
        <w:t xml:space="preserve">fuel intensity of its basket</w:t>
      </w:r>
      <w:r>
        <w:t xml:space="preserve">,</w:t>
      </w:r>
      <w:r>
        <w:t xml:space="preserve"> </w:t>
      </w:r>
      <m:oMath>
        <m:sSup>
          <m:e>
            <m:r>
              <m:rPr>
                <m:sty m:val="p"/>
              </m:rPr>
              <m:t>Φ</m:t>
            </m:r>
          </m:e>
          <m:sup>
            <m:r>
              <m:t>g</m:t>
            </m:r>
          </m:sup>
        </m:sSup>
      </m:oMath>
      <w:r>
        <w:t xml:space="preserve">. The shock is progressive (H2a) if the average basket is more fuel-intensive, for example because it holds more gasoline, and regressive (H2b) if the poor basket is, for example because it holds more food and fares. Theory alone cannot say which is true; this is the empirical question of RQ2.</w:t>
      </w:r>
    </w:p>
    <w:p>
      <w:pPr>
        <w:pStyle w:val="BodyText"/>
      </w:pPr>
      <w:r>
        <w:rPr>
          <w:b/>
          <w:bCs/>
        </w:rPr>
        <w:t xml:space="preserve">Where the gap comes from.</w:t>
      </w:r>
      <w:r>
        <w:t xml:space="preserve"> </w:t>
      </w:r>
      <w:r>
        <w:t xml:space="preserve">The difference in inflation between the groups splits exactly into two parts:</w:t>
      </w:r>
    </w:p>
    <w:p>
      <w:pPr>
        <w:pStyle w:val="BodyText"/>
      </w:pPr>
      <m:oMathPara>
        <m:oMathParaPr>
          <m:jc m:val="center"/>
        </m:oMathParaPr>
        <m:oMath>
          <m:sSubSup>
            <m:e>
              <m:r>
                <m:t>π</m:t>
              </m:r>
            </m:e>
            <m:sub>
              <m:r>
                <m:t>t</m:t>
              </m:r>
            </m:sub>
            <m:sup>
              <m:r>
                <m:t>A</m:t>
              </m:r>
            </m:sup>
          </m:sSubSup>
          <m:r>
            <m:rPr>
              <m:sty m:val="p"/>
            </m:rPr>
            <m:t>−</m:t>
          </m:r>
          <m:sSubSup>
            <m:e>
              <m:r>
                <m:t>π</m:t>
              </m:r>
            </m:e>
            <m:sub>
              <m:r>
                <m:t>t</m:t>
              </m:r>
            </m:sub>
            <m:sup>
              <m:r>
                <m:t>B</m:t>
              </m:r>
            </m:sup>
          </m:sSubSup>
          <m:r>
            <m:rPr>
              <m:sty m:val="p"/>
            </m:rPr>
            <m:t>=</m:t>
          </m:r>
          <m:limLow>
            <m:e>
              <m:limLow>
                <m:e>
                  <m:nary>
                    <m:naryPr>
                      <m:chr m:val="∑"/>
                      <m:limLoc m:val="undOvr"/>
                      <m:subHide m:val="off"/>
                      <m:supHide m:val="on"/>
                    </m:naryPr>
                    <m:sub>
                      <m:r>
                        <m:t>k</m:t>
                      </m:r>
                    </m:sub>
                    <m:sup>
                      <m:r>
                        <m:t>​</m:t>
                      </m:r>
                    </m:sup>
                    <m:e>
                      <m:r>
                        <m:rPr>
                          <m:sty m:val="p"/>
                        </m:rPr>
                        <m:t>(</m:t>
                      </m:r>
                    </m:e>
                  </m:nary>
                  <m:sSubSup>
                    <m:e>
                      <m:r>
                        <m:t>w</m:t>
                      </m:r>
                    </m:e>
                    <m:sub>
                      <m:r>
                        <m:t>k</m:t>
                      </m:r>
                    </m:sub>
                    <m:sup>
                      <m:r>
                        <m:t>A</m:t>
                      </m:r>
                    </m:sup>
                  </m:sSubSup>
                  <m:r>
                    <m:rPr>
                      <m:sty m:val="p"/>
                    </m:rPr>
                    <m:t>−</m:t>
                  </m:r>
                  <m:sSubSup>
                    <m:e>
                      <m:r>
                        <m:t>w</m:t>
                      </m:r>
                    </m:e>
                    <m:sub>
                      <m:r>
                        <m:t>k</m:t>
                      </m:r>
                    </m:sub>
                    <m:sup>
                      <m:r>
                        <m:t>B</m:t>
                      </m:r>
                    </m:sup>
                  </m:sSubSup>
                  <m:r>
                    <m:rPr>
                      <m:sty m:val="p"/>
                    </m:rPr>
                    <m:t>)</m:t>
                  </m:r>
                  <m:r>
                    <m:t> </m:t>
                  </m:r>
                  <m:sSubSup>
                    <m:e>
                      <m:r>
                        <m:t>π</m:t>
                      </m:r>
                    </m:e>
                    <m:sub>
                      <m:r>
                        <m:t>k</m:t>
                      </m:r>
                      <m:r>
                        <m:rPr>
                          <m:sty m:val="p"/>
                        </m:rPr>
                        <m:t>,</m:t>
                      </m:r>
                      <m:r>
                        <m:t>t</m:t>
                      </m:r>
                    </m:sub>
                    <m:sup>
                      <m:r>
                        <m:t>A</m:t>
                      </m:r>
                    </m:sup>
                  </m:sSubSup>
                </m:e>
                <m:lim>
                  <m:r>
                    <m:rPr>
                      <m:sty m:val="p"/>
                    </m:rPr>
                    <m:t>⏟</m:t>
                  </m:r>
                </m:lim>
              </m:limLow>
            </m:e>
            <m:lim>
              <m:r>
                <m:rPr>
                  <m:nor/>
                  <m:sty m:val="p"/>
                </m:rPr>
                <m:t>weights effect</m:t>
              </m:r>
            </m:lim>
          </m:limLow>
          <m:r>
            <m:rPr>
              <m:sty m:val="p"/>
            </m:rPr>
            <m:t>+</m:t>
          </m:r>
          <m:limLow>
            <m:e>
              <m:limLow>
                <m:e>
                  <m:nary>
                    <m:naryPr>
                      <m:chr m:val="∑"/>
                      <m:limLoc m:val="undOvr"/>
                      <m:subHide m:val="off"/>
                      <m:supHide m:val="on"/>
                    </m:naryPr>
                    <m:sub>
                      <m:r>
                        <m:t>k</m:t>
                      </m:r>
                    </m:sub>
                    <m:sup>
                      <m:r>
                        <m:t>​</m:t>
                      </m:r>
                    </m:sup>
                    <m:e>
                      <m:sSubSup>
                        <m:e>
                          <m:r>
                            <m:t>w</m:t>
                          </m:r>
                        </m:e>
                        <m:sub>
                          <m:r>
                            <m:t>k</m:t>
                          </m:r>
                        </m:sub>
                        <m:sup>
                          <m:r>
                            <m:t>B</m:t>
                          </m:r>
                        </m:sup>
                      </m:sSubSup>
                    </m:e>
                  </m:nary>
                  <m:r>
                    <m:t> </m:t>
                  </m:r>
                  <m:r>
                    <m:rPr>
                      <m:sty m:val="p"/>
                    </m:rPr>
                    <m:t>(</m:t>
                  </m:r>
                  <m:sSubSup>
                    <m:e>
                      <m:r>
                        <m:t>π</m:t>
                      </m:r>
                    </m:e>
                    <m:sub>
                      <m:r>
                        <m:t>k</m:t>
                      </m:r>
                      <m:r>
                        <m:rPr>
                          <m:sty m:val="p"/>
                        </m:rPr>
                        <m:t>,</m:t>
                      </m:r>
                      <m:r>
                        <m:t>t</m:t>
                      </m:r>
                    </m:sub>
                    <m:sup>
                      <m:r>
                        <m:t>A</m:t>
                      </m:r>
                    </m:sup>
                  </m:sSubSup>
                  <m:r>
                    <m:rPr>
                      <m:sty m:val="p"/>
                    </m:rPr>
                    <m:t>−</m:t>
                  </m:r>
                  <m:sSubSup>
                    <m:e>
                      <m:r>
                        <m:t>π</m:t>
                      </m:r>
                    </m:e>
                    <m:sub>
                      <m:r>
                        <m:t>k</m:t>
                      </m:r>
                      <m:r>
                        <m:rPr>
                          <m:sty m:val="p"/>
                        </m:rPr>
                        <m:t>,</m:t>
                      </m:r>
                      <m:r>
                        <m:t>t</m:t>
                      </m:r>
                    </m:sub>
                    <m:sup>
                      <m:r>
                        <m:t>B</m:t>
                      </m:r>
                    </m:sup>
                  </m:sSubSup>
                  <m:r>
                    <m:rPr>
                      <m:sty m:val="p"/>
                    </m:rPr>
                    <m:t>)</m:t>
                  </m:r>
                </m:e>
                <m:lim>
                  <m:r>
                    <m:rPr>
                      <m:sty m:val="p"/>
                    </m:rPr>
                    <m:t>⏟</m:t>
                  </m:r>
                </m:lim>
              </m:limLow>
            </m:e>
            <m:lim>
              <m:r>
                <m:rPr>
                  <m:nor/>
                  <m:sty m:val="p"/>
                </m:rPr>
                <m:t>within-category effect</m:t>
              </m:r>
            </m:lim>
          </m:limLow>
          <m:r>
            <m:t>  </m:t>
          </m:r>
          <m:r>
            <m:t>  </m:t>
          </m:r>
          <m:r>
            <m:rPr>
              <m:sty m:val="p"/>
            </m:rPr>
            <m:t>(</m:t>
          </m:r>
          <m:r>
            <m:t>5</m:t>
          </m:r>
          <m:r>
            <m:rPr>
              <m:sty m:val="p"/>
            </m:rPr>
            <m:t>)</m:t>
          </m:r>
        </m:oMath>
      </m:oMathPara>
    </w:p>
    <w:p>
      <w:pPr>
        <w:pStyle w:val="FirstParagraph"/>
      </w:pPr>
      <w:r>
        <w:t xml:space="preserve">The</w:t>
      </w:r>
      <w:r>
        <w:t xml:space="preserve"> </w:t>
      </w:r>
      <w:r>
        <w:rPr>
          <w:i/>
          <w:iCs/>
        </w:rPr>
        <w:t xml:space="preserve">weights effect</w:t>
      </w:r>
      <w:r>
        <w:t xml:space="preserve"> </w:t>
      </w:r>
      <w:r>
        <w:t xml:space="preserve">arises because the groups divide their budgets differently across categories, such as food against transport. The</w:t>
      </w:r>
      <w:r>
        <w:t xml:space="preserve"> </w:t>
      </w:r>
      <w:r>
        <w:rPr>
          <w:i/>
          <w:iCs/>
        </w:rPr>
        <w:t xml:space="preserve">within-category effect</w:t>
      </w:r>
      <w:r>
        <w:t xml:space="preserve"> </w:t>
      </w:r>
      <w:r>
        <w:t xml:space="preserve">arises because, inside a category, they buy different items (more rice and less meat, for example), so even the two groups’</w:t>
      </w:r>
      <w:r>
        <w:t xml:space="preserve"> </w:t>
      </w:r>
      <w:r>
        <w:t xml:space="preserve">“food”</w:t>
      </w:r>
      <w:r>
        <w:t xml:space="preserve"> </w:t>
      </w:r>
      <w:r>
        <w:t xml:space="preserve">indices can rise at different rates. The cross-country method of</w:t>
      </w:r>
      <w:r>
        <w:t xml:space="preserve"> </w:t>
      </w:r>
      <w:r>
        <w:t xml:space="preserve">Kpodar and Liu (</w:t>
      </w:r>
      <w:hyperlink w:anchor="ref-kpodar_liu_2022">
        <w:r>
          <w:rPr>
            <w:rStyle w:val="Hyperlink"/>
          </w:rPr>
          <w:t xml:space="preserve">2022</w:t>
        </w:r>
      </w:hyperlink>
      <w:r>
        <w:t xml:space="preserve">)</w:t>
      </w:r>
      <w:r>
        <w:t xml:space="preserve"> </w:t>
      </w:r>
      <w:r>
        <w:t xml:space="preserve">captures only the first part; the official bottom-30% CPI captures both. The second half of RQ2 measures each.</w:t>
      </w:r>
    </w:p>
    <w:p>
      <w:pPr>
        <w:pStyle w:val="BodyText"/>
      </w:pPr>
      <w:r>
        <w:rPr>
          <w:b/>
          <w:bCs/>
        </w:rPr>
        <w:t xml:space="preserve">Welfare cost.</w:t>
      </w:r>
      <w:r>
        <w:t xml:space="preserve"> </w:t>
      </w:r>
      <w:r>
        <w:t xml:space="preserve">Following</w:t>
      </w:r>
      <w:r>
        <w:t xml:space="preserve"> </w:t>
      </w:r>
      <w:r>
        <w:t xml:space="preserve">Deaton (</w:t>
      </w:r>
      <w:hyperlink w:anchor="ref-deaton_1989">
        <w:r>
          <w:rPr>
            <w:rStyle w:val="Hyperlink"/>
          </w:rPr>
          <w:t xml:space="preserve">1989</w:t>
        </w:r>
      </w:hyperlink>
      <w:r>
        <w:t xml:space="preserve">)</w:t>
      </w:r>
      <w:r>
        <w:t xml:space="preserve">, for a small price change the loss of a household’s real income, as a share of its spending, is approximately its budget-share-weighted price change. The rise in the bottom-30% CPI is therefore the extra spending a poor family needs to buy the same basket, and multiplied by the poverty line it gives the peso cost of a fuel shock to a poor family (RQ3).</w:t>
      </w:r>
    </w:p>
    <w:p>
      <w:pPr>
        <w:pStyle w:val="BodyText"/>
      </w:pPr>
      <w:r>
        <w:rPr>
          <w:b/>
          <w:bCs/>
        </w:rPr>
        <w:t xml:space="preserve">Oil-specific transmission.</w:t>
      </w:r>
      <w:r>
        <w:t xml:space="preserve"> </w:t>
      </w:r>
      <w:r>
        <w:t xml:space="preserve">Equations (3) and (4) describe the direct and indirect routes of</w:t>
      </w:r>
      <w:r>
        <w:t xml:space="preserve"> </w:t>
      </w:r>
      <w:r>
        <w:t xml:space="preserve">Kilian (</w:t>
      </w:r>
      <w:hyperlink w:anchor="ref-kilian_2008">
        <w:r>
          <w:rPr>
            <w:rStyle w:val="Hyperlink"/>
          </w:rPr>
          <w:t xml:space="preserve">2008</w:t>
        </w:r>
      </w:hyperlink>
      <w:r>
        <w:t xml:space="preserve">)</w:t>
      </w:r>
      <w:r>
        <w:t xml:space="preserve">. The second-round route of</w:t>
      </w:r>
      <w:r>
        <w:t xml:space="preserve"> </w:t>
      </w:r>
      <w:r>
        <w:t xml:space="preserve">Blanchard and Galí (</w:t>
      </w:r>
      <w:hyperlink w:anchor="ref-blanchard_gali_2010">
        <w:r>
          <w:rPr>
            <w:rStyle w:val="Hyperlink"/>
          </w:rPr>
          <w:t xml:space="preserve">2010</w:t>
        </w:r>
      </w:hyperlink>
      <w:r>
        <w:t xml:space="preserve">)</w:t>
      </w:r>
      <w:r>
        <w:t xml:space="preserve">, through wages and expectations, adds to the indirect route over time. The empirical model therefore traces the effect month by month for a year, rather than measuring it once.</w:t>
      </w:r>
    </w:p>
    <w:bookmarkEnd w:id="32"/>
    <w:bookmarkStart w:id="36" w:name="conceptual-framework"/>
    <w:p>
      <w:pPr>
        <w:pStyle w:val="Heading2"/>
      </w:pPr>
      <w:r>
        <w:t xml:space="preserve">2.8 Conceptual framework</w:t>
      </w:r>
    </w:p>
    <w:p>
      <w:pPr>
        <w:pStyle w:val="FirstParagraph"/>
      </w:pPr>
      <w:r>
        <w:t xml:space="preserve">Figure 1 summarises the study. The independent variable (X) is the retail fuel price shock. The dependent variables (Y) are the inflation of all income households and of the bottom 30% (RQ1) and the gap between them (RQ2). The arrow is the pass-through, which the theory predicts depends on the fuel intensity of each group’s basket.</w:t>
      </w:r>
    </w:p>
    <w:p>
      <w:pPr>
        <w:pStyle w:val="CaptionedFigure"/>
      </w:pPr>
      <w:r>
        <w:drawing>
          <wp:inline>
            <wp:extent cx="5349240" cy="1637829"/>
            <wp:effectExtent b="0" l="0" r="0" t="0"/>
            <wp:docPr descr="Figure 1. Conceptual framework: the retail fuel price shock (X) and the inflation of each household group and the gap between them (Y)." title="" id="34" name="Picture"/>
            <a:graphic>
              <a:graphicData uri="http://schemas.openxmlformats.org/drawingml/2006/picture">
                <pic:pic>
                  <pic:nvPicPr>
                    <pic:cNvPr descr="../output/figures/fig01_conceptual_framework.png" id="35" name="Picture"/>
                    <pic:cNvPicPr>
                      <a:picLocks noChangeArrowheads="1" noChangeAspect="1"/>
                    </pic:cNvPicPr>
                  </pic:nvPicPr>
                  <pic:blipFill>
                    <a:blip r:embed="rId33"/>
                    <a:stretch>
                      <a:fillRect/>
                    </a:stretch>
                  </pic:blipFill>
                  <pic:spPr bwMode="auto">
                    <a:xfrm>
                      <a:off x="0" y="0"/>
                      <a:ext cx="5349240" cy="1637829"/>
                    </a:xfrm>
                    <a:prstGeom prst="rect">
                      <a:avLst/>
                    </a:prstGeom>
                    <a:noFill/>
                    <a:ln w="9525">
                      <a:noFill/>
                      <a:headEnd/>
                      <a:tailEnd/>
                    </a:ln>
                  </pic:spPr>
                </pic:pic>
              </a:graphicData>
            </a:graphic>
          </wp:inline>
        </w:drawing>
      </w:r>
    </w:p>
    <w:p>
      <w:pPr>
        <w:pStyle w:val="ImageCaption"/>
      </w:pPr>
      <w:r>
        <w:t xml:space="preserve">Figure 1. Conceptual framework: the retail fuel price shock (X) and the inflation of each household group and the gap between them (Y).</w:t>
      </w:r>
    </w:p>
    <w:bookmarkEnd w:id="36"/>
    <w:bookmarkEnd w:id="37"/>
    <w:bookmarkStart w:id="52" w:name="chapter-3.-methodology"/>
    <w:p>
      <w:pPr>
        <w:pStyle w:val="Heading1"/>
      </w:pPr>
      <w:r>
        <w:t xml:space="preserve">Chapter 3. Methodology</w:t>
      </w:r>
    </w:p>
    <w:bookmarkStart w:id="38" w:name="research-design"/>
    <w:p>
      <w:pPr>
        <w:pStyle w:val="Heading2"/>
      </w:pPr>
      <w:r>
        <w:t xml:space="preserve">3.1 Research design</w:t>
      </w:r>
    </w:p>
    <w:p>
      <w:pPr>
        <w:pStyle w:val="FirstParagraph"/>
      </w:pPr>
      <w:r>
        <w:t xml:space="preserve">The study is quantitative and uses secondary, publicly available monthly data. It combines descriptive time-series analysis (Objective 1), econometric estimation with local projections on national time series and a regional panel (Objective 2), and an out-of-sample and accounting analysis of the 2026 shock (Objective 3). The estimation plan was written down before any Philippine estimate was produced; analyses added after the first results were seen are labelled as such.</w:t>
      </w:r>
    </w:p>
    <w:bookmarkEnd w:id="38"/>
    <w:bookmarkStart w:id="41" w:name="data"/>
    <w:p>
      <w:pPr>
        <w:pStyle w:val="Heading2"/>
      </w:pPr>
      <w:r>
        <w:t xml:space="preserve">3.2 Data</w:t>
      </w:r>
    </w:p>
    <w:bookmarkStart w:id="39" w:name="sources-and-variables"/>
    <w:p>
      <w:pPr>
        <w:pStyle w:val="Heading3"/>
      </w:pPr>
      <w:r>
        <w:t xml:space="preserve">3.2.1 Sources and variables</w:t>
      </w:r>
    </w:p>
    <w:p>
      <w:pPr>
        <w:pStyle w:val="FirstParagraph"/>
      </w:pPr>
      <w:r>
        <w:t xml:space="preserve">Table 1 lists the data. All price data come from PSA OpenSTAT</w:t>
      </w:r>
      <w:r>
        <w:t xml:space="preserve"> </w:t>
      </w:r>
      <w:r>
        <w:t xml:space="preserve">(</w:t>
      </w:r>
      <w:hyperlink w:anchor="ref-psa_openstat_2026">
        <w:r>
          <w:rPr>
            <w:rStyle w:val="Hyperlink"/>
          </w:rPr>
          <w:t xml:space="preserve">Philippine Statistics Authority 2026</w:t>
        </w:r>
      </w:hyperlink>
      <w:r>
        <w:t xml:space="preserve">)</w:t>
      </w:r>
      <w:r>
        <w:t xml:space="preserve"> </w:t>
      </w:r>
      <w:r>
        <w:t xml:space="preserve">and were downloaded through its public interface on 4 October 2026. Appendix C gives the link to every source and shows which data, script and output file lie behind every table and figure.</w:t>
      </w:r>
    </w:p>
    <w:p>
      <w:pPr>
        <w:pStyle w:val="TableCaption"/>
      </w:pPr>
      <w:r>
        <w:t xml:space="preserve">Table 1. Data sources and variables</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1. Data sources and variables"/>
      </w:tblPr>
      <w:tblGrid>
        <w:gridCol w:w="1584"/>
        <w:gridCol w:w="1584"/>
        <w:gridCol w:w="1584"/>
        <w:gridCol w:w="1584"/>
        <w:gridCol w:w="1584"/>
      </w:tblGrid>
      <w:tr>
        <w:trPr>
          <w:tblHeader w:val="on"/>
        </w:trPr>
        <w:tc>
          <w:tcPr>
            <w:tcBorders>
              <w:bottom w:val="single" w:sz="6" w:space="0" w:color="000000"/>
            </w:tcBorders>
          </w:tcPr>
          <w:p>
            <w:pPr>
              <w:pStyle w:val="Compact"/>
              <w:spacing w:before="0" w:after="0" w:line="240" w:lineRule="auto"/>
              <w:ind w:firstLine="0" w:left="0"/>
            </w:pPr>
            <w:r>
              <w:rPr>
                <w:sz w:val="20"/>
                <w:szCs w:val="20"/>
              </w:rPr>
              <w:t xml:space="preserve">Variable</w:t>
            </w:r>
          </w:p>
        </w:tc>
        <w:tc>
          <w:tcPr>
            <w:tcBorders>
              <w:bottom w:val="single" w:sz="6" w:space="0" w:color="000000"/>
            </w:tcBorders>
          </w:tcPr>
          <w:p>
            <w:pPr>
              <w:pStyle w:val="Compact"/>
              <w:spacing w:before="0" w:after="0" w:line="240" w:lineRule="auto"/>
              <w:ind w:firstLine="0" w:left="0"/>
            </w:pPr>
            <w:r>
              <w:rPr>
                <w:sz w:val="20"/>
                <w:szCs w:val="20"/>
              </w:rPr>
              <w:t xml:space="preserve">Symbol</w:t>
            </w:r>
          </w:p>
        </w:tc>
        <w:tc>
          <w:tcPr>
            <w:tcBorders>
              <w:bottom w:val="single" w:sz="6" w:space="0" w:color="000000"/>
            </w:tcBorders>
          </w:tcPr>
          <w:p>
            <w:pPr>
              <w:pStyle w:val="Compact"/>
              <w:spacing w:before="0" w:after="0" w:line="240" w:lineRule="auto"/>
              <w:ind w:firstLine="0" w:left="0"/>
            </w:pPr>
            <w:r>
              <w:rPr>
                <w:sz w:val="20"/>
                <w:szCs w:val="20"/>
              </w:rPr>
              <w:t xml:space="preserve">Source</w:t>
            </w:r>
          </w:p>
        </w:tc>
        <w:tc>
          <w:tcPr>
            <w:tcBorders>
              <w:bottom w:val="single" w:sz="6" w:space="0" w:color="000000"/>
            </w:tcBorders>
          </w:tcPr>
          <w:p>
            <w:pPr>
              <w:pStyle w:val="Compact"/>
              <w:spacing w:before="0" w:after="0" w:line="240" w:lineRule="auto"/>
              <w:ind w:firstLine="0" w:left="0"/>
            </w:pPr>
            <w:r>
              <w:rPr>
                <w:sz w:val="20"/>
                <w:szCs w:val="20"/>
              </w:rPr>
              <w:t xml:space="preserve">Coverage</w:t>
            </w:r>
          </w:p>
        </w:tc>
        <w:tc>
          <w:tcPr>
            <w:tcBorders>
              <w:bottom w:val="single" w:sz="6" w:space="0" w:color="000000"/>
            </w:tcBorders>
          </w:tcPr>
          <w:p>
            <w:pPr>
              <w:pStyle w:val="Compact"/>
              <w:spacing w:before="0" w:after="0" w:line="240" w:lineRule="auto"/>
              <w:ind w:firstLine="0" w:left="0"/>
            </w:pPr>
            <w:r>
              <w:rPr>
                <w:sz w:val="20"/>
                <w:szCs w:val="20"/>
              </w:rPr>
              <w:t xml:space="preserve">Use</w:t>
            </w:r>
          </w:p>
        </w:tc>
      </w:tr>
      <w:tr>
        <w:tc>
          <w:tcPr/>
          <w:p>
            <w:pPr>
              <w:pStyle w:val="Compact"/>
              <w:spacing w:before="0" w:after="0" w:line="240" w:lineRule="auto"/>
              <w:ind w:firstLine="0" w:left="0"/>
            </w:pPr>
            <w:r>
              <w:rPr>
                <w:sz w:val="20"/>
                <w:szCs w:val="20"/>
              </w:rPr>
              <w:t xml:space="preserve">CPI, all income households, all items and 13 divisions (2018 = 100)</w:t>
            </w:r>
          </w:p>
        </w:tc>
        <w:tc>
          <w:tcPr/>
          <w:p>
            <w:pPr>
              <w:pStyle w:val="Compact"/>
              <w:spacing w:before="0" w:after="0" w:line="240" w:lineRule="auto"/>
              <w:ind w:firstLine="0" w:left="0"/>
            </w:pPr>
            <m:oMath>
              <m:sSup>
                <m:e>
                  <m:r>
                    <m:t>P</m:t>
                  </m:r>
                </m:e>
                <m:sup>
                  <m:r>
                    <m:t>A</m:t>
                  </m:r>
                </m:sup>
              </m:sSup>
            </m:oMath>
          </w:p>
        </w:tc>
        <w:tc>
          <w:tcPr/>
          <w:p>
            <w:pPr>
              <w:pStyle w:val="Compact"/>
              <w:spacing w:before="0" w:after="0" w:line="240" w:lineRule="auto"/>
              <w:ind w:firstLine="0" w:left="0"/>
            </w:pPr>
            <w:r>
              <w:rPr>
                <w:sz w:val="20"/>
                <w:szCs w:val="20"/>
              </w:rPr>
              <w:t xml:space="preserve">PSA OpenSTAT</w:t>
            </w:r>
          </w:p>
        </w:tc>
        <w:tc>
          <w:tcPr/>
          <w:p>
            <w:pPr>
              <w:pStyle w:val="Compact"/>
              <w:spacing w:before="0" w:after="0" w:line="240" w:lineRule="auto"/>
              <w:ind w:firstLine="0" w:left="0"/>
            </w:pPr>
            <w:r>
              <w:rPr>
                <w:sz w:val="20"/>
                <w:szCs w:val="20"/>
              </w:rPr>
              <w:t xml:space="preserve">Jan 1994–Aug 2026; national and 17 regions</w:t>
            </w:r>
          </w:p>
        </w:tc>
        <w:tc>
          <w:tcPr/>
          <w:p>
            <w:pPr>
              <w:pStyle w:val="Compact"/>
              <w:spacing w:before="0" w:after="0" w:line="240" w:lineRule="auto"/>
              <w:ind w:firstLine="0" w:left="0"/>
            </w:pPr>
            <w:r>
              <w:rPr>
                <w:sz w:val="20"/>
                <w:szCs w:val="20"/>
              </w:rPr>
              <w:t xml:space="preserve">All objectives</w:t>
            </w:r>
          </w:p>
        </w:tc>
      </w:tr>
      <w:tr>
        <w:tc>
          <w:tcPr/>
          <w:p>
            <w:pPr>
              <w:pStyle w:val="Compact"/>
              <w:spacing w:before="0" w:after="0" w:line="240" w:lineRule="auto"/>
              <w:ind w:firstLine="0" w:left="0"/>
            </w:pPr>
            <w:r>
              <w:rPr>
                <w:sz w:val="20"/>
                <w:szCs w:val="20"/>
              </w:rPr>
              <w:t xml:space="preserve">CPI, bottom 30% income households (2018 = 100)</w:t>
            </w:r>
          </w:p>
        </w:tc>
        <w:tc>
          <w:tcPr/>
          <w:p>
            <w:pPr>
              <w:pStyle w:val="Compact"/>
              <w:spacing w:before="0" w:after="0" w:line="240" w:lineRule="auto"/>
              <w:ind w:firstLine="0" w:left="0"/>
            </w:pPr>
            <m:oMath>
              <m:sSup>
                <m:e>
                  <m:r>
                    <m:t>P</m:t>
                  </m:r>
                </m:e>
                <m:sup>
                  <m:r>
                    <m:t>B</m:t>
                  </m:r>
                </m:sup>
              </m:sSup>
            </m:oMath>
          </w:p>
        </w:tc>
        <w:tc>
          <w:tcPr/>
          <w:p>
            <w:pPr>
              <w:pStyle w:val="Compact"/>
              <w:spacing w:before="0" w:after="0" w:line="240" w:lineRule="auto"/>
              <w:ind w:firstLine="0" w:left="0"/>
            </w:pPr>
            <w:r>
              <w:rPr>
                <w:sz w:val="20"/>
                <w:szCs w:val="20"/>
              </w:rPr>
              <w:t xml:space="preserve">PSA OpenSTAT</w:t>
            </w:r>
          </w:p>
        </w:tc>
        <w:tc>
          <w:tcPr/>
          <w:p>
            <w:pPr>
              <w:pStyle w:val="Compact"/>
              <w:spacing w:before="0" w:after="0" w:line="240" w:lineRule="auto"/>
              <w:ind w:firstLine="0" w:left="0"/>
            </w:pPr>
            <w:r>
              <w:rPr>
                <w:sz w:val="20"/>
                <w:szCs w:val="20"/>
              </w:rPr>
              <w:t xml:space="preserve">Jan 2000–Aug 2026 (divisions from 2012); national and 17 regions</w:t>
            </w:r>
          </w:p>
        </w:tc>
        <w:tc>
          <w:tcPr/>
          <w:p>
            <w:pPr>
              <w:pStyle w:val="Compact"/>
              <w:spacing w:before="0" w:after="0" w:line="240" w:lineRule="auto"/>
              <w:ind w:firstLine="0" w:left="0"/>
            </w:pPr>
            <w:r>
              <w:rPr>
                <w:sz w:val="20"/>
                <w:szCs w:val="20"/>
              </w:rPr>
              <w:t xml:space="preserve">All objectives</w:t>
            </w:r>
          </w:p>
        </w:tc>
      </w:tr>
      <w:tr>
        <w:tc>
          <w:tcPr/>
          <w:p>
            <w:pPr>
              <w:pStyle w:val="Compact"/>
              <w:spacing w:before="0" w:after="0" w:line="240" w:lineRule="auto"/>
              <w:ind w:firstLine="0" w:left="0"/>
            </w:pPr>
            <w:r>
              <w:rPr>
                <w:sz w:val="20"/>
                <w:szCs w:val="20"/>
              </w:rPr>
              <w:t xml:space="preserve">Retail fuel index: CPI 07.2.2, fuels and lubricants for personal transport</w:t>
            </w:r>
          </w:p>
        </w:tc>
        <w:tc>
          <w:tcPr/>
          <w:p>
            <w:pPr>
              <w:pStyle w:val="Compact"/>
              <w:spacing w:before="0" w:after="0" w:line="240" w:lineRule="auto"/>
              <w:ind w:firstLine="0" w:left="0"/>
            </w:pPr>
            <m:oMath>
              <m:r>
                <m:t>F</m:t>
              </m:r>
            </m:oMath>
          </w:p>
        </w:tc>
        <w:tc>
          <w:tcPr/>
          <w:p>
            <w:pPr>
              <w:pStyle w:val="Compact"/>
              <w:spacing w:before="0" w:after="0" w:line="240" w:lineRule="auto"/>
              <w:ind w:firstLine="0" w:left="0"/>
            </w:pPr>
            <w:r>
              <w:rPr>
                <w:sz w:val="20"/>
                <w:szCs w:val="20"/>
              </w:rPr>
              <w:t xml:space="preserve">PSA OpenSTAT</w:t>
            </w:r>
          </w:p>
        </w:tc>
        <w:tc>
          <w:tcPr/>
          <w:p>
            <w:pPr>
              <w:pStyle w:val="Compact"/>
              <w:spacing w:before="0" w:after="0" w:line="240" w:lineRule="auto"/>
              <w:ind w:firstLine="0" w:left="0"/>
            </w:pPr>
            <w:r>
              <w:rPr>
                <w:sz w:val="20"/>
                <w:szCs w:val="20"/>
              </w:rPr>
              <w:t xml:space="preserve">Jan 1994–Aug 2026; national and 17 regions</w:t>
            </w:r>
          </w:p>
        </w:tc>
        <w:tc>
          <w:tcPr/>
          <w:p>
            <w:pPr>
              <w:pStyle w:val="Compact"/>
              <w:spacing w:before="0" w:after="0" w:line="240" w:lineRule="auto"/>
              <w:ind w:firstLine="0" w:left="0"/>
            </w:pPr>
            <w:r>
              <w:rPr>
                <w:sz w:val="20"/>
                <w:szCs w:val="20"/>
              </w:rPr>
              <w:t xml:space="preserve">Fuel price shock</w:t>
            </w:r>
          </w:p>
        </w:tc>
      </w:tr>
      <w:tr>
        <w:tc>
          <w:tcPr/>
          <w:p>
            <w:pPr>
              <w:pStyle w:val="Compact"/>
              <w:spacing w:before="0" w:after="0" w:line="240" w:lineRule="auto"/>
              <w:ind w:firstLine="0" w:left="0"/>
            </w:pPr>
            <w:r>
              <w:rPr>
                <w:sz w:val="20"/>
                <w:szCs w:val="20"/>
              </w:rPr>
              <w:t xml:space="preserve">CPI basket weights, both groups (2018)</w:t>
            </w:r>
          </w:p>
        </w:tc>
        <w:tc>
          <w:tcPr/>
          <w:p>
            <w:pPr>
              <w:pStyle w:val="Compact"/>
              <w:spacing w:before="0" w:after="0" w:line="240" w:lineRule="auto"/>
              <w:ind w:firstLine="0" w:left="0"/>
            </w:pPr>
            <m:oMath>
              <m:sSubSup>
                <m:e>
                  <m:r>
                    <m:t>w</m:t>
                  </m:r>
                </m:e>
                <m:sub>
                  <m:r>
                    <m:t>k</m:t>
                  </m:r>
                </m:sub>
                <m:sup>
                  <m:r>
                    <m:t>g</m:t>
                  </m:r>
                </m:sup>
              </m:sSubSup>
            </m:oMath>
          </w:p>
        </w:tc>
        <w:tc>
          <w:tcPr/>
          <w:p>
            <w:pPr>
              <w:pStyle w:val="Compact"/>
              <w:spacing w:before="0" w:after="0" w:line="240" w:lineRule="auto"/>
              <w:ind w:firstLine="0" w:left="0"/>
            </w:pPr>
            <w:r>
              <w:rPr>
                <w:sz w:val="20"/>
                <w:szCs w:val="20"/>
              </w:rPr>
              <w:t xml:space="preserve">PSA OpenSTAT</w:t>
            </w:r>
          </w:p>
        </w:tc>
        <w:tc>
          <w:tcPr/>
          <w:p>
            <w:pPr>
              <w:pStyle w:val="Compact"/>
              <w:spacing w:before="0" w:after="0" w:line="240" w:lineRule="auto"/>
              <w:ind w:firstLine="0" w:left="0"/>
            </w:pPr>
            <w:r>
              <w:rPr>
                <w:sz w:val="20"/>
                <w:szCs w:val="20"/>
              </w:rPr>
              <w:t xml:space="preserve">National and regional</w:t>
            </w:r>
          </w:p>
        </w:tc>
        <w:tc>
          <w:tcPr/>
          <w:p>
            <w:pPr>
              <w:pStyle w:val="Compact"/>
              <w:spacing w:before="0" w:after="0" w:line="240" w:lineRule="auto"/>
              <w:ind w:firstLine="0" w:left="0"/>
            </w:pPr>
            <w:r>
              <w:rPr>
                <w:sz w:val="20"/>
                <w:szCs w:val="20"/>
              </w:rPr>
              <w:t xml:space="preserve">Decomposition; peso cost</w:t>
            </w:r>
          </w:p>
        </w:tc>
      </w:tr>
      <w:tr>
        <w:tc>
          <w:tcPr/>
          <w:p>
            <w:pPr>
              <w:pStyle w:val="Compact"/>
              <w:spacing w:before="0" w:after="0" w:line="240" w:lineRule="auto"/>
              <w:ind w:firstLine="0" w:left="0"/>
            </w:pPr>
            <w:r>
              <w:rPr>
                <w:sz w:val="20"/>
                <w:szCs w:val="20"/>
              </w:rPr>
              <w:t xml:space="preserve">Poverty incidence and poverty threshold</w:t>
            </w:r>
          </w:p>
        </w:tc>
        <w:tc>
          <w:tcPr/>
          <w:p>
            <w:pPr>
              <w:pStyle w:val="Compact"/>
              <w:spacing w:before="0" w:after="0" w:line="240" w:lineRule="auto"/>
              <w:ind w:firstLine="0" w:left="0"/>
            </w:pPr>
            <w:r>
              <w:rPr>
                <w:sz w:val="20"/>
                <w:szCs w:val="20"/>
              </w:rPr>
              <w:t xml:space="preserve">—</w:t>
            </w:r>
          </w:p>
        </w:tc>
        <w:tc>
          <w:tcPr/>
          <w:p>
            <w:pPr>
              <w:pStyle w:val="Compact"/>
              <w:spacing w:before="0" w:after="0" w:line="240" w:lineRule="auto"/>
              <w:ind w:firstLine="0" w:left="0"/>
            </w:pPr>
            <w:r>
              <w:rPr>
                <w:sz w:val="20"/>
                <w:szCs w:val="20"/>
              </w:rPr>
              <w:t xml:space="preserve">PSA</w:t>
            </w:r>
          </w:p>
        </w:tc>
        <w:tc>
          <w:tcPr/>
          <w:p>
            <w:pPr>
              <w:pStyle w:val="Compact"/>
              <w:spacing w:before="0" w:after="0" w:line="240" w:lineRule="auto"/>
              <w:ind w:firstLine="0" w:left="0"/>
            </w:pPr>
            <w:r>
              <w:rPr>
                <w:sz w:val="20"/>
                <w:szCs w:val="20"/>
              </w:rPr>
              <w:t xml:space="preserve">2018, 2023; regions</w:t>
            </w:r>
          </w:p>
        </w:tc>
        <w:tc>
          <w:tcPr/>
          <w:p>
            <w:pPr>
              <w:pStyle w:val="Compact"/>
              <w:spacing w:before="0" w:after="0" w:line="240" w:lineRule="auto"/>
              <w:ind w:firstLine="0" w:left="0"/>
            </w:pPr>
            <w:r>
              <w:rPr>
                <w:sz w:val="20"/>
                <w:szCs w:val="20"/>
              </w:rPr>
              <w:t xml:space="preserve">Peso cost</w:t>
            </w:r>
          </w:p>
        </w:tc>
      </w:tr>
      <w:tr>
        <w:tc>
          <w:tcPr/>
          <w:p>
            <w:pPr>
              <w:pStyle w:val="Compact"/>
              <w:spacing w:before="0" w:after="0" w:line="240" w:lineRule="auto"/>
              <w:ind w:firstLine="0" w:left="0"/>
            </w:pPr>
            <w:r>
              <w:rPr>
                <w:sz w:val="20"/>
                <w:szCs w:val="20"/>
              </w:rPr>
              <w:t xml:space="preserve">Dubai crude oil price; peso–dollar rate</w:t>
            </w:r>
          </w:p>
        </w:tc>
        <w:tc>
          <w:tcPr/>
          <w:p>
            <w:pPr>
              <w:pStyle w:val="Compact"/>
              <w:spacing w:before="0" w:after="0" w:line="240" w:lineRule="auto"/>
              <w:ind w:firstLine="0" w:left="0"/>
            </w:pPr>
            <w:r>
              <w:rPr>
                <w:sz w:val="20"/>
                <w:szCs w:val="20"/>
              </w:rPr>
              <w:t xml:space="preserve">—</w:t>
            </w:r>
          </w:p>
        </w:tc>
        <w:tc>
          <w:tcPr/>
          <w:p>
            <w:pPr>
              <w:pStyle w:val="Compact"/>
              <w:spacing w:before="0" w:after="0" w:line="240" w:lineRule="auto"/>
              <w:ind w:firstLine="0" w:left="0"/>
            </w:pPr>
            <w:r>
              <w:rPr>
                <w:sz w:val="20"/>
                <w:szCs w:val="20"/>
              </w:rPr>
              <w:t xml:space="preserve">World Bank; BSP</w:t>
            </w:r>
          </w:p>
        </w:tc>
        <w:tc>
          <w:tcPr/>
          <w:p>
            <w:pPr>
              <w:pStyle w:val="Compact"/>
              <w:spacing w:before="0" w:after="0" w:line="240" w:lineRule="auto"/>
              <w:ind w:firstLine="0" w:left="0"/>
            </w:pPr>
            <w:r>
              <w:rPr>
                <w:sz w:val="20"/>
                <w:szCs w:val="20"/>
              </w:rPr>
              <w:t xml:space="preserve">Monthly</w:t>
            </w:r>
          </w:p>
        </w:tc>
        <w:tc>
          <w:tcPr/>
          <w:p>
            <w:pPr>
              <w:pStyle w:val="Compact"/>
              <w:spacing w:before="0" w:after="0" w:line="240" w:lineRule="auto"/>
              <w:ind w:firstLine="0" w:left="0"/>
            </w:pPr>
            <w:r>
              <w:rPr>
                <w:sz w:val="20"/>
                <w:szCs w:val="20"/>
              </w:rPr>
              <w:t xml:space="preserve">Robustness</w:t>
            </w:r>
          </w:p>
        </w:tc>
      </w:tr>
      <w:tr>
        <w:tc>
          <w:tcPr/>
          <w:p>
            <w:pPr>
              <w:pStyle w:val="Compact"/>
              <w:spacing w:before="0" w:after="0" w:line="240" w:lineRule="auto"/>
              <w:ind w:firstLine="0" w:left="0"/>
            </w:pPr>
            <w:r>
              <w:rPr>
                <w:sz w:val="20"/>
                <w:szCs w:val="20"/>
              </w:rPr>
              <w:t xml:space="preserve">BSP policy rate; FAO Food Price Index</w:t>
            </w:r>
          </w:p>
        </w:tc>
        <w:tc>
          <w:tcPr/>
          <w:p>
            <w:pPr>
              <w:pStyle w:val="Compact"/>
              <w:spacing w:before="0" w:after="0" w:line="240" w:lineRule="auto"/>
              <w:ind w:firstLine="0" w:left="0"/>
            </w:pPr>
            <w:r>
              <w:rPr>
                <w:sz w:val="20"/>
                <w:szCs w:val="20"/>
              </w:rPr>
              <w:t xml:space="preserve">—</w:t>
            </w:r>
          </w:p>
        </w:tc>
        <w:tc>
          <w:tcPr/>
          <w:p>
            <w:pPr>
              <w:pStyle w:val="Compact"/>
              <w:spacing w:before="0" w:after="0" w:line="240" w:lineRule="auto"/>
              <w:ind w:firstLine="0" w:left="0"/>
            </w:pPr>
            <w:r>
              <w:rPr>
                <w:sz w:val="20"/>
                <w:szCs w:val="20"/>
              </w:rPr>
              <w:t xml:space="preserve">BIS; FAO</w:t>
            </w:r>
          </w:p>
        </w:tc>
        <w:tc>
          <w:tcPr/>
          <w:p>
            <w:pPr>
              <w:pStyle w:val="Compact"/>
              <w:spacing w:before="0" w:after="0" w:line="240" w:lineRule="auto"/>
              <w:ind w:firstLine="0" w:left="0"/>
            </w:pPr>
            <w:r>
              <w:rPr>
                <w:sz w:val="20"/>
                <w:szCs w:val="20"/>
              </w:rPr>
              <w:t xml:space="preserve">Monthly</w:t>
            </w:r>
          </w:p>
        </w:tc>
        <w:tc>
          <w:tcPr/>
          <w:p>
            <w:pPr>
              <w:pStyle w:val="Compact"/>
              <w:spacing w:before="0" w:after="0" w:line="240" w:lineRule="auto"/>
              <w:ind w:firstLine="0" w:left="0"/>
            </w:pPr>
            <w:r>
              <w:rPr>
                <w:sz w:val="20"/>
                <w:szCs w:val="20"/>
              </w:rPr>
              <w:t xml:space="preserve">Robustness</w:t>
            </w:r>
          </w:p>
        </w:tc>
      </w:tr>
      <w:tr>
        <w:tc>
          <w:tcPr/>
          <w:p>
            <w:pPr>
              <w:pStyle w:val="Compact"/>
              <w:spacing w:before="0" w:after="0" w:line="240" w:lineRule="auto"/>
              <w:ind w:firstLine="0" w:left="0"/>
            </w:pPr>
            <w:r>
              <w:rPr>
                <w:sz w:val="20"/>
                <w:szCs w:val="20"/>
              </w:rPr>
              <w:t xml:space="preserve">Manila pump price (RON 91)</w:t>
            </w:r>
          </w:p>
        </w:tc>
        <w:tc>
          <w:tcPr/>
          <w:p>
            <w:pPr>
              <w:pStyle w:val="Compact"/>
              <w:spacing w:before="0" w:after="0" w:line="240" w:lineRule="auto"/>
              <w:ind w:firstLine="0" w:left="0"/>
            </w:pPr>
            <w:r>
              <w:rPr>
                <w:sz w:val="20"/>
                <w:szCs w:val="20"/>
              </w:rPr>
              <w:t xml:space="preserve">—</w:t>
            </w:r>
          </w:p>
        </w:tc>
        <w:tc>
          <w:tcPr/>
          <w:p>
            <w:pPr>
              <w:pStyle w:val="Compact"/>
              <w:spacing w:before="0" w:after="0" w:line="240" w:lineRule="auto"/>
              <w:ind w:firstLine="0" w:left="0"/>
            </w:pPr>
            <w:r>
              <w:rPr>
                <w:sz w:val="20"/>
                <w:szCs w:val="20"/>
              </w:rPr>
              <w:t xml:space="preserve">World Bank</w:t>
            </w:r>
          </w:p>
        </w:tc>
        <w:tc>
          <w:tcPr/>
          <w:p>
            <w:pPr>
              <w:pStyle w:val="Compact"/>
              <w:spacing w:before="0" w:after="0" w:line="240" w:lineRule="auto"/>
              <w:ind w:firstLine="0" w:left="0"/>
            </w:pPr>
            <w:r>
              <w:rPr>
                <w:sz w:val="20"/>
                <w:szCs w:val="20"/>
              </w:rPr>
              <w:t xml:space="preserve">Jan 2017–Mar 2025</w:t>
            </w:r>
          </w:p>
        </w:tc>
        <w:tc>
          <w:tcPr/>
          <w:p>
            <w:pPr>
              <w:pStyle w:val="Compact"/>
              <w:spacing w:before="0" w:after="0" w:line="240" w:lineRule="auto"/>
              <w:ind w:firstLine="0" w:left="0"/>
            </w:pPr>
            <w:r>
              <w:rPr>
                <w:sz w:val="20"/>
                <w:szCs w:val="20"/>
              </w:rPr>
              <w:t xml:space="preserve">Check of the fuel index</w:t>
            </w:r>
          </w:p>
        </w:tc>
      </w:tr>
    </w:tbl>
    <w:bookmarkEnd w:id="39"/>
    <w:bookmarkStart w:id="40" w:name="data-collection-and-processing"/>
    <w:p>
      <w:pPr>
        <w:pStyle w:val="Heading3"/>
      </w:pPr>
      <w:r>
        <w:t xml:space="preserve">3.2.2 Data collection and processing</w:t>
      </w:r>
    </w:p>
    <w:p>
      <w:pPr>
        <w:pStyle w:val="FirstParagraph"/>
      </w:pPr>
      <w:r>
        <w:t xml:space="preserve">Data were collected by scripts, not by hand, so that every file can be downloaded again and every step repeated. Each raw file is kept unchanged and recorded in a source log with its link, download date, base year and coverage. Three processing decisions matter for the results.</w:t>
      </w:r>
    </w:p>
    <w:p>
      <w:pPr>
        <w:pStyle w:val="BodyText"/>
      </w:pPr>
      <w:r>
        <w:rPr>
          <w:i/>
          <w:iCs/>
        </w:rPr>
        <w:t xml:space="preserve">Base years.</w:t>
      </w:r>
      <w:r>
        <w:t xml:space="preserve"> </w:t>
      </w:r>
      <w:r>
        <w:t xml:space="preserve">All series are on PSA’s 2018 = 100 base. The bottom-30% index for all items joins PSA’s own back-calculated series for 2000–2011 and 2012–2017 to the current series from 2018. The changes in the months where series are joined were checked, and a robustness check adds markers for those months (Appendix B).</w:t>
      </w:r>
    </w:p>
    <w:p>
      <w:pPr>
        <w:pStyle w:val="BodyText"/>
      </w:pPr>
      <w:r>
        <w:rPr>
          <w:i/>
          <w:iCs/>
        </w:rPr>
        <w:t xml:space="preserve">Regions that changed.</w:t>
      </w:r>
      <w:r>
        <w:t xml:space="preserve"> </w:t>
      </w:r>
      <w:r>
        <w:t xml:space="preserve">In 2024 the Negros Island Region was created from parts of Regions VI and VII. PSA’s long history for the bottom 30% exists only under the older 17-region coding, so the study keeps the 17 older regions throughout; the two codings give identical figures for every other region over 2018–2025. For January–August 2026, published only under the new coding, each region’s new monthly changes are applied to its old level. The four regions whose boundaries changed (VI, VII, XII and BARMM) are marked, and dropping them in 2026 does not change the results (Appendix B). The regional panel is balanced: all 17 regions have every month.</w:t>
      </w:r>
    </w:p>
    <w:p>
      <w:pPr>
        <w:pStyle w:val="BodyText"/>
      </w:pPr>
      <w:r>
        <w:rPr>
          <w:i/>
          <w:iCs/>
        </w:rPr>
        <w:t xml:space="preserve">The fuel price.</w:t>
      </w:r>
      <w:r>
        <w:t xml:space="preserve"> </w:t>
      </w:r>
      <w:r>
        <w:t xml:space="preserve">The reference study’s retail price database is not public. The CPI sub-index 07.2.2 measures retail motor fuel prices; its monthly changes correlate at 0.87 with the World Bank’s Manila pump price over 2016–2025 and at 0.99 with PSA’s gasoline-only index.</w:t>
      </w:r>
    </w:p>
    <w:bookmarkEnd w:id="40"/>
    <w:bookmarkEnd w:id="41"/>
    <w:bookmarkStart w:id="42" w:name="methods-for-objective-1"/>
    <w:p>
      <w:pPr>
        <w:pStyle w:val="Heading2"/>
      </w:pPr>
      <w:r>
        <w:t xml:space="preserve">3.3 Methods for Objective 1</w:t>
      </w:r>
    </w:p>
    <w:p>
      <w:pPr>
        <w:pStyle w:val="FirstParagraph"/>
      </w:pPr>
      <w:r>
        <w:t xml:space="preserve">Monthly changes of the fuel index, both CPIs and the gap are summarised by their average, standard deviation, minimum and maximum, for the full period and for 2001–2012, 2013–2019, 2020–2025 and January–August 2026. Annual inflation is the average of the twelve monthly year-on-year rates. A</w:t>
      </w:r>
      <w:r>
        <w:t xml:space="preserve"> </w:t>
      </w:r>
      <w:r>
        <w:rPr>
          <w:i/>
          <w:iCs/>
        </w:rPr>
        <w:t xml:space="preserve">fuel-shock episode</w:t>
      </w:r>
      <w:r>
        <w:t xml:space="preserve"> </w:t>
      </w:r>
      <w:r>
        <w:t xml:space="preserve">is a run of at least three months in which the fuel index was at least 15% above its level a year earlier. For each region the study reports average inflation of both groups over 2001–2025 and the cumulative change in the gap. Augmented Dickey–Fuller tests check whether each series has a stable mean (is</w:t>
      </w:r>
      <w:r>
        <w:t xml:space="preserve"> </w:t>
      </w:r>
      <w:r>
        <w:rPr>
          <w:i/>
          <w:iCs/>
        </w:rPr>
        <w:t xml:space="preserve">stationary</w:t>
      </w:r>
      <w:r>
        <w:t xml:space="preserve">), which decides whether the model should use levels or monthly changes.</w:t>
      </w:r>
    </w:p>
    <w:bookmarkEnd w:id="42"/>
    <w:bookmarkStart w:id="46" w:name="the-local-projection-model"/>
    <w:p>
      <w:pPr>
        <w:pStyle w:val="Heading2"/>
      </w:pPr>
      <w:r>
        <w:t xml:space="preserve">3.4 The local projection model</w:t>
      </w:r>
    </w:p>
    <w:p>
      <w:pPr>
        <w:pStyle w:val="FirstParagraph"/>
      </w:pPr>
      <w:r>
        <w:t xml:space="preserve">A local projection answers one question, repeated for each month ahead: if the fuel price rises by 1% in month</w:t>
      </w:r>
      <w:r>
        <w:t xml:space="preserve"> </w:t>
      </w:r>
      <w:r>
        <w:rPr>
          <w:i/>
          <w:iCs/>
        </w:rPr>
        <w:t xml:space="preserve">t</w:t>
      </w:r>
      <w:r>
        <w:t xml:space="preserve">, by how much is inflation higher in month</w:t>
      </w:r>
      <w:r>
        <w:t xml:space="preserve"> </w:t>
      </w:r>
      <w:r>
        <w:rPr>
          <w:i/>
          <w:iCs/>
        </w:rPr>
        <w:t xml:space="preserve">t + h</w:t>
      </w:r>
      <w:r>
        <w:t xml:space="preserve">, compared with what would have happened otherwise? The answers for</w:t>
      </w:r>
      <w:r>
        <w:t xml:space="preserve"> </w:t>
      </w:r>
      <w:r>
        <w:rPr>
          <w:i/>
          <w:iCs/>
        </w:rPr>
        <w:t xml:space="preserve">h</w:t>
      </w:r>
      <w:r>
        <w:t xml:space="preserve"> </w:t>
      </w:r>
      <w:r>
        <w:t xml:space="preserve">= 0, 1, …, 12 form the</w:t>
      </w:r>
      <w:r>
        <w:t xml:space="preserve"> </w:t>
      </w:r>
      <w:r>
        <w:rPr>
          <w:i/>
          <w:iCs/>
        </w:rPr>
        <w:t xml:space="preserve">impulse response</w:t>
      </w:r>
      <w:r>
        <w:t xml:space="preserve">.</w:t>
      </w:r>
      <w:r>
        <w:t xml:space="preserve"> </w:t>
      </w:r>
      <w:r>
        <w:t xml:space="preserve">Jordà (</w:t>
      </w:r>
      <w:hyperlink w:anchor="ref-jorda_2005">
        <w:r>
          <w:rPr>
            <w:rStyle w:val="Hyperlink"/>
          </w:rPr>
          <w:t xml:space="preserve">2005</w:t>
        </w:r>
      </w:hyperlink>
      <w:r>
        <w:t xml:space="preserve">)</w:t>
      </w:r>
      <w:r>
        <w:t xml:space="preserve"> </w:t>
      </w:r>
      <w:r>
        <w:t xml:space="preserve">proposed estimating each answer with its own ordinary least squares (OLS) regression, instead of deriving all of them from a single model of the whole system (a vector autoregression). Figure 2 shows how it works.</w:t>
      </w:r>
    </w:p>
    <w:p>
      <w:pPr>
        <w:pStyle w:val="CaptionedFigure"/>
      </w:pPr>
      <w:r>
        <w:drawing>
          <wp:inline>
            <wp:extent cx="5646420" cy="4636832"/>
            <wp:effectExtent b="0" l="0" r="0" t="0"/>
            <wp:docPr descr="Figure 2. How a local projection works: (a) what one regression uses, for a horizon h; (b) one regression for each month ahead, assembled into the impulse response." title="" id="44" name="Picture"/>
            <a:graphic>
              <a:graphicData uri="http://schemas.openxmlformats.org/drawingml/2006/picture">
                <pic:pic>
                  <pic:nvPicPr>
                    <pic:cNvPr descr="../output/figures/fig02_local_projection.png" id="45" name="Picture"/>
                    <pic:cNvPicPr>
                      <a:picLocks noChangeArrowheads="1" noChangeAspect="1"/>
                    </pic:cNvPicPr>
                  </pic:nvPicPr>
                  <pic:blipFill>
                    <a:blip r:embed="rId43"/>
                    <a:stretch>
                      <a:fillRect/>
                    </a:stretch>
                  </pic:blipFill>
                  <pic:spPr bwMode="auto">
                    <a:xfrm>
                      <a:off x="0" y="0"/>
                      <a:ext cx="5646420" cy="4636832"/>
                    </a:xfrm>
                    <a:prstGeom prst="rect">
                      <a:avLst/>
                    </a:prstGeom>
                    <a:noFill/>
                    <a:ln w="9525">
                      <a:noFill/>
                      <a:headEnd/>
                      <a:tailEnd/>
                    </a:ln>
                  </pic:spPr>
                </pic:pic>
              </a:graphicData>
            </a:graphic>
          </wp:inline>
        </w:drawing>
      </w:r>
    </w:p>
    <w:p>
      <w:pPr>
        <w:pStyle w:val="ImageCaption"/>
      </w:pPr>
      <w:r>
        <w:t xml:space="preserve">Figure 2. How a local projection works: (a) what one regression uses, for a horizon h; (b) one regression for each month ahead, assembled into the impulse response.</w:t>
      </w:r>
    </w:p>
    <w:p>
      <w:pPr>
        <w:pStyle w:val="BodyText"/>
      </w:pPr>
      <w:r>
        <w:t xml:space="preserve">For each horizon</w:t>
      </w:r>
      <w:r>
        <w:t xml:space="preserve"> </w:t>
      </w:r>
      <w:r>
        <w:rPr>
          <w:i/>
          <w:iCs/>
        </w:rPr>
        <w:t xml:space="preserve">h</w:t>
      </w:r>
      <w:r>
        <w:t xml:space="preserve"> </w:t>
      </w:r>
      <w:r>
        <w:t xml:space="preserve">= 0, …, 12 the study estimates the model of</w:t>
      </w:r>
      <w:r>
        <w:t xml:space="preserve"> </w:t>
      </w:r>
      <w:r>
        <w:t xml:space="preserve">Kpodar and Liu (</w:t>
      </w:r>
      <w:hyperlink w:anchor="ref-kpodar_liu_2022">
        <w:r>
          <w:rPr>
            <w:rStyle w:val="Hyperlink"/>
          </w:rPr>
          <w:t xml:space="preserve">2022</w:t>
        </w:r>
      </w:hyperlink>
      <w:r>
        <w:t xml:space="preserve">)</w:t>
      </w:r>
      <w:r>
        <w:t xml:space="preserve">:</w:t>
      </w:r>
    </w:p>
    <w:p>
      <w:pPr>
        <w:pStyle w:val="BodyText"/>
      </w:pPr>
      <m:oMathPara>
        <m:oMathParaPr>
          <m:jc m:val="center"/>
        </m:oMathParaPr>
        <m:oMath>
          <m:sSub>
            <m:e>
              <m:r>
                <m:t>π</m:t>
              </m:r>
            </m:e>
            <m:sub>
              <m:r>
                <m:t>t</m:t>
              </m:r>
              <m:r>
                <m:rPr>
                  <m:sty m:val="p"/>
                </m:rPr>
                <m:t>+</m:t>
              </m:r>
              <m:r>
                <m:t>h</m:t>
              </m:r>
            </m:sub>
          </m:sSub>
          <m:r>
            <m:rPr>
              <m:sty m:val="p"/>
            </m:rPr>
            <m:t>=</m:t>
          </m:r>
          <m:sSub>
            <m:e>
              <m:r>
                <m:t>α</m:t>
              </m:r>
            </m:e>
            <m:sub>
              <m:r>
                <m:t>h</m:t>
              </m:r>
            </m:sub>
          </m:sSub>
          <m:r>
            <m:rPr>
              <m:sty m:val="p"/>
            </m:rPr>
            <m:t>+</m:t>
          </m:r>
          <m:sSub>
            <m:e>
              <m:r>
                <m:t>β</m:t>
              </m:r>
            </m:e>
            <m:sub>
              <m:r>
                <m:t>h</m:t>
              </m:r>
            </m:sub>
          </m:sSub>
          <m:sSub>
            <m:e>
              <m:r>
                <m:t>f</m:t>
              </m:r>
            </m:e>
            <m:sub>
              <m:r>
                <m:t>t</m:t>
              </m:r>
            </m:sub>
          </m:sSub>
          <m:r>
            <m:rPr>
              <m:sty m:val="p"/>
            </m:rPr>
            <m:t>+</m:t>
          </m:r>
          <m:nary>
            <m:naryPr>
              <m:chr m:val="∑"/>
              <m:limLoc m:val="undOvr"/>
              <m:subHide m:val="off"/>
              <m:supHide m:val="off"/>
            </m:naryPr>
            <m:sub>
              <m:r>
                <m:t>q</m:t>
              </m:r>
              <m:r>
                <m:rPr>
                  <m:sty m:val="p"/>
                </m:rPr>
                <m:t>=</m:t>
              </m:r>
              <m:r>
                <m:t>1</m:t>
              </m:r>
            </m:sub>
            <m:sup>
              <m:r>
                <m:t>12</m:t>
              </m:r>
            </m:sup>
            <m:e>
              <m:sSub>
                <m:e>
                  <m:r>
                    <m:t>γ</m:t>
                  </m:r>
                </m:e>
                <m:sub>
                  <m:r>
                    <m:t>q</m:t>
                  </m:r>
                </m:sub>
              </m:sSub>
            </m:e>
          </m:nary>
          <m:r>
            <m:t> </m:t>
          </m:r>
          <m:sSub>
            <m:e>
              <m:r>
                <m:t>π</m:t>
              </m:r>
            </m:e>
            <m:sub>
              <m:r>
                <m:t>t</m:t>
              </m:r>
              <m:r>
                <m:rPr>
                  <m:sty m:val="p"/>
                </m:rPr>
                <m:t>−</m:t>
              </m:r>
              <m:r>
                <m:t>q</m:t>
              </m:r>
            </m:sub>
          </m:sSub>
          <m:r>
            <m:rPr>
              <m:sty m:val="p"/>
            </m:rPr>
            <m:t>+</m:t>
          </m:r>
          <m:nary>
            <m:naryPr>
              <m:chr m:val="∑"/>
              <m:limLoc m:val="undOvr"/>
              <m:subHide m:val="off"/>
              <m:supHide m:val="off"/>
            </m:naryPr>
            <m:sub>
              <m:r>
                <m:t>q</m:t>
              </m:r>
              <m:r>
                <m:rPr>
                  <m:sty m:val="p"/>
                </m:rPr>
                <m:t>=</m:t>
              </m:r>
              <m:r>
                <m:t>1</m:t>
              </m:r>
            </m:sub>
            <m:sup>
              <m:r>
                <m:t>12</m:t>
              </m:r>
            </m:sup>
            <m:e>
              <m:sSub>
                <m:e>
                  <m:r>
                    <m:t>λ</m:t>
                  </m:r>
                </m:e>
                <m:sub>
                  <m:r>
                    <m:t>q</m:t>
                  </m:r>
                </m:sub>
              </m:sSub>
            </m:e>
          </m:nary>
          <m:r>
            <m:t> </m:t>
          </m:r>
          <m:sSub>
            <m:e>
              <m:r>
                <m:t>f</m:t>
              </m:r>
            </m:e>
            <m:sub>
              <m:r>
                <m:t>t</m:t>
              </m:r>
              <m:r>
                <m:rPr>
                  <m:sty m:val="p"/>
                </m:rPr>
                <m:t>−</m:t>
              </m:r>
              <m:r>
                <m:t>q</m:t>
              </m:r>
            </m:sub>
          </m:sSub>
          <m:r>
            <m:rPr>
              <m:sty m:val="p"/>
            </m:rPr>
            <m:t>+</m:t>
          </m:r>
          <m:nary>
            <m:naryPr>
              <m:chr m:val="∑"/>
              <m:limLoc m:val="undOvr"/>
              <m:subHide m:val="off"/>
              <m:supHide m:val="off"/>
            </m:naryPr>
            <m:sub>
              <m:r>
                <m:t>l</m:t>
              </m:r>
              <m:r>
                <m:rPr>
                  <m:sty m:val="p"/>
                </m:rPr>
                <m:t>=</m:t>
              </m:r>
              <m:r>
                <m:t>1</m:t>
              </m:r>
            </m:sub>
            <m:sup>
              <m:r>
                <m:t>h</m:t>
              </m:r>
              <m:r>
                <m:rPr>
                  <m:sty m:val="p"/>
                </m:rPr>
                <m:t>−</m:t>
              </m:r>
              <m:r>
                <m:t>1</m:t>
              </m:r>
            </m:sup>
            <m:e>
              <m:sSub>
                <m:e>
                  <m:r>
                    <m:t>ρ</m:t>
                  </m:r>
                </m:e>
                <m:sub>
                  <m:r>
                    <m:t>l</m:t>
                  </m:r>
                </m:sub>
              </m:sSub>
            </m:e>
          </m:nary>
          <m:r>
            <m:t> </m:t>
          </m:r>
          <m:sSub>
            <m:e>
              <m:r>
                <m:t>f</m:t>
              </m:r>
            </m:e>
            <m:sub>
              <m:r>
                <m:t>t</m:t>
              </m:r>
              <m:r>
                <m:rPr>
                  <m:sty m:val="p"/>
                </m:rPr>
                <m:t>+</m:t>
              </m:r>
              <m:r>
                <m:t>l</m:t>
              </m:r>
            </m:sub>
          </m:sSub>
          <m:r>
            <m:rPr>
              <m:sty m:val="p"/>
            </m:rPr>
            <m:t>+</m:t>
          </m:r>
          <m:sSub>
            <m:e>
              <m:r>
                <m:t>δ</m:t>
              </m:r>
            </m:e>
            <m:sub>
              <m:r>
                <m:t>h</m:t>
              </m:r>
            </m:sub>
          </m:sSub>
          <m:r>
            <m:t> </m:t>
          </m:r>
          <m:r>
            <m:t>t</m:t>
          </m:r>
          <m:r>
            <m:rPr>
              <m:sty m:val="p"/>
            </m:rPr>
            <m:t>+</m:t>
          </m:r>
          <m:sSub>
            <m:e>
              <m:r>
                <m:t>ε</m:t>
              </m:r>
            </m:e>
            <m:sub>
              <m:r>
                <m:t>t</m:t>
              </m:r>
              <m:r>
                <m:rPr>
                  <m:sty m:val="p"/>
                </m:rPr>
                <m:t>+</m:t>
              </m:r>
              <m:r>
                <m:t>h</m:t>
              </m:r>
            </m:sub>
          </m:sSub>
          <m:r>
            <m:t>  </m:t>
          </m:r>
          <m:r>
            <m:t>  </m:t>
          </m:r>
          <m:r>
            <m:rPr>
              <m:sty m:val="p"/>
            </m:rPr>
            <m:t>(</m:t>
          </m:r>
          <m:r>
            <m:t>6</m:t>
          </m:r>
          <m:r>
            <m:rPr>
              <m:sty m:val="p"/>
            </m:rPr>
            <m:t>)</m:t>
          </m:r>
        </m:oMath>
      </m:oMathPara>
    </w:p>
    <w:p>
      <w:pPr>
        <w:pStyle w:val="FirstParagraph"/>
      </w:pPr>
      <w:r>
        <w:t xml:space="preserve">The terms are read as follows. The outcome</w:t>
      </w:r>
      <w:r>
        <w:t xml:space="preserve"> </w:t>
      </w:r>
      <m:oMath>
        <m:sSub>
          <m:e>
            <m:r>
              <m:t>π</m:t>
            </m:r>
          </m:e>
          <m:sub>
            <m:r>
              <m:t>t</m:t>
            </m:r>
            <m:r>
              <m:rPr>
                <m:sty m:val="p"/>
              </m:rPr>
              <m:t>+</m:t>
            </m:r>
            <m:r>
              <m:t>h</m:t>
            </m:r>
          </m:sub>
        </m:sSub>
      </m:oMath>
      <w:r>
        <w:t xml:space="preserve"> </w:t>
      </w:r>
      <w:r>
        <w:t xml:space="preserve">is monthly inflation</w:t>
      </w:r>
      <w:r>
        <w:t xml:space="preserve"> </w:t>
      </w:r>
      <w:r>
        <w:rPr>
          <w:i/>
          <w:iCs/>
        </w:rPr>
        <w:t xml:space="preserve">h</w:t>
      </w:r>
      <w:r>
        <w:t xml:space="preserve"> </w:t>
      </w:r>
      <w:r>
        <w:t xml:space="preserve">months after the shock.</w:t>
      </w:r>
      <w:r>
        <w:t xml:space="preserve"> </w:t>
      </w:r>
      <m:oMath>
        <m:sSub>
          <m:e>
            <m:r>
              <m:t>β</m:t>
            </m:r>
          </m:e>
          <m:sub>
            <m:r>
              <m:t>h</m:t>
            </m:r>
          </m:sub>
        </m:sSub>
      </m:oMath>
      <w:r>
        <w:t xml:space="preserve"> </w:t>
      </w:r>
      <w:r>
        <w:t xml:space="preserve">is the pass-through: the effect of today’s fuel shock</w:t>
      </w:r>
      <w:r>
        <w:t xml:space="preserve"> </w:t>
      </w:r>
      <m:oMath>
        <m:sSub>
          <m:e>
            <m:r>
              <m:t>f</m:t>
            </m:r>
          </m:e>
          <m:sub>
            <m:r>
              <m:t>t</m:t>
            </m:r>
          </m:sub>
        </m:sSub>
      </m:oMath>
      <w:r>
        <w:t xml:space="preserve">. The twelve past values of inflation and of fuel shocks (the</w:t>
      </w:r>
      <w:r>
        <w:t xml:space="preserve"> </w:t>
      </w:r>
      <w:r>
        <w:rPr>
          <w:i/>
          <w:iCs/>
        </w:rPr>
        <w:t xml:space="preserve">lags</w:t>
      </w:r>
      <w:r>
        <w:t xml:space="preserve">) hold the history constant, so that the shock is not credited with movements that were already under way; because the data are not seasonally adjusted, they also absorb regular seasonal patterns such as December price rises. The fuel shocks between month</w:t>
      </w:r>
      <w:r>
        <w:t xml:space="preserve"> </w:t>
      </w:r>
      <w:r>
        <w:rPr>
          <w:i/>
          <w:iCs/>
        </w:rPr>
        <w:t xml:space="preserve">t</w:t>
      </w:r>
      <w:r>
        <w:t xml:space="preserve"> </w:t>
      </w:r>
      <w:r>
        <w:t xml:space="preserve">and month</w:t>
      </w:r>
      <w:r>
        <w:t xml:space="preserve"> </w:t>
      </w:r>
      <w:r>
        <w:rPr>
          <w:i/>
          <w:iCs/>
        </w:rPr>
        <w:t xml:space="preserve">t + h</w:t>
      </w:r>
      <w:r>
        <w:t xml:space="preserve"> </w:t>
      </w:r>
      <w:r>
        <w:t xml:space="preserve">(the</w:t>
      </w:r>
      <w:r>
        <w:t xml:space="preserve"> </w:t>
      </w:r>
      <w:r>
        <w:rPr>
          <w:i/>
          <w:iCs/>
        </w:rPr>
        <w:t xml:space="preserve">leads</w:t>
      </w:r>
      <w:r>
        <w:t xml:space="preserve">) hold later shocks constant, so that</w:t>
      </w:r>
      <w:r>
        <w:t xml:space="preserve"> </w:t>
      </w:r>
      <m:oMath>
        <m:sSub>
          <m:e>
            <m:r>
              <m:t>β</m:t>
            </m:r>
          </m:e>
          <m:sub>
            <m:r>
              <m:t>h</m:t>
            </m:r>
          </m:sub>
        </m:sSub>
      </m:oMath>
      <w:r>
        <w:t xml:space="preserve"> </w:t>
      </w:r>
      <w:r>
        <w:t xml:space="preserve">is not confused with the effect of the further increases that often follow a first one</w:t>
      </w:r>
      <w:r>
        <w:t xml:space="preserve"> </w:t>
      </w:r>
      <w:r>
        <w:t xml:space="preserve">(</w:t>
      </w:r>
      <w:hyperlink w:anchor="ref-teulings_zubanov_2014">
        <w:r>
          <w:rPr>
            <w:rStyle w:val="Hyperlink"/>
          </w:rPr>
          <w:t xml:space="preserve">Teulings and Zubanov 2014</w:t>
        </w:r>
      </w:hyperlink>
      <w:r>
        <w:t xml:space="preserve">)</w:t>
      </w:r>
      <w:r>
        <w:t xml:space="preserve">; there are none at</w:t>
      </w:r>
      <w:r>
        <w:t xml:space="preserve"> </w:t>
      </w:r>
      <w:r>
        <w:rPr>
          <w:i/>
          <w:iCs/>
        </w:rPr>
        <w:t xml:space="preserve">h</w:t>
      </w:r>
      <w:r>
        <w:t xml:space="preserve"> </w:t>
      </w:r>
      <w:r>
        <w:t xml:space="preserve">= 0 and</w:t>
      </w:r>
      <w:r>
        <w:t xml:space="preserve"> </w:t>
      </w:r>
      <w:r>
        <w:rPr>
          <w:i/>
          <w:iCs/>
        </w:rPr>
        <w:t xml:space="preserve">h</w:t>
      </w:r>
      <w:r>
        <w:t xml:space="preserve"> </w:t>
      </w:r>
      <w:r>
        <w:t xml:space="preserve">= 1. The term</w:t>
      </w:r>
      <w:r>
        <w:t xml:space="preserve"> </w:t>
      </w:r>
      <m:oMath>
        <m:sSub>
          <m:e>
            <m:r>
              <m:t>δ</m:t>
            </m:r>
          </m:e>
          <m:sub>
            <m:r>
              <m:t>h</m:t>
            </m:r>
          </m:sub>
        </m:sSub>
        <m:r>
          <m:t>t</m:t>
        </m:r>
      </m:oMath>
      <w:r>
        <w:t xml:space="preserve"> </w:t>
      </w:r>
      <w:r>
        <w:t xml:space="preserve">is a linear time trend,</w:t>
      </w:r>
      <w:r>
        <w:t xml:space="preserve"> </w:t>
      </w:r>
      <m:oMath>
        <m:sSub>
          <m:e>
            <m:r>
              <m:t>α</m:t>
            </m:r>
          </m:e>
          <m:sub>
            <m:r>
              <m:t>h</m:t>
            </m:r>
          </m:sub>
        </m:sSub>
      </m:oMath>
      <w:r>
        <w:t xml:space="preserve"> </w:t>
      </w:r>
      <w:r>
        <w:t xml:space="preserve">a constant and</w:t>
      </w:r>
      <w:r>
        <w:t xml:space="preserve"> </w:t>
      </w:r>
      <m:oMath>
        <m:sSub>
          <m:e>
            <m:r>
              <m:t>ε</m:t>
            </m:r>
          </m:e>
          <m:sub>
            <m:r>
              <m:t>t</m:t>
            </m:r>
            <m:r>
              <m:rPr>
                <m:sty m:val="p"/>
              </m:rPr>
              <m:t>+</m:t>
            </m:r>
            <m:r>
              <m:t>h</m:t>
            </m:r>
          </m:sub>
        </m:sSub>
      </m:oMath>
      <w:r>
        <w:t xml:space="preserve"> </w:t>
      </w:r>
      <w:r>
        <w:t xml:space="preserve">the error.</w:t>
      </w:r>
    </w:p>
    <w:p>
      <w:pPr>
        <w:pStyle w:val="BodyText"/>
      </w:pPr>
      <w:r>
        <w:rPr>
          <w:b/>
          <w:bCs/>
        </w:rPr>
        <w:t xml:space="preserve">From monthly effects to the price level.</w:t>
      </w:r>
      <w:r>
        <w:t xml:space="preserve"> </w:t>
      </w:r>
      <m:oMath>
        <m:sSub>
          <m:e>
            <m:r>
              <m:t>β</m:t>
            </m:r>
          </m:e>
          <m:sub>
            <m:r>
              <m:t>h</m:t>
            </m:r>
          </m:sub>
        </m:sSub>
      </m:oMath>
      <w:r>
        <w:t xml:space="preserve"> </w:t>
      </w:r>
      <w:r>
        <w:t xml:space="preserve">is an effect on inflation in one month. The effect on the price level after</w:t>
      </w:r>
      <w:r>
        <w:t xml:space="preserve"> </w:t>
      </w:r>
      <w:r>
        <w:rPr>
          <w:i/>
          <w:iCs/>
        </w:rPr>
        <w:t xml:space="preserve">h</w:t>
      </w:r>
      <w:r>
        <w:t xml:space="preserve"> </w:t>
      </w:r>
      <w:r>
        <w:t xml:space="preserve">months is the cumulative pass-through</w:t>
      </w:r>
      <w:r>
        <w:t xml:space="preserve"> </w:t>
      </w:r>
      <m:oMath>
        <m:sSub>
          <m:e>
            <m:r>
              <m:t>B</m:t>
            </m:r>
          </m:e>
          <m:sub>
            <m:r>
              <m:t>h</m:t>
            </m:r>
          </m:sub>
        </m:sSub>
        <m:r>
          <m:rPr>
            <m:sty m:val="p"/>
          </m:rPr>
          <m:t>=</m:t>
        </m:r>
        <m:sSub>
          <m:e>
            <m:r>
              <m:t>β</m:t>
            </m:r>
          </m:e>
          <m:sub>
            <m:r>
              <m:t>0</m:t>
            </m:r>
          </m:sub>
        </m:sSub>
        <m:r>
          <m:rPr>
            <m:sty m:val="p"/>
          </m:rPr>
          <m:t>+</m:t>
        </m:r>
        <m:r>
          <m:rPr>
            <m:sty m:val="p"/>
          </m:rPr>
          <m:t>…</m:t>
        </m:r>
        <m:r>
          <m:rPr>
            <m:sty m:val="p"/>
          </m:rPr>
          <m:t>+</m:t>
        </m:r>
        <m:sSub>
          <m:e>
            <m:r>
              <m:t>β</m:t>
            </m:r>
          </m:e>
          <m:sub>
            <m:r>
              <m:t>h</m:t>
            </m:r>
          </m:sub>
        </m:sSub>
      </m:oMath>
      <w:r>
        <w:t xml:space="preserve">. To obtain it with a correct standard error, the model is re-estimated with the sum of inflation from month</w:t>
      </w:r>
      <w:r>
        <w:t xml:space="preserve"> </w:t>
      </w:r>
      <w:r>
        <w:rPr>
          <w:i/>
          <w:iCs/>
        </w:rPr>
        <w:t xml:space="preserve">t</w:t>
      </w:r>
      <w:r>
        <w:t xml:space="preserve"> </w:t>
      </w:r>
      <w:r>
        <w:t xml:space="preserve">to month</w:t>
      </w:r>
      <w:r>
        <w:t xml:space="preserve"> </w:t>
      </w:r>
      <w:r>
        <w:rPr>
          <w:i/>
          <w:iCs/>
        </w:rPr>
        <w:t xml:space="preserve">t + h</w:t>
      </w:r>
      <w:r>
        <w:t xml:space="preserve"> </w:t>
      </w:r>
      <w:r>
        <w:t xml:space="preserve">as the outcome. For example, with the estimates of Chapter 4, a cumulative response of 0.102 after twelve months means that a 10% fuel price rise makes the price level about 1.0% higher a year later.</w:t>
      </w:r>
    </w:p>
    <w:p>
      <w:pPr>
        <w:pStyle w:val="BodyText"/>
      </w:pPr>
      <w:r>
        <w:rPr>
          <w:b/>
          <w:bCs/>
        </w:rPr>
        <w:t xml:space="preserve">Standard errors.</w:t>
      </w:r>
      <w:r>
        <w:t xml:space="preserve"> </w:t>
      </w:r>
      <w:r>
        <w:t xml:space="preserve">Because the outcomes of neighbouring months overlap, the errors of equation (6) are correlated over time. National estimates therefore use Newey–West standard errors with</w:t>
      </w:r>
      <w:r>
        <w:t xml:space="preserve"> </w:t>
      </w:r>
      <w:r>
        <w:rPr>
          <w:i/>
          <w:iCs/>
        </w:rPr>
        <w:t xml:space="preserve">h</w:t>
      </w:r>
      <w:r>
        <w:t xml:space="preserve"> </w:t>
      </w:r>
      <w:r>
        <w:t xml:space="preserve">+ 1 lags</w:t>
      </w:r>
      <w:r>
        <w:t xml:space="preserve"> </w:t>
      </w:r>
      <w:r>
        <w:t xml:space="preserve">(</w:t>
      </w:r>
      <w:hyperlink w:anchor="ref-newey_west_1987">
        <w:r>
          <w:rPr>
            <w:rStyle w:val="Hyperlink"/>
          </w:rPr>
          <w:t xml:space="preserve">Newey and West 1987</w:t>
        </w:r>
      </w:hyperlink>
      <w:r>
        <w:t xml:space="preserve">)</w:t>
      </w:r>
      <w:r>
        <w:t xml:space="preserve">. Confidence bands are 90%, as in the reference study: if a band does not include zero, the effect is significant at the 10% level.</w:t>
      </w:r>
    </w:p>
    <w:p>
      <w:pPr>
        <w:pStyle w:val="BodyText"/>
      </w:pPr>
      <w:r>
        <w:rPr>
          <w:b/>
          <w:bCs/>
        </w:rPr>
        <w:t xml:space="preserve">The regional panel.</w:t>
      </w:r>
      <w:r>
        <w:t xml:space="preserve"> </w:t>
      </w:r>
      <w:r>
        <w:t xml:space="preserve">For the 17 regions, equation (6) is estimated jointly, with each region’s own inflation and fuel index and with</w:t>
      </w:r>
      <w:r>
        <w:t xml:space="preserve"> </w:t>
      </w:r>
      <w:r>
        <w:rPr>
          <w:i/>
          <w:iCs/>
        </w:rPr>
        <w:t xml:space="preserve">region fixed effects</w:t>
      </w:r>
      <w:r>
        <w:t xml:space="preserve">, which let each region have its own average. All regions are hit by the same national shocks in the same month, so errors are correlated across regions as well as over time; Driscoll–Kraay standard errors allow for both</w:t>
      </w:r>
      <w:r>
        <w:t xml:space="preserve"> </w:t>
      </w:r>
      <w:r>
        <w:t xml:space="preserve">(</w:t>
      </w:r>
      <w:hyperlink w:anchor="ref-driscoll_kraay_1998">
        <w:r>
          <w:rPr>
            <w:rStyle w:val="Hyperlink"/>
          </w:rPr>
          <w:t xml:space="preserve">Driscoll and Kraay 1998</w:t>
        </w:r>
      </w:hyperlink>
      <w:r>
        <w:t xml:space="preserve">)</w:t>
      </w:r>
      <w:r>
        <w:t xml:space="preserve">. The panel has 5219 observations at</w:t>
      </w:r>
      <w:r>
        <w:t xml:space="preserve"> </w:t>
      </w:r>
      <w:r>
        <w:rPr>
          <w:i/>
          <w:iCs/>
        </w:rPr>
        <w:t xml:space="preserve">h</w:t>
      </w:r>
      <w:r>
        <w:t xml:space="preserve"> </w:t>
      </w:r>
      <w:r>
        <w:t xml:space="preserve">= 0 and 5015 at</w:t>
      </w:r>
      <w:r>
        <w:t xml:space="preserve"> </w:t>
      </w:r>
      <w:r>
        <w:rPr>
          <w:i/>
          <w:iCs/>
        </w:rPr>
        <w:t xml:space="preserve">h</w:t>
      </w:r>
      <w:r>
        <w:t xml:space="preserve"> </w:t>
      </w:r>
      <w:r>
        <w:t xml:space="preserve">= 12.</w:t>
      </w:r>
    </w:p>
    <w:bookmarkEnd w:id="46"/>
    <w:bookmarkStart w:id="47" w:name="methods-for-objective-2"/>
    <w:p>
      <w:pPr>
        <w:pStyle w:val="Heading2"/>
      </w:pPr>
      <w:r>
        <w:t xml:space="preserve">3.5 Methods for Objective 2</w:t>
      </w:r>
    </w:p>
    <w:p>
      <w:pPr>
        <w:pStyle w:val="FirstParagraph"/>
      </w:pPr>
      <w:r>
        <w:rPr>
          <w:b/>
          <w:bCs/>
        </w:rPr>
        <w:t xml:space="preserve">RQ1.</w:t>
      </w:r>
      <w:r>
        <w:t xml:space="preserve"> </w:t>
      </w:r>
      <w:r>
        <w:t xml:space="preserve">Equation (6) is estimated nationally with all-income inflation</w:t>
      </w:r>
      <w:r>
        <w:t xml:space="preserve"> </w:t>
      </w:r>
      <m:oMath>
        <m:sSup>
          <m:e>
            <m:r>
              <m:t>π</m:t>
            </m:r>
          </m:e>
          <m:sup>
            <m:r>
              <m:t>A</m:t>
            </m:r>
          </m:sup>
        </m:sSup>
      </m:oMath>
      <w:r>
        <w:t xml:space="preserve"> </w:t>
      </w:r>
      <w:r>
        <w:t xml:space="preserve">and with bottom-30% inflation</w:t>
      </w:r>
      <w:r>
        <w:t xml:space="preserve"> </w:t>
      </w:r>
      <m:oMath>
        <m:sSup>
          <m:e>
            <m:r>
              <m:t>π</m:t>
            </m:r>
          </m:e>
          <m:sup>
            <m:r>
              <m:t>B</m:t>
            </m:r>
          </m:sup>
        </m:sSup>
      </m:oMath>
      <w:r>
        <w:t xml:space="preserve"> </w:t>
      </w:r>
      <w:r>
        <w:t xml:space="preserve">as outcomes, with shock dates from January 2001 to August 2026.</w:t>
      </w:r>
    </w:p>
    <w:p>
      <w:pPr>
        <w:pStyle w:val="BodyText"/>
      </w:pPr>
      <w:r>
        <w:rPr>
          <w:b/>
          <w:bCs/>
        </w:rPr>
        <w:t xml:space="preserve">RQ2.</w:t>
      </w:r>
      <w:r>
        <w:t xml:space="preserve"> </w:t>
      </w:r>
      <w:r>
        <w:t xml:space="preserve">The outcome is the monthly change in the gap,</w:t>
      </w:r>
      <w:r>
        <w:t xml:space="preserve"> </w:t>
      </w:r>
      <m:oMath>
        <m:r>
          <m:rPr>
            <m:sty m:val="p"/>
          </m:rPr>
          <m:t>Δ</m:t>
        </m:r>
        <m:sSub>
          <m:e>
            <m:r>
              <m:t>D</m:t>
            </m:r>
          </m:e>
          <m:sub>
            <m:r>
              <m:t>t</m:t>
            </m:r>
          </m:sub>
        </m:sSub>
        <m:r>
          <m:rPr>
            <m:sty m:val="p"/>
          </m:rPr>
          <m:t>=</m:t>
        </m:r>
        <m:sSubSup>
          <m:e>
            <m:r>
              <m:t>π</m:t>
            </m:r>
          </m:e>
          <m:sub>
            <m:r>
              <m:t>t</m:t>
            </m:r>
          </m:sub>
          <m:sup>
            <m:r>
              <m:t>A</m:t>
            </m:r>
          </m:sup>
        </m:sSubSup>
        <m:r>
          <m:rPr>
            <m:sty m:val="p"/>
          </m:rPr>
          <m:t>−</m:t>
        </m:r>
        <m:sSubSup>
          <m:e>
            <m:r>
              <m:t>π</m:t>
            </m:r>
          </m:e>
          <m:sub>
            <m:r>
              <m:t>t</m:t>
            </m:r>
          </m:sub>
          <m:sup>
            <m:r>
              <m:t>B</m:t>
            </m:r>
          </m:sup>
        </m:sSubSup>
      </m:oMath>
      <w:r>
        <w:t xml:space="preserve">. A negative cumulative response supports H2b (regressive); a positive one supports H2a (progressive). The decision rule, fixed in advance, uses the cumulative responses after six and twelve months. The model is estimated nationally and in the 17-region panel.</w:t>
      </w:r>
    </w:p>
    <w:p>
      <w:pPr>
        <w:pStyle w:val="BodyText"/>
      </w:pPr>
      <w:r>
        <w:rPr>
          <w:b/>
          <w:bCs/>
        </w:rPr>
        <w:t xml:space="preserve">Why: the two parts of the gap.</w:t>
      </w:r>
      <w:r>
        <w:t xml:space="preserve"> </w:t>
      </w:r>
      <w:r>
        <w:t xml:space="preserve">To measure the two parts of equation (5), equation (6) is estimated for each of the 13 CPI divisions of the all-income index. Multiplying each division’s twelve-month response by the difference between the two groups’ budget shares gives the gap that the weights alone would produce. Comparing this with the estimated gap shows the role of within-category price differences. As a direct check, the same division responses are estimated in both baskets from 2013, when the bottom-30% division indices begin (an exploratory analysis added after the first results).</w:t>
      </w:r>
    </w:p>
    <w:p>
      <w:pPr>
        <w:pStyle w:val="BodyText"/>
      </w:pPr>
      <w:r>
        <w:rPr>
          <w:b/>
          <w:bCs/>
        </w:rPr>
        <w:t xml:space="preserve">Robustness.</w:t>
      </w:r>
      <w:r>
        <w:t xml:space="preserve"> </w:t>
      </w:r>
      <w:r>
        <w:t xml:space="preserve">Five checks test the main result: crude oil (Dubai, in pesos) instead of retail fuel prices, because no Philippine region can move world crude prices; controls for the exchange rate, the policy rate and world food prices; excluding 2020; splitting the panel into 2001–2012 and 2013–2026; and leaving out one region at a time. The first two can weaken the result and are reported for that reason. Twelve further checks are reported in Appendix B.</w:t>
      </w:r>
    </w:p>
    <w:bookmarkEnd w:id="47"/>
    <w:bookmarkStart w:id="48" w:name="methods-for-objective-3"/>
    <w:p>
      <w:pPr>
        <w:pStyle w:val="Heading2"/>
      </w:pPr>
      <w:r>
        <w:t xml:space="preserve">3.6 Methods for Objective 3</w:t>
      </w:r>
    </w:p>
    <w:p>
      <w:pPr>
        <w:pStyle w:val="FirstParagraph"/>
      </w:pPr>
      <w:r>
        <w:rPr>
          <w:b/>
          <w:bCs/>
        </w:rPr>
        <w:t xml:space="preserve">Out-of-sample test.</w:t>
      </w:r>
      <w:r>
        <w:t xml:space="preserve"> </w:t>
      </w:r>
      <w:r>
        <w:t xml:space="preserve">The cumulative responses are re-estimated on data ending in December 2025, so that no 2026 data enter, and applied to the actual 2026 fuel path. The fuel-driven change in the price level between December 2025 and month</w:t>
      </w:r>
      <w:r>
        <w:t xml:space="preserve"> </w:t>
      </w:r>
      <w:r>
        <w:rPr>
          <w:i/>
          <w:iCs/>
        </w:rPr>
        <w:t xml:space="preserve">m</w:t>
      </w:r>
      <w:r>
        <w:t xml:space="preserve"> </w:t>
      </w:r>
      <w:r>
        <w:t xml:space="preserve">is</w:t>
      </w:r>
      <w:r>
        <w:t xml:space="preserve"> </w:t>
      </w:r>
      <m:oMath>
        <m:nary>
          <m:naryPr>
            <m:chr m:val="∑"/>
            <m:limLoc m:val="undOvr"/>
            <m:subHide m:val="off"/>
            <m:supHide m:val="on"/>
          </m:naryPr>
          <m:sub>
            <m:r>
              <m:t>s</m:t>
            </m:r>
          </m:sub>
          <m:sup>
            <m:r>
              <m:t>​</m:t>
            </m:r>
          </m:sup>
          <m:e>
            <m:sSub>
              <m:e>
                <m:r>
                  <m:t>B</m:t>
                </m:r>
              </m:e>
              <m:sub>
                <m:r>
                  <m:t>m</m:t>
                </m:r>
                <m:r>
                  <m:rPr>
                    <m:sty m:val="p"/>
                  </m:rPr>
                  <m:t>−</m:t>
                </m:r>
                <m:r>
                  <m:t>s</m:t>
                </m:r>
              </m:sub>
            </m:sSub>
          </m:e>
        </m:nary>
        <m:r>
          <m:t> </m:t>
        </m:r>
        <m:sSub>
          <m:e>
            <m:r>
              <m:t>f</m:t>
            </m:r>
          </m:e>
          <m:sub>
            <m:r>
              <m:t>s</m:t>
            </m:r>
          </m:sub>
        </m:sSub>
      </m:oMath>
      <w:r>
        <w:t xml:space="preserve">, summed over the 2026 months up to</w:t>
      </w:r>
      <w:r>
        <w:t xml:space="preserve"> </w:t>
      </w:r>
      <w:r>
        <w:rPr>
          <w:i/>
          <w:iCs/>
        </w:rPr>
        <w:t xml:space="preserve">m</w:t>
      </w:r>
      <w:r>
        <w:t xml:space="preserve">. This is compared with the actual change.</w:t>
      </w:r>
    </w:p>
    <w:p>
      <w:pPr>
        <w:pStyle w:val="BodyText"/>
      </w:pPr>
      <w:r>
        <w:rPr>
          <w:b/>
          <w:bCs/>
        </w:rPr>
        <w:t xml:space="preserve">Peso cost by region.</w:t>
      </w:r>
      <w:r>
        <w:t xml:space="preserve"> </w:t>
      </w:r>
      <w:r>
        <w:t xml:space="preserve">The same is done with the regional panel, using each region’s own fuel path. The fuel-driven rise in the bottom-30% CPI is turned into pesos for a family of five at the official poverty line (the 2023 regional per-person annual threshold × 5 ÷ 12, carried to December 2025 with the regional bottom-30% CPI).</w:t>
      </w:r>
    </w:p>
    <w:p>
      <w:pPr>
        <w:pStyle w:val="BodyText"/>
      </w:pPr>
      <w:r>
        <w:rPr>
          <w:b/>
          <w:bCs/>
        </w:rPr>
        <w:t xml:space="preserve">Household fuels, fares and cereals.</w:t>
      </w:r>
      <w:r>
        <w:t xml:space="preserve"> </w:t>
      </w:r>
      <w:r>
        <w:t xml:space="preserve">National responses after twelve months (2013–2026) are estimated for LPG, kerosene, charcoal and wood, passenger fares and cereals, in both baskets, together with their budget shares.</w:t>
      </w:r>
    </w:p>
    <w:p>
      <w:pPr>
        <w:pStyle w:val="BodyText"/>
      </w:pPr>
      <w:r>
        <w:rPr>
          <w:b/>
          <w:bCs/>
        </w:rPr>
        <w:t xml:space="preserve">What drove the 2026 gap.</w:t>
      </w:r>
      <w:r>
        <w:t xml:space="preserve"> </w:t>
      </w:r>
      <w:r>
        <w:t xml:space="preserve">The actual December 2025–August 2026 change in each index is split into the contributions of each item group, using the 2018 weights (an accounting exercise, not a model).</w:t>
      </w:r>
    </w:p>
    <w:p>
      <w:pPr>
        <w:pStyle w:val="BodyText"/>
      </w:pPr>
      <w:r>
        <w:rPr>
          <w:b/>
          <w:bCs/>
        </w:rPr>
        <w:t xml:space="preserve">Policy assessment.</w:t>
      </w:r>
      <w:r>
        <w:t xml:space="preserve"> </w:t>
      </w:r>
      <w:r>
        <w:t xml:space="preserve">The results are then used to judge each 2026 instrument by how well it reaches the poor.</w:t>
      </w:r>
    </w:p>
    <w:bookmarkEnd w:id="48"/>
    <w:bookmarkStart w:id="49" w:name="checking-the-estimator"/>
    <w:p>
      <w:pPr>
        <w:pStyle w:val="Heading2"/>
      </w:pPr>
      <w:r>
        <w:t xml:space="preserve">3.7 Checking the estimator</w:t>
      </w:r>
    </w:p>
    <w:p>
      <w:pPr>
        <w:pStyle w:val="FirstParagraph"/>
      </w:pPr>
      <w:r>
        <w:t xml:space="preserve">Before any Philippine estimate was produced, the estimator was tested on simulated data whose true impulse response is known. It recovered the true response within 0.006 at every horizon, recovered the cumulative response, and detected a known difference between groups, with Newey–West, clustered and Driscoll–Kraay standard errors. These tests run automatically every time the analysis is rebuilt.</w:t>
      </w:r>
    </w:p>
    <w:bookmarkEnd w:id="49"/>
    <w:bookmarkStart w:id="50" w:name="software-and-reproducibility"/>
    <w:p>
      <w:pPr>
        <w:pStyle w:val="Heading2"/>
      </w:pPr>
      <w:r>
        <w:t xml:space="preserve">3.8 Software and reproducibility</w:t>
      </w:r>
    </w:p>
    <w:p>
      <w:pPr>
        <w:pStyle w:val="FirstParagraph"/>
      </w:pPr>
      <w:r>
        <w:t xml:space="preserve">The analysis is written in Python 3.11 (</w:t>
      </w:r>
      <w:r>
        <w:rPr>
          <w:i/>
          <w:iCs/>
        </w:rPr>
        <w:t xml:space="preserve">pandas</w:t>
      </w:r>
      <w:r>
        <w:t xml:space="preserve">,</w:t>
      </w:r>
      <w:r>
        <w:t xml:space="preserve"> </w:t>
      </w:r>
      <w:r>
        <w:rPr>
          <w:i/>
          <w:iCs/>
        </w:rPr>
        <w:t xml:space="preserve">statsmodels</w:t>
      </w:r>
      <w:r>
        <w:t xml:space="preserve">,</w:t>
      </w:r>
      <w:r>
        <w:t xml:space="preserve"> </w:t>
      </w:r>
      <w:r>
        <w:rPr>
          <w:i/>
          <w:iCs/>
        </w:rPr>
        <w:t xml:space="preserve">linearmodels</w:t>
      </w:r>
      <w:r>
        <w:t xml:space="preserve">,</w:t>
      </w:r>
      <w:r>
        <w:t xml:space="preserve"> </w:t>
      </w:r>
      <w:r>
        <w:rPr>
          <w:i/>
          <w:iCs/>
        </w:rPr>
        <w:t xml:space="preserve">matplotlib</w:t>
      </w:r>
      <w:r>
        <w:t xml:space="preserve">) and, in parallel, in Stata 17. Every number in this paper is inserted by script from the output tables, and one command rebuilds the cleaned data, the estimates, the figures and this document from the raw files. A codebook spreadsheet documents every raw and cleaned variable.</w:t>
      </w:r>
    </w:p>
    <w:bookmarkEnd w:id="50"/>
    <w:bookmarkStart w:id="51" w:name="ethical-considerations"/>
    <w:p>
      <w:pPr>
        <w:pStyle w:val="Heading2"/>
      </w:pPr>
      <w:r>
        <w:t xml:space="preserve">3.9 Ethical considerations</w:t>
      </w:r>
    </w:p>
    <w:p>
      <w:pPr>
        <w:pStyle w:val="FirstParagraph"/>
      </w:pPr>
      <w:r>
        <w:t xml:space="preserve">The study uses published aggregate statistics; no individual or household data were collected.</w:t>
      </w:r>
    </w:p>
    <w:bookmarkEnd w:id="51"/>
    <w:bookmarkEnd w:id="52"/>
    <w:bookmarkStart w:id="88" w:name="chapter-4.-results-and-discussion"/>
    <w:p>
      <w:pPr>
        <w:pStyle w:val="Heading1"/>
      </w:pPr>
      <w:r>
        <w:t xml:space="preserve">Chapter 4. Results and Discussion</w:t>
      </w:r>
    </w:p>
    <w:bookmarkStart w:id="61" w:name="X17aee22bf335df8505200699c08e8d51a830b07"/>
    <w:p>
      <w:pPr>
        <w:pStyle w:val="Heading2"/>
      </w:pPr>
      <w:r>
        <w:t xml:space="preserve">4.1 Objective 1: descriptive statistics and trend analysis</w:t>
      </w:r>
    </w:p>
    <w:bookmarkStart w:id="53" w:name="summary-statistics"/>
    <w:p>
      <w:pPr>
        <w:pStyle w:val="Heading3"/>
      </w:pPr>
      <w:r>
        <w:t xml:space="preserve">4.1.1 Summary statistics</w:t>
      </w:r>
    </w:p>
    <w:p>
      <w:pPr>
        <w:pStyle w:val="FirstParagraph"/>
      </w:pPr>
      <w:r>
        <w:t xml:space="preserve">Table 2 summarises the monthly changes. Over January 2001–August 2026, all-income prices rose at an average of 3.77% a year and bottom-30% prices at 4.33%; the gap therefore fell by 0.56 log points a year on average. Bottom-30% inflation is also more volatile (standard deviation 0.565 against 0.386 percentage points a month), and the fuel index far more so (standard deviation 4.367, with monthly changes between −18.10% and +31.79%). The difference between the groups was largest in 2001–2012 (4.22% a year against 5.07%), narrowed in 2013–2019 (2.68% against 2.86%) and 2020–2025 (3.75% against 4.06%), and widened again in 2026 (7.21% against 8.97% at an annual rate over January–August).</w:t>
      </w:r>
    </w:p>
    <w:p>
      <w:pPr>
        <w:pStyle w:val="TableCaption"/>
      </w:pPr>
      <w:r>
        <w:t xml:space="preserve">Table 2. Summary statistics of monthly changes (100 × Δln), national</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2. Summary statistics of monthly changes (100 × Δln), national"/>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spacing w:before="0" w:after="0" w:line="240" w:lineRule="auto"/>
              <w:ind w:firstLine="0" w:left="0"/>
            </w:pPr>
            <w:r>
              <w:rPr>
                <w:sz w:val="20"/>
                <w:szCs w:val="20"/>
              </w:rPr>
              <w:t xml:space="preserve">Period</w:t>
            </w:r>
          </w:p>
        </w:tc>
        <w:tc>
          <w:tcPr>
            <w:tcBorders>
              <w:bottom w:val="single" w:sz="6" w:space="0" w:color="000000"/>
            </w:tcBorders>
          </w:tcPr>
          <w:p>
            <w:pPr>
              <w:pStyle w:val="Compact"/>
              <w:spacing w:before="0" w:after="0" w:line="240" w:lineRule="auto"/>
              <w:ind w:firstLine="0" w:left="0"/>
            </w:pPr>
            <w:r>
              <w:rPr>
                <w:sz w:val="20"/>
                <w:szCs w:val="20"/>
              </w:rPr>
              <w:t xml:space="preserve">Variable</w:t>
            </w:r>
          </w:p>
        </w:tc>
        <w:tc>
          <w:tcPr>
            <w:tcBorders>
              <w:bottom w:val="single" w:sz="6" w:space="0" w:color="000000"/>
            </w:tcBorders>
          </w:tcPr>
          <w:p>
            <w:pPr>
              <w:pStyle w:val="Compact"/>
              <w:spacing w:before="0" w:after="0" w:line="240" w:lineRule="auto"/>
              <w:ind w:firstLine="0" w:left="0"/>
            </w:pPr>
            <w:r>
              <w:rPr>
                <w:sz w:val="20"/>
                <w:szCs w:val="20"/>
              </w:rPr>
              <w:t xml:space="preserve">N</w:t>
            </w:r>
          </w:p>
        </w:tc>
        <w:tc>
          <w:tcPr>
            <w:tcBorders>
              <w:bottom w:val="single" w:sz="6" w:space="0" w:color="000000"/>
            </w:tcBorders>
          </w:tcPr>
          <w:p>
            <w:pPr>
              <w:pStyle w:val="Compact"/>
              <w:spacing w:before="0" w:after="0" w:line="240" w:lineRule="auto"/>
              <w:ind w:firstLine="0" w:left="0"/>
            </w:pPr>
            <w:r>
              <w:rPr>
                <w:sz w:val="20"/>
                <w:szCs w:val="20"/>
              </w:rPr>
              <w:t xml:space="preserve">Mean (pp/month)</w:t>
            </w:r>
          </w:p>
        </w:tc>
        <w:tc>
          <w:tcPr>
            <w:tcBorders>
              <w:bottom w:val="single" w:sz="6" w:space="0" w:color="000000"/>
            </w:tcBorders>
          </w:tcPr>
          <w:p>
            <w:pPr>
              <w:pStyle w:val="Compact"/>
              <w:spacing w:before="0" w:after="0" w:line="240" w:lineRule="auto"/>
              <w:ind w:firstLine="0" w:left="0"/>
            </w:pPr>
            <w:r>
              <w:rPr>
                <w:sz w:val="20"/>
                <w:szCs w:val="20"/>
              </w:rPr>
              <w:t xml:space="preserve">Annualised mean</w:t>
            </w:r>
          </w:p>
        </w:tc>
        <w:tc>
          <w:tcPr>
            <w:tcBorders>
              <w:bottom w:val="single" w:sz="6" w:space="0" w:color="000000"/>
            </w:tcBorders>
          </w:tcPr>
          <w:p>
            <w:pPr>
              <w:pStyle w:val="Compact"/>
              <w:spacing w:before="0" w:after="0" w:line="240" w:lineRule="auto"/>
              <w:ind w:firstLine="0" w:left="0"/>
            </w:pPr>
            <w:r>
              <w:rPr>
                <w:sz w:val="20"/>
                <w:szCs w:val="20"/>
              </w:rPr>
              <w:t xml:space="preserve">SD</w:t>
            </w:r>
          </w:p>
        </w:tc>
        <w:tc>
          <w:tcPr>
            <w:tcBorders>
              <w:bottom w:val="single" w:sz="6" w:space="0" w:color="000000"/>
            </w:tcBorders>
          </w:tcPr>
          <w:p>
            <w:pPr>
              <w:pStyle w:val="Compact"/>
              <w:spacing w:before="0" w:after="0" w:line="240" w:lineRule="auto"/>
              <w:ind w:firstLine="0" w:left="0"/>
            </w:pPr>
            <w:r>
              <w:rPr>
                <w:sz w:val="20"/>
                <w:szCs w:val="20"/>
              </w:rPr>
              <w:t xml:space="preserve">Min</w:t>
            </w:r>
          </w:p>
        </w:tc>
        <w:tc>
          <w:tcPr>
            <w:tcBorders>
              <w:bottom w:val="single" w:sz="6" w:space="0" w:color="000000"/>
            </w:tcBorders>
          </w:tcPr>
          <w:p>
            <w:pPr>
              <w:pStyle w:val="Compact"/>
              <w:spacing w:before="0" w:after="0" w:line="240" w:lineRule="auto"/>
              <w:ind w:firstLine="0" w:left="0"/>
            </w:pPr>
            <w:r>
              <w:rPr>
                <w:sz w:val="20"/>
                <w:szCs w:val="20"/>
              </w:rPr>
              <w:t xml:space="preserve">Max</w:t>
            </w:r>
          </w:p>
        </w:tc>
      </w:tr>
      <w:tr>
        <w:tc>
          <w:tcPr/>
          <w:p>
            <w:pPr>
              <w:pStyle w:val="Compact"/>
              <w:spacing w:before="0" w:after="0" w:line="240" w:lineRule="auto"/>
              <w:ind w:firstLine="0" w:left="0"/>
            </w:pPr>
            <w:r>
              <w:rPr>
                <w:sz w:val="20"/>
                <w:szCs w:val="20"/>
              </w:rPr>
              <w:t xml:space="preserve">2001–2026 (full)</w:t>
            </w:r>
          </w:p>
        </w:tc>
        <w:tc>
          <w:tcPr/>
          <w:p>
            <w:pPr>
              <w:pStyle w:val="Compact"/>
              <w:spacing w:before="0" w:after="0" w:line="240" w:lineRule="auto"/>
              <w:ind w:firstLine="0" w:left="0"/>
            </w:pPr>
            <w:r>
              <w:rPr>
                <w:sz w:val="20"/>
                <w:szCs w:val="20"/>
              </w:rPr>
              <w:t xml:space="preserve">Fuel index (07.2.2)</w:t>
            </w:r>
          </w:p>
        </w:tc>
        <w:tc>
          <w:tcPr/>
          <w:p>
            <w:pPr>
              <w:pStyle w:val="Compact"/>
              <w:spacing w:before="0" w:after="0" w:line="240" w:lineRule="auto"/>
              <w:ind w:firstLine="0" w:left="0"/>
            </w:pPr>
            <w:r>
              <w:rPr>
                <w:sz w:val="20"/>
                <w:szCs w:val="20"/>
              </w:rPr>
              <w:t xml:space="preserve">308</w:t>
            </w:r>
          </w:p>
        </w:tc>
        <w:tc>
          <w:tcPr/>
          <w:p>
            <w:pPr>
              <w:pStyle w:val="Compact"/>
              <w:spacing w:before="0" w:after="0" w:line="240" w:lineRule="auto"/>
              <w:ind w:firstLine="0" w:left="0"/>
            </w:pPr>
            <w:r>
              <w:rPr>
                <w:sz w:val="20"/>
                <w:szCs w:val="20"/>
              </w:rPr>
              <w:t xml:space="preserve">0.449</w:t>
            </w:r>
          </w:p>
        </w:tc>
        <w:tc>
          <w:tcPr/>
          <w:p>
            <w:pPr>
              <w:pStyle w:val="Compact"/>
              <w:spacing w:before="0" w:after="0" w:line="240" w:lineRule="auto"/>
              <w:ind w:firstLine="0" w:left="0"/>
            </w:pPr>
            <w:r>
              <w:rPr>
                <w:sz w:val="20"/>
                <w:szCs w:val="20"/>
              </w:rPr>
              <w:t xml:space="preserve">5.39</w:t>
            </w:r>
          </w:p>
        </w:tc>
        <w:tc>
          <w:tcPr/>
          <w:p>
            <w:pPr>
              <w:pStyle w:val="Compact"/>
              <w:spacing w:before="0" w:after="0" w:line="240" w:lineRule="auto"/>
              <w:ind w:firstLine="0" w:left="0"/>
            </w:pPr>
            <w:r>
              <w:rPr>
                <w:sz w:val="20"/>
                <w:szCs w:val="20"/>
              </w:rPr>
              <w:t xml:space="preserve">4.367</w:t>
            </w:r>
          </w:p>
        </w:tc>
        <w:tc>
          <w:tcPr/>
          <w:p>
            <w:pPr>
              <w:pStyle w:val="Compact"/>
              <w:spacing w:before="0" w:after="0" w:line="240" w:lineRule="auto"/>
              <w:ind w:firstLine="0" w:left="0"/>
            </w:pPr>
            <w:r>
              <w:rPr>
                <w:sz w:val="20"/>
                <w:szCs w:val="20"/>
              </w:rPr>
              <w:t xml:space="preserve">−18.10</w:t>
            </w:r>
          </w:p>
        </w:tc>
        <w:tc>
          <w:tcPr/>
          <w:p>
            <w:pPr>
              <w:pStyle w:val="Compact"/>
              <w:spacing w:before="0" w:after="0" w:line="240" w:lineRule="auto"/>
              <w:ind w:firstLine="0" w:left="0"/>
            </w:pPr>
            <w:r>
              <w:rPr>
                <w:sz w:val="20"/>
                <w:szCs w:val="20"/>
              </w:rPr>
              <w:t xml:space="preserve">31.79</w:t>
            </w:r>
          </w:p>
        </w:tc>
      </w:tr>
      <w:tr>
        <w:tc>
          <w:tcPr/>
          <w:p>
            <w:pPr>
              <w:pStyle w:val="Compact"/>
              <w:spacing w:before="0" w:after="0" w:line="240" w:lineRule="auto"/>
              <w:ind w:firstLine="0" w:left="0"/>
            </w:pPr>
            <w:r>
              <w:rPr>
                <w:sz w:val="20"/>
                <w:szCs w:val="20"/>
              </w:rPr>
              <w:t xml:space="preserve">2001–2026 (full)</w:t>
            </w:r>
          </w:p>
        </w:tc>
        <w:tc>
          <w:tcPr/>
          <w:p>
            <w:pPr>
              <w:pStyle w:val="Compact"/>
              <w:spacing w:before="0" w:after="0" w:line="240" w:lineRule="auto"/>
              <w:ind w:firstLine="0" w:left="0"/>
            </w:pPr>
            <w:r>
              <w:rPr>
                <w:sz w:val="20"/>
                <w:szCs w:val="20"/>
              </w:rPr>
              <w:t xml:space="preserve">CPI, all income</w:t>
            </w:r>
          </w:p>
        </w:tc>
        <w:tc>
          <w:tcPr/>
          <w:p>
            <w:pPr>
              <w:pStyle w:val="Compact"/>
              <w:spacing w:before="0" w:after="0" w:line="240" w:lineRule="auto"/>
              <w:ind w:firstLine="0" w:left="0"/>
            </w:pPr>
            <w:r>
              <w:rPr>
                <w:sz w:val="20"/>
                <w:szCs w:val="20"/>
              </w:rPr>
              <w:t xml:space="preserve">308</w:t>
            </w:r>
          </w:p>
        </w:tc>
        <w:tc>
          <w:tcPr/>
          <w:p>
            <w:pPr>
              <w:pStyle w:val="Compact"/>
              <w:spacing w:before="0" w:after="0" w:line="240" w:lineRule="auto"/>
              <w:ind w:firstLine="0" w:left="0"/>
            </w:pPr>
            <w:r>
              <w:rPr>
                <w:sz w:val="20"/>
                <w:szCs w:val="20"/>
              </w:rPr>
              <w:t xml:space="preserve">0.314</w:t>
            </w:r>
          </w:p>
        </w:tc>
        <w:tc>
          <w:tcPr/>
          <w:p>
            <w:pPr>
              <w:pStyle w:val="Compact"/>
              <w:spacing w:before="0" w:after="0" w:line="240" w:lineRule="auto"/>
              <w:ind w:firstLine="0" w:left="0"/>
            </w:pPr>
            <w:r>
              <w:rPr>
                <w:sz w:val="20"/>
                <w:szCs w:val="20"/>
              </w:rPr>
              <w:t xml:space="preserve">3.77</w:t>
            </w:r>
          </w:p>
        </w:tc>
        <w:tc>
          <w:tcPr/>
          <w:p>
            <w:pPr>
              <w:pStyle w:val="Compact"/>
              <w:spacing w:before="0" w:after="0" w:line="240" w:lineRule="auto"/>
              <w:ind w:firstLine="0" w:left="0"/>
            </w:pPr>
            <w:r>
              <w:rPr>
                <w:sz w:val="20"/>
                <w:szCs w:val="20"/>
              </w:rPr>
              <w:t xml:space="preserve">0.386</w:t>
            </w:r>
          </w:p>
        </w:tc>
        <w:tc>
          <w:tcPr/>
          <w:p>
            <w:pPr>
              <w:pStyle w:val="Compact"/>
              <w:spacing w:before="0" w:after="0" w:line="240" w:lineRule="auto"/>
              <w:ind w:firstLine="0" w:left="0"/>
            </w:pPr>
            <w:r>
              <w:rPr>
                <w:sz w:val="20"/>
                <w:szCs w:val="20"/>
              </w:rPr>
              <w:t xml:space="preserve">−0.59</w:t>
            </w:r>
          </w:p>
        </w:tc>
        <w:tc>
          <w:tcPr/>
          <w:p>
            <w:pPr>
              <w:pStyle w:val="Compact"/>
              <w:spacing w:before="0" w:after="0" w:line="240" w:lineRule="auto"/>
              <w:ind w:firstLine="0" w:left="0"/>
            </w:pPr>
            <w:r>
              <w:rPr>
                <w:sz w:val="20"/>
                <w:szCs w:val="20"/>
              </w:rPr>
              <w:t xml:space="preserve">2.60</w:t>
            </w:r>
          </w:p>
        </w:tc>
      </w:tr>
      <w:tr>
        <w:tc>
          <w:tcPr/>
          <w:p>
            <w:pPr>
              <w:pStyle w:val="Compact"/>
              <w:spacing w:before="0" w:after="0" w:line="240" w:lineRule="auto"/>
              <w:ind w:firstLine="0" w:left="0"/>
            </w:pPr>
            <w:r>
              <w:rPr>
                <w:sz w:val="20"/>
                <w:szCs w:val="20"/>
              </w:rPr>
              <w:t xml:space="preserve">2001–2026 (full)</w:t>
            </w:r>
          </w:p>
        </w:tc>
        <w:tc>
          <w:tcPr/>
          <w:p>
            <w:pPr>
              <w:pStyle w:val="Compact"/>
              <w:spacing w:before="0" w:after="0" w:line="240" w:lineRule="auto"/>
              <w:ind w:firstLine="0" w:left="0"/>
            </w:pPr>
            <w:r>
              <w:rPr>
                <w:sz w:val="20"/>
                <w:szCs w:val="20"/>
              </w:rPr>
              <w:t xml:space="preserve">CPI, bottom 30%</w:t>
            </w:r>
          </w:p>
        </w:tc>
        <w:tc>
          <w:tcPr/>
          <w:p>
            <w:pPr>
              <w:pStyle w:val="Compact"/>
              <w:spacing w:before="0" w:after="0" w:line="240" w:lineRule="auto"/>
              <w:ind w:firstLine="0" w:left="0"/>
            </w:pPr>
            <w:r>
              <w:rPr>
                <w:sz w:val="20"/>
                <w:szCs w:val="20"/>
              </w:rPr>
              <w:t xml:space="preserve">308</w:t>
            </w:r>
          </w:p>
        </w:tc>
        <w:tc>
          <w:tcPr/>
          <w:p>
            <w:pPr>
              <w:pStyle w:val="Compact"/>
              <w:spacing w:before="0" w:after="0" w:line="240" w:lineRule="auto"/>
              <w:ind w:firstLine="0" w:left="0"/>
            </w:pPr>
            <w:r>
              <w:rPr>
                <w:sz w:val="20"/>
                <w:szCs w:val="20"/>
              </w:rPr>
              <w:t xml:space="preserve">0.361</w:t>
            </w:r>
          </w:p>
        </w:tc>
        <w:tc>
          <w:tcPr/>
          <w:p>
            <w:pPr>
              <w:pStyle w:val="Compact"/>
              <w:spacing w:before="0" w:after="0" w:line="240" w:lineRule="auto"/>
              <w:ind w:firstLine="0" w:left="0"/>
            </w:pPr>
            <w:r>
              <w:rPr>
                <w:sz w:val="20"/>
                <w:szCs w:val="20"/>
              </w:rPr>
              <w:t xml:space="preserve">4.33</w:t>
            </w:r>
          </w:p>
        </w:tc>
        <w:tc>
          <w:tcPr/>
          <w:p>
            <w:pPr>
              <w:pStyle w:val="Compact"/>
              <w:spacing w:before="0" w:after="0" w:line="240" w:lineRule="auto"/>
              <w:ind w:firstLine="0" w:left="0"/>
            </w:pPr>
            <w:r>
              <w:rPr>
                <w:sz w:val="20"/>
                <w:szCs w:val="20"/>
              </w:rPr>
              <w:t xml:space="preserve">0.565</w:t>
            </w:r>
          </w:p>
        </w:tc>
        <w:tc>
          <w:tcPr/>
          <w:p>
            <w:pPr>
              <w:pStyle w:val="Compact"/>
              <w:spacing w:before="0" w:after="0" w:line="240" w:lineRule="auto"/>
              <w:ind w:firstLine="0" w:left="0"/>
            </w:pPr>
            <w:r>
              <w:rPr>
                <w:sz w:val="20"/>
                <w:szCs w:val="20"/>
              </w:rPr>
              <w:t xml:space="preserve">−0.88</w:t>
            </w:r>
          </w:p>
        </w:tc>
        <w:tc>
          <w:tcPr/>
          <w:p>
            <w:pPr>
              <w:pStyle w:val="Compact"/>
              <w:spacing w:before="0" w:after="0" w:line="240" w:lineRule="auto"/>
              <w:ind w:firstLine="0" w:left="0"/>
            </w:pPr>
            <w:r>
              <w:rPr>
                <w:sz w:val="20"/>
                <w:szCs w:val="20"/>
              </w:rPr>
              <w:t xml:space="preserve">3.89</w:t>
            </w:r>
          </w:p>
        </w:tc>
      </w:tr>
      <w:tr>
        <w:tc>
          <w:tcPr/>
          <w:p>
            <w:pPr>
              <w:pStyle w:val="Compact"/>
              <w:spacing w:before="0" w:after="0" w:line="240" w:lineRule="auto"/>
              <w:ind w:firstLine="0" w:left="0"/>
            </w:pPr>
            <w:r>
              <w:rPr>
                <w:sz w:val="20"/>
                <w:szCs w:val="20"/>
              </w:rPr>
              <w:t xml:space="preserve">2001–2026 (full)</w:t>
            </w:r>
          </w:p>
        </w:tc>
        <w:tc>
          <w:tcPr/>
          <w:p>
            <w:pPr>
              <w:pStyle w:val="Compact"/>
              <w:spacing w:before="0" w:after="0" w:line="240" w:lineRule="auto"/>
              <w:ind w:firstLine="0" w:left="0"/>
            </w:pPr>
            <w:r>
              <w:rPr>
                <w:sz w:val="20"/>
                <w:szCs w:val="20"/>
              </w:rPr>
              <w:t xml:space="preserve">Gap: ln(CPI all/CPI b30)</w:t>
            </w:r>
          </w:p>
        </w:tc>
        <w:tc>
          <w:tcPr/>
          <w:p>
            <w:pPr>
              <w:pStyle w:val="Compact"/>
              <w:spacing w:before="0" w:after="0" w:line="240" w:lineRule="auto"/>
              <w:ind w:firstLine="0" w:left="0"/>
            </w:pPr>
            <w:r>
              <w:rPr>
                <w:sz w:val="20"/>
                <w:szCs w:val="20"/>
              </w:rPr>
              <w:t xml:space="preserve">308</w:t>
            </w:r>
          </w:p>
        </w:tc>
        <w:tc>
          <w:tcPr/>
          <w:p>
            <w:pPr>
              <w:pStyle w:val="Compact"/>
              <w:spacing w:before="0" w:after="0" w:line="240" w:lineRule="auto"/>
              <w:ind w:firstLine="0" w:left="0"/>
            </w:pPr>
            <w:r>
              <w:rPr>
                <w:sz w:val="20"/>
                <w:szCs w:val="20"/>
              </w:rPr>
              <w:t xml:space="preserve">−0.047</w:t>
            </w:r>
          </w:p>
        </w:tc>
        <w:tc>
          <w:tcPr/>
          <w:p>
            <w:pPr>
              <w:pStyle w:val="Compact"/>
              <w:spacing w:before="0" w:after="0" w:line="240" w:lineRule="auto"/>
              <w:ind w:firstLine="0" w:left="0"/>
            </w:pPr>
            <w:r>
              <w:rPr>
                <w:sz w:val="20"/>
                <w:szCs w:val="20"/>
              </w:rPr>
              <w:t xml:space="preserve">−0.56</w:t>
            </w:r>
          </w:p>
        </w:tc>
        <w:tc>
          <w:tcPr/>
          <w:p>
            <w:pPr>
              <w:pStyle w:val="Compact"/>
              <w:spacing w:before="0" w:after="0" w:line="240" w:lineRule="auto"/>
              <w:ind w:firstLine="0" w:left="0"/>
            </w:pPr>
            <w:r>
              <w:rPr>
                <w:sz w:val="20"/>
                <w:szCs w:val="20"/>
              </w:rPr>
              <w:t xml:space="preserve">0.303</w:t>
            </w:r>
          </w:p>
        </w:tc>
        <w:tc>
          <w:tcPr/>
          <w:p>
            <w:pPr>
              <w:pStyle w:val="Compact"/>
              <w:spacing w:before="0" w:after="0" w:line="240" w:lineRule="auto"/>
              <w:ind w:firstLine="0" w:left="0"/>
            </w:pPr>
            <w:r>
              <w:rPr>
                <w:sz w:val="20"/>
                <w:szCs w:val="20"/>
              </w:rPr>
              <w:t xml:space="preserve">−2.27</w:t>
            </w:r>
          </w:p>
        </w:tc>
        <w:tc>
          <w:tcPr/>
          <w:p>
            <w:pPr>
              <w:pStyle w:val="Compact"/>
              <w:spacing w:before="0" w:after="0" w:line="240" w:lineRule="auto"/>
              <w:ind w:firstLine="0" w:left="0"/>
            </w:pPr>
            <w:r>
              <w:rPr>
                <w:sz w:val="20"/>
                <w:szCs w:val="20"/>
              </w:rPr>
              <w:t xml:space="preserve">0.71</w:t>
            </w:r>
          </w:p>
        </w:tc>
      </w:tr>
      <w:tr>
        <w:tc>
          <w:tcPr/>
          <w:p>
            <w:pPr>
              <w:pStyle w:val="Compact"/>
              <w:spacing w:before="0" w:after="0" w:line="240" w:lineRule="auto"/>
              <w:ind w:firstLine="0" w:left="0"/>
            </w:pPr>
            <w:r>
              <w:rPr>
                <w:sz w:val="20"/>
                <w:szCs w:val="20"/>
              </w:rPr>
              <w:t xml:space="preserve">2001–2012</w:t>
            </w:r>
          </w:p>
        </w:tc>
        <w:tc>
          <w:tcPr/>
          <w:p>
            <w:pPr>
              <w:pStyle w:val="Compact"/>
              <w:spacing w:before="0" w:after="0" w:line="240" w:lineRule="auto"/>
              <w:ind w:firstLine="0" w:left="0"/>
            </w:pPr>
            <w:r>
              <w:rPr>
                <w:sz w:val="20"/>
                <w:szCs w:val="20"/>
              </w:rPr>
              <w:t xml:space="preserve">Fuel index (07.2.2)</w:t>
            </w:r>
          </w:p>
        </w:tc>
        <w:tc>
          <w:tcPr/>
          <w:p>
            <w:pPr>
              <w:pStyle w:val="Compact"/>
              <w:spacing w:before="0" w:after="0" w:line="240" w:lineRule="auto"/>
              <w:ind w:firstLine="0" w:left="0"/>
            </w:pPr>
            <w:r>
              <w:rPr>
                <w:sz w:val="20"/>
                <w:szCs w:val="20"/>
              </w:rPr>
              <w:t xml:space="preserve">144</w:t>
            </w:r>
          </w:p>
        </w:tc>
        <w:tc>
          <w:tcPr/>
          <w:p>
            <w:pPr>
              <w:pStyle w:val="Compact"/>
              <w:spacing w:before="0" w:after="0" w:line="240" w:lineRule="auto"/>
              <w:ind w:firstLine="0" w:left="0"/>
            </w:pPr>
            <w:r>
              <w:rPr>
                <w:sz w:val="20"/>
                <w:szCs w:val="20"/>
              </w:rPr>
              <w:t xml:space="preserve">0.604</w:t>
            </w:r>
          </w:p>
        </w:tc>
        <w:tc>
          <w:tcPr/>
          <w:p>
            <w:pPr>
              <w:pStyle w:val="Compact"/>
              <w:spacing w:before="0" w:after="0" w:line="240" w:lineRule="auto"/>
              <w:ind w:firstLine="0" w:left="0"/>
            </w:pPr>
            <w:r>
              <w:rPr>
                <w:sz w:val="20"/>
                <w:szCs w:val="20"/>
              </w:rPr>
              <w:t xml:space="preserve">7.25</w:t>
            </w:r>
          </w:p>
        </w:tc>
        <w:tc>
          <w:tcPr/>
          <w:p>
            <w:pPr>
              <w:pStyle w:val="Compact"/>
              <w:spacing w:before="0" w:after="0" w:line="240" w:lineRule="auto"/>
              <w:ind w:firstLine="0" w:left="0"/>
            </w:pPr>
            <w:r>
              <w:rPr>
                <w:sz w:val="20"/>
                <w:szCs w:val="20"/>
              </w:rPr>
              <w:t xml:space="preserve">2.862</w:t>
            </w:r>
          </w:p>
        </w:tc>
        <w:tc>
          <w:tcPr/>
          <w:p>
            <w:pPr>
              <w:pStyle w:val="Compact"/>
              <w:spacing w:before="0" w:after="0" w:line="240" w:lineRule="auto"/>
              <w:ind w:firstLine="0" w:left="0"/>
            </w:pPr>
            <w:r>
              <w:rPr>
                <w:sz w:val="20"/>
                <w:szCs w:val="20"/>
              </w:rPr>
              <w:t xml:space="preserve">−12.49</w:t>
            </w:r>
          </w:p>
        </w:tc>
        <w:tc>
          <w:tcPr/>
          <w:p>
            <w:pPr>
              <w:pStyle w:val="Compact"/>
              <w:spacing w:before="0" w:after="0" w:line="240" w:lineRule="auto"/>
              <w:ind w:firstLine="0" w:left="0"/>
            </w:pPr>
            <w:r>
              <w:rPr>
                <w:sz w:val="20"/>
                <w:szCs w:val="20"/>
              </w:rPr>
              <w:t xml:space="preserve">8.66</w:t>
            </w:r>
          </w:p>
        </w:tc>
      </w:tr>
      <w:tr>
        <w:tc>
          <w:tcPr/>
          <w:p>
            <w:pPr>
              <w:pStyle w:val="Compact"/>
              <w:spacing w:before="0" w:after="0" w:line="240" w:lineRule="auto"/>
              <w:ind w:firstLine="0" w:left="0"/>
            </w:pPr>
            <w:r>
              <w:rPr>
                <w:sz w:val="20"/>
                <w:szCs w:val="20"/>
              </w:rPr>
              <w:t xml:space="preserve">2001–2012</w:t>
            </w:r>
          </w:p>
        </w:tc>
        <w:tc>
          <w:tcPr/>
          <w:p>
            <w:pPr>
              <w:pStyle w:val="Compact"/>
              <w:spacing w:before="0" w:after="0" w:line="240" w:lineRule="auto"/>
              <w:ind w:firstLine="0" w:left="0"/>
            </w:pPr>
            <w:r>
              <w:rPr>
                <w:sz w:val="20"/>
                <w:szCs w:val="20"/>
              </w:rPr>
              <w:t xml:space="preserve">CPI, all income</w:t>
            </w:r>
          </w:p>
        </w:tc>
        <w:tc>
          <w:tcPr/>
          <w:p>
            <w:pPr>
              <w:pStyle w:val="Compact"/>
              <w:spacing w:before="0" w:after="0" w:line="240" w:lineRule="auto"/>
              <w:ind w:firstLine="0" w:left="0"/>
            </w:pPr>
            <w:r>
              <w:rPr>
                <w:sz w:val="20"/>
                <w:szCs w:val="20"/>
              </w:rPr>
              <w:t xml:space="preserve">144</w:t>
            </w:r>
          </w:p>
        </w:tc>
        <w:tc>
          <w:tcPr/>
          <w:p>
            <w:pPr>
              <w:pStyle w:val="Compact"/>
              <w:spacing w:before="0" w:after="0" w:line="240" w:lineRule="auto"/>
              <w:ind w:firstLine="0" w:left="0"/>
            </w:pPr>
            <w:r>
              <w:rPr>
                <w:sz w:val="20"/>
                <w:szCs w:val="20"/>
              </w:rPr>
              <w:t xml:space="preserve">0.352</w:t>
            </w:r>
          </w:p>
        </w:tc>
        <w:tc>
          <w:tcPr/>
          <w:p>
            <w:pPr>
              <w:pStyle w:val="Compact"/>
              <w:spacing w:before="0" w:after="0" w:line="240" w:lineRule="auto"/>
              <w:ind w:firstLine="0" w:left="0"/>
            </w:pPr>
            <w:r>
              <w:rPr>
                <w:sz w:val="20"/>
                <w:szCs w:val="20"/>
              </w:rPr>
              <w:t xml:space="preserve">4.22</w:t>
            </w:r>
          </w:p>
        </w:tc>
        <w:tc>
          <w:tcPr/>
          <w:p>
            <w:pPr>
              <w:pStyle w:val="Compact"/>
              <w:spacing w:before="0" w:after="0" w:line="240" w:lineRule="auto"/>
              <w:ind w:firstLine="0" w:left="0"/>
            </w:pPr>
            <w:r>
              <w:rPr>
                <w:sz w:val="20"/>
                <w:szCs w:val="20"/>
              </w:rPr>
              <w:t xml:space="preserve">0.350</w:t>
            </w:r>
          </w:p>
        </w:tc>
        <w:tc>
          <w:tcPr/>
          <w:p>
            <w:pPr>
              <w:pStyle w:val="Compact"/>
              <w:spacing w:before="0" w:after="0" w:line="240" w:lineRule="auto"/>
              <w:ind w:firstLine="0" w:left="0"/>
            </w:pPr>
            <w:r>
              <w:rPr>
                <w:sz w:val="20"/>
                <w:szCs w:val="20"/>
              </w:rPr>
              <w:t xml:space="preserve">−0.44</w:t>
            </w:r>
          </w:p>
        </w:tc>
        <w:tc>
          <w:tcPr/>
          <w:p>
            <w:pPr>
              <w:pStyle w:val="Compact"/>
              <w:spacing w:before="0" w:after="0" w:line="240" w:lineRule="auto"/>
              <w:ind w:firstLine="0" w:left="0"/>
            </w:pPr>
            <w:r>
              <w:rPr>
                <w:sz w:val="20"/>
                <w:szCs w:val="20"/>
              </w:rPr>
              <w:t xml:space="preserve">1.61</w:t>
            </w:r>
          </w:p>
        </w:tc>
      </w:tr>
      <w:tr>
        <w:tc>
          <w:tcPr/>
          <w:p>
            <w:pPr>
              <w:pStyle w:val="Compact"/>
              <w:spacing w:before="0" w:after="0" w:line="240" w:lineRule="auto"/>
              <w:ind w:firstLine="0" w:left="0"/>
            </w:pPr>
            <w:r>
              <w:rPr>
                <w:sz w:val="20"/>
                <w:szCs w:val="20"/>
              </w:rPr>
              <w:t xml:space="preserve">2001–2012</w:t>
            </w:r>
          </w:p>
        </w:tc>
        <w:tc>
          <w:tcPr/>
          <w:p>
            <w:pPr>
              <w:pStyle w:val="Compact"/>
              <w:spacing w:before="0" w:after="0" w:line="240" w:lineRule="auto"/>
              <w:ind w:firstLine="0" w:left="0"/>
            </w:pPr>
            <w:r>
              <w:rPr>
                <w:sz w:val="20"/>
                <w:szCs w:val="20"/>
              </w:rPr>
              <w:t xml:space="preserve">CPI, bottom 30%</w:t>
            </w:r>
          </w:p>
        </w:tc>
        <w:tc>
          <w:tcPr/>
          <w:p>
            <w:pPr>
              <w:pStyle w:val="Compact"/>
              <w:spacing w:before="0" w:after="0" w:line="240" w:lineRule="auto"/>
              <w:ind w:firstLine="0" w:left="0"/>
            </w:pPr>
            <w:r>
              <w:rPr>
                <w:sz w:val="20"/>
                <w:szCs w:val="20"/>
              </w:rPr>
              <w:t xml:space="preserve">144</w:t>
            </w:r>
          </w:p>
        </w:tc>
        <w:tc>
          <w:tcPr/>
          <w:p>
            <w:pPr>
              <w:pStyle w:val="Compact"/>
              <w:spacing w:before="0" w:after="0" w:line="240" w:lineRule="auto"/>
              <w:ind w:firstLine="0" w:left="0"/>
            </w:pPr>
            <w:r>
              <w:rPr>
                <w:sz w:val="20"/>
                <w:szCs w:val="20"/>
              </w:rPr>
              <w:t xml:space="preserve">0.422</w:t>
            </w:r>
          </w:p>
        </w:tc>
        <w:tc>
          <w:tcPr/>
          <w:p>
            <w:pPr>
              <w:pStyle w:val="Compact"/>
              <w:spacing w:before="0" w:after="0" w:line="240" w:lineRule="auto"/>
              <w:ind w:firstLine="0" w:left="0"/>
            </w:pPr>
            <w:r>
              <w:rPr>
                <w:sz w:val="20"/>
                <w:szCs w:val="20"/>
              </w:rPr>
              <w:t xml:space="preserve">5.07</w:t>
            </w:r>
          </w:p>
        </w:tc>
        <w:tc>
          <w:tcPr/>
          <w:p>
            <w:pPr>
              <w:pStyle w:val="Compact"/>
              <w:spacing w:before="0" w:after="0" w:line="240" w:lineRule="auto"/>
              <w:ind w:firstLine="0" w:left="0"/>
            </w:pPr>
            <w:r>
              <w:rPr>
                <w:sz w:val="20"/>
                <w:szCs w:val="20"/>
              </w:rPr>
              <w:t xml:space="preserve">0.617</w:t>
            </w:r>
          </w:p>
        </w:tc>
        <w:tc>
          <w:tcPr/>
          <w:p>
            <w:pPr>
              <w:pStyle w:val="Compact"/>
              <w:spacing w:before="0" w:after="0" w:line="240" w:lineRule="auto"/>
              <w:ind w:firstLine="0" w:left="0"/>
            </w:pPr>
            <w:r>
              <w:rPr>
                <w:sz w:val="20"/>
                <w:szCs w:val="20"/>
              </w:rPr>
              <w:t xml:space="preserve">−0.88</w:t>
            </w:r>
          </w:p>
        </w:tc>
        <w:tc>
          <w:tcPr/>
          <w:p>
            <w:pPr>
              <w:pStyle w:val="Compact"/>
              <w:spacing w:before="0" w:after="0" w:line="240" w:lineRule="auto"/>
              <w:ind w:firstLine="0" w:left="0"/>
            </w:pPr>
            <w:r>
              <w:rPr>
                <w:sz w:val="20"/>
                <w:szCs w:val="20"/>
              </w:rPr>
              <w:t xml:space="preserve">3.89</w:t>
            </w:r>
          </w:p>
        </w:tc>
      </w:tr>
      <w:tr>
        <w:tc>
          <w:tcPr/>
          <w:p>
            <w:pPr>
              <w:pStyle w:val="Compact"/>
              <w:spacing w:before="0" w:after="0" w:line="240" w:lineRule="auto"/>
              <w:ind w:firstLine="0" w:left="0"/>
            </w:pPr>
            <w:r>
              <w:rPr>
                <w:sz w:val="20"/>
                <w:szCs w:val="20"/>
              </w:rPr>
              <w:t xml:space="preserve">2001–2012</w:t>
            </w:r>
          </w:p>
        </w:tc>
        <w:tc>
          <w:tcPr/>
          <w:p>
            <w:pPr>
              <w:pStyle w:val="Compact"/>
              <w:spacing w:before="0" w:after="0" w:line="240" w:lineRule="auto"/>
              <w:ind w:firstLine="0" w:left="0"/>
            </w:pPr>
            <w:r>
              <w:rPr>
                <w:sz w:val="20"/>
                <w:szCs w:val="20"/>
              </w:rPr>
              <w:t xml:space="preserve">Gap: ln(CPI all/CPI b30)</w:t>
            </w:r>
          </w:p>
        </w:tc>
        <w:tc>
          <w:tcPr/>
          <w:p>
            <w:pPr>
              <w:pStyle w:val="Compact"/>
              <w:spacing w:before="0" w:after="0" w:line="240" w:lineRule="auto"/>
              <w:ind w:firstLine="0" w:left="0"/>
            </w:pPr>
            <w:r>
              <w:rPr>
                <w:sz w:val="20"/>
                <w:szCs w:val="20"/>
              </w:rPr>
              <w:t xml:space="preserve">144</w:t>
            </w:r>
          </w:p>
        </w:tc>
        <w:tc>
          <w:tcPr/>
          <w:p>
            <w:pPr>
              <w:pStyle w:val="Compact"/>
              <w:spacing w:before="0" w:after="0" w:line="240" w:lineRule="auto"/>
              <w:ind w:firstLine="0" w:left="0"/>
            </w:pPr>
            <w:r>
              <w:rPr>
                <w:sz w:val="20"/>
                <w:szCs w:val="20"/>
              </w:rPr>
              <w:t xml:space="preserve">−0.071</w:t>
            </w:r>
          </w:p>
        </w:tc>
        <w:tc>
          <w:tcPr/>
          <w:p>
            <w:pPr>
              <w:pStyle w:val="Compact"/>
              <w:spacing w:before="0" w:after="0" w:line="240" w:lineRule="auto"/>
              <w:ind w:firstLine="0" w:left="0"/>
            </w:pPr>
            <w:r>
              <w:rPr>
                <w:sz w:val="20"/>
                <w:szCs w:val="20"/>
              </w:rPr>
              <w:t xml:space="preserve">−0.85</w:t>
            </w:r>
          </w:p>
        </w:tc>
        <w:tc>
          <w:tcPr/>
          <w:p>
            <w:pPr>
              <w:pStyle w:val="Compact"/>
              <w:spacing w:before="0" w:after="0" w:line="240" w:lineRule="auto"/>
              <w:ind w:firstLine="0" w:left="0"/>
            </w:pPr>
            <w:r>
              <w:rPr>
                <w:sz w:val="20"/>
                <w:szCs w:val="20"/>
              </w:rPr>
              <w:t xml:space="preserve">0.379</w:t>
            </w:r>
          </w:p>
        </w:tc>
        <w:tc>
          <w:tcPr/>
          <w:p>
            <w:pPr>
              <w:pStyle w:val="Compact"/>
              <w:spacing w:before="0" w:after="0" w:line="240" w:lineRule="auto"/>
              <w:ind w:firstLine="0" w:left="0"/>
            </w:pPr>
            <w:r>
              <w:rPr>
                <w:sz w:val="20"/>
                <w:szCs w:val="20"/>
              </w:rPr>
              <w:t xml:space="preserve">−2.27</w:t>
            </w:r>
          </w:p>
        </w:tc>
        <w:tc>
          <w:tcPr/>
          <w:p>
            <w:pPr>
              <w:pStyle w:val="Compact"/>
              <w:spacing w:before="0" w:after="0" w:line="240" w:lineRule="auto"/>
              <w:ind w:firstLine="0" w:left="0"/>
            </w:pPr>
            <w:r>
              <w:rPr>
                <w:sz w:val="20"/>
                <w:szCs w:val="20"/>
              </w:rPr>
              <w:t xml:space="preserve">0.71</w:t>
            </w:r>
          </w:p>
        </w:tc>
      </w:tr>
      <w:tr>
        <w:tc>
          <w:tcPr/>
          <w:p>
            <w:pPr>
              <w:pStyle w:val="Compact"/>
              <w:spacing w:before="0" w:after="0" w:line="240" w:lineRule="auto"/>
              <w:ind w:firstLine="0" w:left="0"/>
            </w:pPr>
            <w:r>
              <w:rPr>
                <w:sz w:val="20"/>
                <w:szCs w:val="20"/>
              </w:rPr>
              <w:t xml:space="preserve">2013–2019</w:t>
            </w:r>
          </w:p>
        </w:tc>
        <w:tc>
          <w:tcPr/>
          <w:p>
            <w:pPr>
              <w:pStyle w:val="Compact"/>
              <w:spacing w:before="0" w:after="0" w:line="240" w:lineRule="auto"/>
              <w:ind w:firstLine="0" w:left="0"/>
            </w:pPr>
            <w:r>
              <w:rPr>
                <w:sz w:val="20"/>
                <w:szCs w:val="20"/>
              </w:rPr>
              <w:t xml:space="preserve">Fuel index (07.2.2)</w:t>
            </w:r>
          </w:p>
        </w:tc>
        <w:tc>
          <w:tcPr/>
          <w:p>
            <w:pPr>
              <w:pStyle w:val="Compact"/>
              <w:spacing w:before="0" w:after="0" w:line="240" w:lineRule="auto"/>
              <w:ind w:firstLine="0" w:left="0"/>
            </w:pPr>
            <w:r>
              <w:rPr>
                <w:sz w:val="20"/>
                <w:szCs w:val="20"/>
              </w:rPr>
              <w:t xml:space="preserve">84</w:t>
            </w:r>
          </w:p>
        </w:tc>
        <w:tc>
          <w:tcPr/>
          <w:p>
            <w:pPr>
              <w:pStyle w:val="Compact"/>
              <w:spacing w:before="0" w:after="0" w:line="240" w:lineRule="auto"/>
              <w:ind w:firstLine="0" w:left="0"/>
            </w:pPr>
            <w:r>
              <w:rPr>
                <w:sz w:val="20"/>
                <w:szCs w:val="20"/>
              </w:rPr>
              <w:t xml:space="preserve">−0.028</w:t>
            </w:r>
          </w:p>
        </w:tc>
        <w:tc>
          <w:tcPr/>
          <w:p>
            <w:pPr>
              <w:pStyle w:val="Compact"/>
              <w:spacing w:before="0" w:after="0" w:line="240" w:lineRule="auto"/>
              <w:ind w:firstLine="0" w:left="0"/>
            </w:pPr>
            <w:r>
              <w:rPr>
                <w:sz w:val="20"/>
                <w:szCs w:val="20"/>
              </w:rPr>
              <w:t xml:space="preserve">−0.34</w:t>
            </w:r>
          </w:p>
        </w:tc>
        <w:tc>
          <w:tcPr/>
          <w:p>
            <w:pPr>
              <w:pStyle w:val="Compact"/>
              <w:spacing w:before="0" w:after="0" w:line="240" w:lineRule="auto"/>
              <w:ind w:firstLine="0" w:left="0"/>
            </w:pPr>
            <w:r>
              <w:rPr>
                <w:sz w:val="20"/>
                <w:szCs w:val="20"/>
              </w:rPr>
              <w:t xml:space="preserve">3.716</w:t>
            </w:r>
          </w:p>
        </w:tc>
        <w:tc>
          <w:tcPr/>
          <w:p>
            <w:pPr>
              <w:pStyle w:val="Compact"/>
              <w:spacing w:before="0" w:after="0" w:line="240" w:lineRule="auto"/>
              <w:ind w:firstLine="0" w:left="0"/>
            </w:pPr>
            <w:r>
              <w:rPr>
                <w:sz w:val="20"/>
                <w:szCs w:val="20"/>
              </w:rPr>
              <w:t xml:space="preserve">−12.59</w:t>
            </w:r>
          </w:p>
        </w:tc>
        <w:tc>
          <w:tcPr/>
          <w:p>
            <w:pPr>
              <w:pStyle w:val="Compact"/>
              <w:spacing w:before="0" w:after="0" w:line="240" w:lineRule="auto"/>
              <w:ind w:firstLine="0" w:left="0"/>
            </w:pPr>
            <w:r>
              <w:rPr>
                <w:sz w:val="20"/>
                <w:szCs w:val="20"/>
              </w:rPr>
              <w:t xml:space="preserve">6.48</w:t>
            </w:r>
          </w:p>
        </w:tc>
      </w:tr>
      <w:tr>
        <w:tc>
          <w:tcPr/>
          <w:p>
            <w:pPr>
              <w:pStyle w:val="Compact"/>
              <w:spacing w:before="0" w:after="0" w:line="240" w:lineRule="auto"/>
              <w:ind w:firstLine="0" w:left="0"/>
            </w:pPr>
            <w:r>
              <w:rPr>
                <w:sz w:val="20"/>
                <w:szCs w:val="20"/>
              </w:rPr>
              <w:t xml:space="preserve">2013–2019</w:t>
            </w:r>
          </w:p>
        </w:tc>
        <w:tc>
          <w:tcPr/>
          <w:p>
            <w:pPr>
              <w:pStyle w:val="Compact"/>
              <w:spacing w:before="0" w:after="0" w:line="240" w:lineRule="auto"/>
              <w:ind w:firstLine="0" w:left="0"/>
            </w:pPr>
            <w:r>
              <w:rPr>
                <w:sz w:val="20"/>
                <w:szCs w:val="20"/>
              </w:rPr>
              <w:t xml:space="preserve">CPI, all income</w:t>
            </w:r>
          </w:p>
        </w:tc>
        <w:tc>
          <w:tcPr/>
          <w:p>
            <w:pPr>
              <w:pStyle w:val="Compact"/>
              <w:spacing w:before="0" w:after="0" w:line="240" w:lineRule="auto"/>
              <w:ind w:firstLine="0" w:left="0"/>
            </w:pPr>
            <w:r>
              <w:rPr>
                <w:sz w:val="20"/>
                <w:szCs w:val="20"/>
              </w:rPr>
              <w:t xml:space="preserve">84</w:t>
            </w:r>
          </w:p>
        </w:tc>
        <w:tc>
          <w:tcPr/>
          <w:p>
            <w:pPr>
              <w:pStyle w:val="Compact"/>
              <w:spacing w:before="0" w:after="0" w:line="240" w:lineRule="auto"/>
              <w:ind w:firstLine="0" w:left="0"/>
            </w:pPr>
            <w:r>
              <w:rPr>
                <w:sz w:val="20"/>
                <w:szCs w:val="20"/>
              </w:rPr>
              <w:t xml:space="preserve">0.224</w:t>
            </w:r>
          </w:p>
        </w:tc>
        <w:tc>
          <w:tcPr/>
          <w:p>
            <w:pPr>
              <w:pStyle w:val="Compact"/>
              <w:spacing w:before="0" w:after="0" w:line="240" w:lineRule="auto"/>
              <w:ind w:firstLine="0" w:left="0"/>
            </w:pPr>
            <w:r>
              <w:rPr>
                <w:sz w:val="20"/>
                <w:szCs w:val="20"/>
              </w:rPr>
              <w:t xml:space="preserve">2.68</w:t>
            </w:r>
          </w:p>
        </w:tc>
        <w:tc>
          <w:tcPr/>
          <w:p>
            <w:pPr>
              <w:pStyle w:val="Compact"/>
              <w:spacing w:before="0" w:after="0" w:line="240" w:lineRule="auto"/>
              <w:ind w:firstLine="0" w:left="0"/>
            </w:pPr>
            <w:r>
              <w:rPr>
                <w:sz w:val="20"/>
                <w:szCs w:val="20"/>
              </w:rPr>
              <w:t xml:space="preserve">0.279</w:t>
            </w:r>
          </w:p>
        </w:tc>
        <w:tc>
          <w:tcPr/>
          <w:p>
            <w:pPr>
              <w:pStyle w:val="Compact"/>
              <w:spacing w:before="0" w:after="0" w:line="240" w:lineRule="auto"/>
              <w:ind w:firstLine="0" w:left="0"/>
            </w:pPr>
            <w:r>
              <w:rPr>
                <w:sz w:val="20"/>
                <w:szCs w:val="20"/>
              </w:rPr>
              <w:t xml:space="preserve">−0.59</w:t>
            </w:r>
          </w:p>
        </w:tc>
        <w:tc>
          <w:tcPr/>
          <w:p>
            <w:pPr>
              <w:pStyle w:val="Compact"/>
              <w:spacing w:before="0" w:after="0" w:line="240" w:lineRule="auto"/>
              <w:ind w:firstLine="0" w:left="0"/>
            </w:pPr>
            <w:r>
              <w:rPr>
                <w:sz w:val="20"/>
                <w:szCs w:val="20"/>
              </w:rPr>
              <w:t xml:space="preserve">0.98</w:t>
            </w:r>
          </w:p>
        </w:tc>
      </w:tr>
      <w:tr>
        <w:tc>
          <w:tcPr/>
          <w:p>
            <w:pPr>
              <w:pStyle w:val="Compact"/>
              <w:spacing w:before="0" w:after="0" w:line="240" w:lineRule="auto"/>
              <w:ind w:firstLine="0" w:left="0"/>
            </w:pPr>
            <w:r>
              <w:rPr>
                <w:sz w:val="20"/>
                <w:szCs w:val="20"/>
              </w:rPr>
              <w:t xml:space="preserve">2013–2019</w:t>
            </w:r>
          </w:p>
        </w:tc>
        <w:tc>
          <w:tcPr/>
          <w:p>
            <w:pPr>
              <w:pStyle w:val="Compact"/>
              <w:spacing w:before="0" w:after="0" w:line="240" w:lineRule="auto"/>
              <w:ind w:firstLine="0" w:left="0"/>
            </w:pPr>
            <w:r>
              <w:rPr>
                <w:sz w:val="20"/>
                <w:szCs w:val="20"/>
              </w:rPr>
              <w:t xml:space="preserve">CPI, bottom 30%</w:t>
            </w:r>
          </w:p>
        </w:tc>
        <w:tc>
          <w:tcPr/>
          <w:p>
            <w:pPr>
              <w:pStyle w:val="Compact"/>
              <w:spacing w:before="0" w:after="0" w:line="240" w:lineRule="auto"/>
              <w:ind w:firstLine="0" w:left="0"/>
            </w:pPr>
            <w:r>
              <w:rPr>
                <w:sz w:val="20"/>
                <w:szCs w:val="20"/>
              </w:rPr>
              <w:t xml:space="preserve">84</w:t>
            </w:r>
          </w:p>
        </w:tc>
        <w:tc>
          <w:tcPr/>
          <w:p>
            <w:pPr>
              <w:pStyle w:val="Compact"/>
              <w:spacing w:before="0" w:after="0" w:line="240" w:lineRule="auto"/>
              <w:ind w:firstLine="0" w:left="0"/>
            </w:pPr>
            <w:r>
              <w:rPr>
                <w:sz w:val="20"/>
                <w:szCs w:val="20"/>
              </w:rPr>
              <w:t xml:space="preserve">0.238</w:t>
            </w:r>
          </w:p>
        </w:tc>
        <w:tc>
          <w:tcPr/>
          <w:p>
            <w:pPr>
              <w:pStyle w:val="Compact"/>
              <w:spacing w:before="0" w:after="0" w:line="240" w:lineRule="auto"/>
              <w:ind w:firstLine="0" w:left="0"/>
            </w:pPr>
            <w:r>
              <w:rPr>
                <w:sz w:val="20"/>
                <w:szCs w:val="20"/>
              </w:rPr>
              <w:t xml:space="preserve">2.86</w:t>
            </w:r>
          </w:p>
        </w:tc>
        <w:tc>
          <w:tcPr/>
          <w:p>
            <w:pPr>
              <w:pStyle w:val="Compact"/>
              <w:spacing w:before="0" w:after="0" w:line="240" w:lineRule="auto"/>
              <w:ind w:firstLine="0" w:left="0"/>
            </w:pPr>
            <w:r>
              <w:rPr>
                <w:sz w:val="20"/>
                <w:szCs w:val="20"/>
              </w:rPr>
              <w:t xml:space="preserve">0.354</w:t>
            </w:r>
          </w:p>
        </w:tc>
        <w:tc>
          <w:tcPr/>
          <w:p>
            <w:pPr>
              <w:pStyle w:val="Compact"/>
              <w:spacing w:before="0" w:after="0" w:line="240" w:lineRule="auto"/>
              <w:ind w:firstLine="0" w:left="0"/>
            </w:pPr>
            <w:r>
              <w:rPr>
                <w:sz w:val="20"/>
                <w:szCs w:val="20"/>
              </w:rPr>
              <w:t xml:space="preserve">−0.78</w:t>
            </w:r>
          </w:p>
        </w:tc>
        <w:tc>
          <w:tcPr/>
          <w:p>
            <w:pPr>
              <w:pStyle w:val="Compact"/>
              <w:spacing w:before="0" w:after="0" w:line="240" w:lineRule="auto"/>
              <w:ind w:firstLine="0" w:left="0"/>
            </w:pPr>
            <w:r>
              <w:rPr>
                <w:sz w:val="20"/>
                <w:szCs w:val="20"/>
              </w:rPr>
              <w:t xml:space="preserve">1.57</w:t>
            </w:r>
          </w:p>
        </w:tc>
      </w:tr>
      <w:tr>
        <w:tc>
          <w:tcPr/>
          <w:p>
            <w:pPr>
              <w:pStyle w:val="Compact"/>
              <w:spacing w:before="0" w:after="0" w:line="240" w:lineRule="auto"/>
              <w:ind w:firstLine="0" w:left="0"/>
            </w:pPr>
            <w:r>
              <w:rPr>
                <w:sz w:val="20"/>
                <w:szCs w:val="20"/>
              </w:rPr>
              <w:t xml:space="preserve">2013–2019</w:t>
            </w:r>
          </w:p>
        </w:tc>
        <w:tc>
          <w:tcPr/>
          <w:p>
            <w:pPr>
              <w:pStyle w:val="Compact"/>
              <w:spacing w:before="0" w:after="0" w:line="240" w:lineRule="auto"/>
              <w:ind w:firstLine="0" w:left="0"/>
            </w:pPr>
            <w:r>
              <w:rPr>
                <w:sz w:val="20"/>
                <w:szCs w:val="20"/>
              </w:rPr>
              <w:t xml:space="preserve">Gap: ln(CPI all/CPI b30)</w:t>
            </w:r>
          </w:p>
        </w:tc>
        <w:tc>
          <w:tcPr/>
          <w:p>
            <w:pPr>
              <w:pStyle w:val="Compact"/>
              <w:spacing w:before="0" w:after="0" w:line="240" w:lineRule="auto"/>
              <w:ind w:firstLine="0" w:left="0"/>
            </w:pPr>
            <w:r>
              <w:rPr>
                <w:sz w:val="20"/>
                <w:szCs w:val="20"/>
              </w:rPr>
              <w:t xml:space="preserve">84</w:t>
            </w:r>
          </w:p>
        </w:tc>
        <w:tc>
          <w:tcPr/>
          <w:p>
            <w:pPr>
              <w:pStyle w:val="Compact"/>
              <w:spacing w:before="0" w:after="0" w:line="240" w:lineRule="auto"/>
              <w:ind w:firstLine="0" w:left="0"/>
            </w:pPr>
            <w:r>
              <w:rPr>
                <w:sz w:val="20"/>
                <w:szCs w:val="20"/>
              </w:rPr>
              <w:t xml:space="preserve">−0.015</w:t>
            </w:r>
          </w:p>
        </w:tc>
        <w:tc>
          <w:tcPr/>
          <w:p>
            <w:pPr>
              <w:pStyle w:val="Compact"/>
              <w:spacing w:before="0" w:after="0" w:line="240" w:lineRule="auto"/>
              <w:ind w:firstLine="0" w:left="0"/>
            </w:pPr>
            <w:r>
              <w:rPr>
                <w:sz w:val="20"/>
                <w:szCs w:val="20"/>
              </w:rPr>
              <w:t xml:space="preserve">−0.18</w:t>
            </w:r>
          </w:p>
        </w:tc>
        <w:tc>
          <w:tcPr/>
          <w:p>
            <w:pPr>
              <w:pStyle w:val="Compact"/>
              <w:spacing w:before="0" w:after="0" w:line="240" w:lineRule="auto"/>
              <w:ind w:firstLine="0" w:left="0"/>
            </w:pPr>
            <w:r>
              <w:rPr>
                <w:sz w:val="20"/>
                <w:szCs w:val="20"/>
              </w:rPr>
              <w:t xml:space="preserve">0.171</w:t>
            </w:r>
          </w:p>
        </w:tc>
        <w:tc>
          <w:tcPr/>
          <w:p>
            <w:pPr>
              <w:pStyle w:val="Compact"/>
              <w:spacing w:before="0" w:after="0" w:line="240" w:lineRule="auto"/>
              <w:ind w:firstLine="0" w:left="0"/>
            </w:pPr>
            <w:r>
              <w:rPr>
                <w:sz w:val="20"/>
                <w:szCs w:val="20"/>
              </w:rPr>
              <w:t xml:space="preserve">−0.58</w:t>
            </w:r>
          </w:p>
        </w:tc>
        <w:tc>
          <w:tcPr/>
          <w:p>
            <w:pPr>
              <w:pStyle w:val="Compact"/>
              <w:spacing w:before="0" w:after="0" w:line="240" w:lineRule="auto"/>
              <w:ind w:firstLine="0" w:left="0"/>
            </w:pPr>
            <w:r>
              <w:rPr>
                <w:sz w:val="20"/>
                <w:szCs w:val="20"/>
              </w:rPr>
              <w:t xml:space="preserve">0.30</w:t>
            </w:r>
          </w:p>
        </w:tc>
      </w:tr>
      <w:tr>
        <w:tc>
          <w:tcPr/>
          <w:p>
            <w:pPr>
              <w:pStyle w:val="Compact"/>
              <w:spacing w:before="0" w:after="0" w:line="240" w:lineRule="auto"/>
              <w:ind w:firstLine="0" w:left="0"/>
            </w:pPr>
            <w:r>
              <w:rPr>
                <w:sz w:val="20"/>
                <w:szCs w:val="20"/>
              </w:rPr>
              <w:t xml:space="preserve">2020–2025</w:t>
            </w:r>
          </w:p>
        </w:tc>
        <w:tc>
          <w:tcPr/>
          <w:p>
            <w:pPr>
              <w:pStyle w:val="Compact"/>
              <w:spacing w:before="0" w:after="0" w:line="240" w:lineRule="auto"/>
              <w:ind w:firstLine="0" w:left="0"/>
            </w:pPr>
            <w:r>
              <w:rPr>
                <w:sz w:val="20"/>
                <w:szCs w:val="20"/>
              </w:rPr>
              <w:t xml:space="preserve">Fuel index (07.2.2)</w:t>
            </w:r>
          </w:p>
        </w:tc>
        <w:tc>
          <w:tcPr/>
          <w:p>
            <w:pPr>
              <w:pStyle w:val="Compact"/>
              <w:spacing w:before="0" w:after="0" w:line="240" w:lineRule="auto"/>
              <w:ind w:firstLine="0" w:left="0"/>
            </w:pPr>
            <w:r>
              <w:rPr>
                <w:sz w:val="20"/>
                <w:szCs w:val="20"/>
              </w:rPr>
              <w:t xml:space="preserve">72</w:t>
            </w:r>
          </w:p>
        </w:tc>
        <w:tc>
          <w:tcPr/>
          <w:p>
            <w:pPr>
              <w:pStyle w:val="Compact"/>
              <w:spacing w:before="0" w:after="0" w:line="240" w:lineRule="auto"/>
              <w:ind w:firstLine="0" w:left="0"/>
            </w:pPr>
            <w:r>
              <w:rPr>
                <w:sz w:val="20"/>
                <w:szCs w:val="20"/>
              </w:rPr>
              <w:t xml:space="preserve">0.293</w:t>
            </w:r>
          </w:p>
        </w:tc>
        <w:tc>
          <w:tcPr/>
          <w:p>
            <w:pPr>
              <w:pStyle w:val="Compact"/>
              <w:spacing w:before="0" w:after="0" w:line="240" w:lineRule="auto"/>
              <w:ind w:firstLine="0" w:left="0"/>
            </w:pPr>
            <w:r>
              <w:rPr>
                <w:sz w:val="20"/>
                <w:szCs w:val="20"/>
              </w:rPr>
              <w:t xml:space="preserve">3.52</w:t>
            </w:r>
          </w:p>
        </w:tc>
        <w:tc>
          <w:tcPr/>
          <w:p>
            <w:pPr>
              <w:pStyle w:val="Compact"/>
              <w:spacing w:before="0" w:after="0" w:line="240" w:lineRule="auto"/>
              <w:ind w:firstLine="0" w:left="0"/>
            </w:pPr>
            <w:r>
              <w:rPr>
                <w:sz w:val="20"/>
                <w:szCs w:val="20"/>
              </w:rPr>
              <w:t xml:space="preserve">4.699</w:t>
            </w:r>
          </w:p>
        </w:tc>
        <w:tc>
          <w:tcPr/>
          <w:p>
            <w:pPr>
              <w:pStyle w:val="Compact"/>
              <w:spacing w:before="0" w:after="0" w:line="240" w:lineRule="auto"/>
              <w:ind w:firstLine="0" w:left="0"/>
            </w:pPr>
            <w:r>
              <w:rPr>
                <w:sz w:val="20"/>
                <w:szCs w:val="20"/>
              </w:rPr>
              <w:t xml:space="preserve">−18.10</w:t>
            </w:r>
          </w:p>
        </w:tc>
        <w:tc>
          <w:tcPr/>
          <w:p>
            <w:pPr>
              <w:pStyle w:val="Compact"/>
              <w:spacing w:before="0" w:after="0" w:line="240" w:lineRule="auto"/>
              <w:ind w:firstLine="0" w:left="0"/>
            </w:pPr>
            <w:r>
              <w:rPr>
                <w:sz w:val="20"/>
                <w:szCs w:val="20"/>
              </w:rPr>
              <w:t xml:space="preserve">12.00</w:t>
            </w:r>
          </w:p>
        </w:tc>
      </w:tr>
      <w:tr>
        <w:tc>
          <w:tcPr/>
          <w:p>
            <w:pPr>
              <w:pStyle w:val="Compact"/>
              <w:spacing w:before="0" w:after="0" w:line="240" w:lineRule="auto"/>
              <w:ind w:firstLine="0" w:left="0"/>
            </w:pPr>
            <w:r>
              <w:rPr>
                <w:sz w:val="20"/>
                <w:szCs w:val="20"/>
              </w:rPr>
              <w:t xml:space="preserve">2020–2025</w:t>
            </w:r>
          </w:p>
        </w:tc>
        <w:tc>
          <w:tcPr/>
          <w:p>
            <w:pPr>
              <w:pStyle w:val="Compact"/>
              <w:spacing w:before="0" w:after="0" w:line="240" w:lineRule="auto"/>
              <w:ind w:firstLine="0" w:left="0"/>
            </w:pPr>
            <w:r>
              <w:rPr>
                <w:sz w:val="20"/>
                <w:szCs w:val="20"/>
              </w:rPr>
              <w:t xml:space="preserve">CPI, all income</w:t>
            </w:r>
          </w:p>
        </w:tc>
        <w:tc>
          <w:tcPr/>
          <w:p>
            <w:pPr>
              <w:pStyle w:val="Compact"/>
              <w:spacing w:before="0" w:after="0" w:line="240" w:lineRule="auto"/>
              <w:ind w:firstLine="0" w:left="0"/>
            </w:pPr>
            <w:r>
              <w:rPr>
                <w:sz w:val="20"/>
                <w:szCs w:val="20"/>
              </w:rPr>
              <w:t xml:space="preserve">72</w:t>
            </w:r>
          </w:p>
        </w:tc>
        <w:tc>
          <w:tcPr/>
          <w:p>
            <w:pPr>
              <w:pStyle w:val="Compact"/>
              <w:spacing w:before="0" w:after="0" w:line="240" w:lineRule="auto"/>
              <w:ind w:firstLine="0" w:left="0"/>
            </w:pPr>
            <w:r>
              <w:rPr>
                <w:sz w:val="20"/>
                <w:szCs w:val="20"/>
              </w:rPr>
              <w:t xml:space="preserve">0.313</w:t>
            </w:r>
          </w:p>
        </w:tc>
        <w:tc>
          <w:tcPr/>
          <w:p>
            <w:pPr>
              <w:pStyle w:val="Compact"/>
              <w:spacing w:before="0" w:after="0" w:line="240" w:lineRule="auto"/>
              <w:ind w:firstLine="0" w:left="0"/>
            </w:pPr>
            <w:r>
              <w:rPr>
                <w:sz w:val="20"/>
                <w:szCs w:val="20"/>
              </w:rPr>
              <w:t xml:space="preserve">3.75</w:t>
            </w:r>
          </w:p>
        </w:tc>
        <w:tc>
          <w:tcPr/>
          <w:p>
            <w:pPr>
              <w:pStyle w:val="Compact"/>
              <w:spacing w:before="0" w:after="0" w:line="240" w:lineRule="auto"/>
              <w:ind w:firstLine="0" w:left="0"/>
            </w:pPr>
            <w:r>
              <w:rPr>
                <w:sz w:val="20"/>
                <w:szCs w:val="20"/>
              </w:rPr>
              <w:t xml:space="preserve">0.432</w:t>
            </w:r>
          </w:p>
        </w:tc>
        <w:tc>
          <w:tcPr/>
          <w:p>
            <w:pPr>
              <w:pStyle w:val="Compact"/>
              <w:spacing w:before="0" w:after="0" w:line="240" w:lineRule="auto"/>
              <w:ind w:firstLine="0" w:left="0"/>
            </w:pPr>
            <w:r>
              <w:rPr>
                <w:sz w:val="20"/>
                <w:szCs w:val="20"/>
              </w:rPr>
              <w:t xml:space="preserve">−0.39</w:t>
            </w:r>
          </w:p>
        </w:tc>
        <w:tc>
          <w:tcPr/>
          <w:p>
            <w:pPr>
              <w:pStyle w:val="Compact"/>
              <w:spacing w:before="0" w:after="0" w:line="240" w:lineRule="auto"/>
              <w:ind w:firstLine="0" w:left="0"/>
            </w:pPr>
            <w:r>
              <w:rPr>
                <w:sz w:val="20"/>
                <w:szCs w:val="20"/>
              </w:rPr>
              <w:t xml:space="preserve">1.66</w:t>
            </w:r>
          </w:p>
        </w:tc>
      </w:tr>
      <w:tr>
        <w:tc>
          <w:tcPr/>
          <w:p>
            <w:pPr>
              <w:pStyle w:val="Compact"/>
              <w:spacing w:before="0" w:after="0" w:line="240" w:lineRule="auto"/>
              <w:ind w:firstLine="0" w:left="0"/>
            </w:pPr>
            <w:r>
              <w:rPr>
                <w:sz w:val="20"/>
                <w:szCs w:val="20"/>
              </w:rPr>
              <w:t xml:space="preserve">2020–2025</w:t>
            </w:r>
          </w:p>
        </w:tc>
        <w:tc>
          <w:tcPr/>
          <w:p>
            <w:pPr>
              <w:pStyle w:val="Compact"/>
              <w:spacing w:before="0" w:after="0" w:line="240" w:lineRule="auto"/>
              <w:ind w:firstLine="0" w:left="0"/>
            </w:pPr>
            <w:r>
              <w:rPr>
                <w:sz w:val="20"/>
                <w:szCs w:val="20"/>
              </w:rPr>
              <w:t xml:space="preserve">CPI, bottom 30%</w:t>
            </w:r>
          </w:p>
        </w:tc>
        <w:tc>
          <w:tcPr/>
          <w:p>
            <w:pPr>
              <w:pStyle w:val="Compact"/>
              <w:spacing w:before="0" w:after="0" w:line="240" w:lineRule="auto"/>
              <w:ind w:firstLine="0" w:left="0"/>
            </w:pPr>
            <w:r>
              <w:rPr>
                <w:sz w:val="20"/>
                <w:szCs w:val="20"/>
              </w:rPr>
              <w:t xml:space="preserve">72</w:t>
            </w:r>
          </w:p>
        </w:tc>
        <w:tc>
          <w:tcPr/>
          <w:p>
            <w:pPr>
              <w:pStyle w:val="Compact"/>
              <w:spacing w:before="0" w:after="0" w:line="240" w:lineRule="auto"/>
              <w:ind w:firstLine="0" w:left="0"/>
            </w:pPr>
            <w:r>
              <w:rPr>
                <w:sz w:val="20"/>
                <w:szCs w:val="20"/>
              </w:rPr>
              <w:t xml:space="preserve">0.338</w:t>
            </w:r>
          </w:p>
        </w:tc>
        <w:tc>
          <w:tcPr/>
          <w:p>
            <w:pPr>
              <w:pStyle w:val="Compact"/>
              <w:spacing w:before="0" w:after="0" w:line="240" w:lineRule="auto"/>
              <w:ind w:firstLine="0" w:left="0"/>
            </w:pPr>
            <w:r>
              <w:rPr>
                <w:sz w:val="20"/>
                <w:szCs w:val="20"/>
              </w:rPr>
              <w:t xml:space="preserve">4.06</w:t>
            </w:r>
          </w:p>
        </w:tc>
        <w:tc>
          <w:tcPr/>
          <w:p>
            <w:pPr>
              <w:pStyle w:val="Compact"/>
              <w:spacing w:before="0" w:after="0" w:line="240" w:lineRule="auto"/>
              <w:ind w:firstLine="0" w:left="0"/>
            </w:pPr>
            <w:r>
              <w:rPr>
                <w:sz w:val="20"/>
                <w:szCs w:val="20"/>
              </w:rPr>
              <w:t xml:space="preserve">0.546</w:t>
            </w:r>
          </w:p>
        </w:tc>
        <w:tc>
          <w:tcPr/>
          <w:p>
            <w:pPr>
              <w:pStyle w:val="Compact"/>
              <w:spacing w:before="0" w:after="0" w:line="240" w:lineRule="auto"/>
              <w:ind w:firstLine="0" w:left="0"/>
            </w:pPr>
            <w:r>
              <w:rPr>
                <w:sz w:val="20"/>
                <w:szCs w:val="20"/>
              </w:rPr>
              <w:t xml:space="preserve">−0.85</w:t>
            </w:r>
          </w:p>
        </w:tc>
        <w:tc>
          <w:tcPr/>
          <w:p>
            <w:pPr>
              <w:pStyle w:val="Compact"/>
              <w:spacing w:before="0" w:after="0" w:line="240" w:lineRule="auto"/>
              <w:ind w:firstLine="0" w:left="0"/>
            </w:pPr>
            <w:r>
              <w:rPr>
                <w:sz w:val="20"/>
                <w:szCs w:val="20"/>
              </w:rPr>
              <w:t xml:space="preserve">1.97</w:t>
            </w:r>
          </w:p>
        </w:tc>
      </w:tr>
      <w:tr>
        <w:tc>
          <w:tcPr/>
          <w:p>
            <w:pPr>
              <w:pStyle w:val="Compact"/>
              <w:spacing w:before="0" w:after="0" w:line="240" w:lineRule="auto"/>
              <w:ind w:firstLine="0" w:left="0"/>
            </w:pPr>
            <w:r>
              <w:rPr>
                <w:sz w:val="20"/>
                <w:szCs w:val="20"/>
              </w:rPr>
              <w:t xml:space="preserve">2020–2025</w:t>
            </w:r>
          </w:p>
        </w:tc>
        <w:tc>
          <w:tcPr/>
          <w:p>
            <w:pPr>
              <w:pStyle w:val="Compact"/>
              <w:spacing w:before="0" w:after="0" w:line="240" w:lineRule="auto"/>
              <w:ind w:firstLine="0" w:left="0"/>
            </w:pPr>
            <w:r>
              <w:rPr>
                <w:sz w:val="20"/>
                <w:szCs w:val="20"/>
              </w:rPr>
              <w:t xml:space="preserve">Gap: ln(CPI all/CPI b30)</w:t>
            </w:r>
          </w:p>
        </w:tc>
        <w:tc>
          <w:tcPr/>
          <w:p>
            <w:pPr>
              <w:pStyle w:val="Compact"/>
              <w:spacing w:before="0" w:after="0" w:line="240" w:lineRule="auto"/>
              <w:ind w:firstLine="0" w:left="0"/>
            </w:pPr>
            <w:r>
              <w:rPr>
                <w:sz w:val="20"/>
                <w:szCs w:val="20"/>
              </w:rPr>
              <w:t xml:space="preserve">72</w:t>
            </w:r>
          </w:p>
        </w:tc>
        <w:tc>
          <w:tcPr/>
          <w:p>
            <w:pPr>
              <w:pStyle w:val="Compact"/>
              <w:spacing w:before="0" w:after="0" w:line="240" w:lineRule="auto"/>
              <w:ind w:firstLine="0" w:left="0"/>
            </w:pPr>
            <w:r>
              <w:rPr>
                <w:sz w:val="20"/>
                <w:szCs w:val="20"/>
              </w:rPr>
              <w:t xml:space="preserve">−0.026</w:t>
            </w:r>
          </w:p>
        </w:tc>
        <w:tc>
          <w:tcPr/>
          <w:p>
            <w:pPr>
              <w:pStyle w:val="Compact"/>
              <w:spacing w:before="0" w:after="0" w:line="240" w:lineRule="auto"/>
              <w:ind w:firstLine="0" w:left="0"/>
            </w:pPr>
            <w:r>
              <w:rPr>
                <w:sz w:val="20"/>
                <w:szCs w:val="20"/>
              </w:rPr>
              <w:t xml:space="preserve">−0.31</w:t>
            </w:r>
          </w:p>
        </w:tc>
        <w:tc>
          <w:tcPr/>
          <w:p>
            <w:pPr>
              <w:pStyle w:val="Compact"/>
              <w:spacing w:before="0" w:after="0" w:line="240" w:lineRule="auto"/>
              <w:ind w:firstLine="0" w:left="0"/>
            </w:pPr>
            <w:r>
              <w:rPr>
                <w:sz w:val="20"/>
                <w:szCs w:val="20"/>
              </w:rPr>
              <w:t xml:space="preserve">0.245</w:t>
            </w:r>
          </w:p>
        </w:tc>
        <w:tc>
          <w:tcPr/>
          <w:p>
            <w:pPr>
              <w:pStyle w:val="Compact"/>
              <w:spacing w:before="0" w:after="0" w:line="240" w:lineRule="auto"/>
              <w:ind w:firstLine="0" w:left="0"/>
            </w:pPr>
            <w:r>
              <w:rPr>
                <w:sz w:val="20"/>
                <w:szCs w:val="20"/>
              </w:rPr>
              <w:t xml:space="preserve">−0.76</w:t>
            </w:r>
          </w:p>
        </w:tc>
        <w:tc>
          <w:tcPr/>
          <w:p>
            <w:pPr>
              <w:pStyle w:val="Compact"/>
              <w:spacing w:before="0" w:after="0" w:line="240" w:lineRule="auto"/>
              <w:ind w:firstLine="0" w:left="0"/>
            </w:pPr>
            <w:r>
              <w:rPr>
                <w:sz w:val="20"/>
                <w:szCs w:val="20"/>
              </w:rPr>
              <w:t xml:space="preserve">0.55</w:t>
            </w:r>
          </w:p>
        </w:tc>
      </w:tr>
      <w:tr>
        <w:tc>
          <w:tcPr/>
          <w:p>
            <w:pPr>
              <w:pStyle w:val="Compact"/>
              <w:spacing w:before="0" w:after="0" w:line="240" w:lineRule="auto"/>
              <w:ind w:firstLine="0" w:left="0"/>
            </w:pPr>
            <w:r>
              <w:rPr>
                <w:sz w:val="20"/>
                <w:szCs w:val="20"/>
              </w:rPr>
              <w:t xml:space="preserve">2026 (Jan–Aug)</w:t>
            </w:r>
          </w:p>
        </w:tc>
        <w:tc>
          <w:tcPr/>
          <w:p>
            <w:pPr>
              <w:pStyle w:val="Compact"/>
              <w:spacing w:before="0" w:after="0" w:line="240" w:lineRule="auto"/>
              <w:ind w:firstLine="0" w:left="0"/>
            </w:pPr>
            <w:r>
              <w:rPr>
                <w:sz w:val="20"/>
                <w:szCs w:val="20"/>
              </w:rPr>
              <w:t xml:space="preserve">Fuel index (07.2.2)</w:t>
            </w:r>
          </w:p>
        </w:tc>
        <w:tc>
          <w:tcPr/>
          <w:p>
            <w:pPr>
              <w:pStyle w:val="Compact"/>
              <w:spacing w:before="0" w:after="0" w:line="240" w:lineRule="auto"/>
              <w:ind w:firstLine="0" w:left="0"/>
            </w:pPr>
            <w:r>
              <w:rPr>
                <w:sz w:val="20"/>
                <w:szCs w:val="20"/>
              </w:rPr>
              <w:t xml:space="preserve">8</w:t>
            </w:r>
          </w:p>
        </w:tc>
        <w:tc>
          <w:tcPr/>
          <w:p>
            <w:pPr>
              <w:pStyle w:val="Compact"/>
              <w:spacing w:before="0" w:after="0" w:line="240" w:lineRule="auto"/>
              <w:ind w:firstLine="0" w:left="0"/>
            </w:pPr>
            <w:r>
              <w:rPr>
                <w:sz w:val="20"/>
                <w:szCs w:val="20"/>
              </w:rPr>
              <w:t xml:space="preserve">4.062</w:t>
            </w:r>
          </w:p>
        </w:tc>
        <w:tc>
          <w:tcPr/>
          <w:p>
            <w:pPr>
              <w:pStyle w:val="Compact"/>
              <w:spacing w:before="0" w:after="0" w:line="240" w:lineRule="auto"/>
              <w:ind w:firstLine="0" w:left="0"/>
            </w:pPr>
            <w:r>
              <w:rPr>
                <w:sz w:val="20"/>
                <w:szCs w:val="20"/>
              </w:rPr>
              <w:t xml:space="preserve">48.75</w:t>
            </w:r>
          </w:p>
        </w:tc>
        <w:tc>
          <w:tcPr/>
          <w:p>
            <w:pPr>
              <w:pStyle w:val="Compact"/>
              <w:spacing w:before="0" w:after="0" w:line="240" w:lineRule="auto"/>
              <w:ind w:firstLine="0" w:left="0"/>
            </w:pPr>
            <w:r>
              <w:rPr>
                <w:sz w:val="20"/>
                <w:szCs w:val="20"/>
              </w:rPr>
              <w:t xml:space="preserve">16.215</w:t>
            </w:r>
          </w:p>
        </w:tc>
        <w:tc>
          <w:tcPr/>
          <w:p>
            <w:pPr>
              <w:pStyle w:val="Compact"/>
              <w:spacing w:before="0" w:after="0" w:line="240" w:lineRule="auto"/>
              <w:ind w:firstLine="0" w:left="0"/>
            </w:pPr>
            <w:r>
              <w:rPr>
                <w:sz w:val="20"/>
                <w:szCs w:val="20"/>
              </w:rPr>
              <w:t xml:space="preserve">−17.71</w:t>
            </w:r>
          </w:p>
        </w:tc>
        <w:tc>
          <w:tcPr/>
          <w:p>
            <w:pPr>
              <w:pStyle w:val="Compact"/>
              <w:spacing w:before="0" w:after="0" w:line="240" w:lineRule="auto"/>
              <w:ind w:firstLine="0" w:left="0"/>
            </w:pPr>
            <w:r>
              <w:rPr>
                <w:sz w:val="20"/>
                <w:szCs w:val="20"/>
              </w:rPr>
              <w:t xml:space="preserve">31.79</w:t>
            </w:r>
          </w:p>
        </w:tc>
      </w:tr>
      <w:tr>
        <w:tc>
          <w:tcPr/>
          <w:p>
            <w:pPr>
              <w:pStyle w:val="Compact"/>
              <w:spacing w:before="0" w:after="0" w:line="240" w:lineRule="auto"/>
              <w:ind w:firstLine="0" w:left="0"/>
            </w:pPr>
            <w:r>
              <w:rPr>
                <w:sz w:val="20"/>
                <w:szCs w:val="20"/>
              </w:rPr>
              <w:t xml:space="preserve">2026 (Jan–Aug)</w:t>
            </w:r>
          </w:p>
        </w:tc>
        <w:tc>
          <w:tcPr/>
          <w:p>
            <w:pPr>
              <w:pStyle w:val="Compact"/>
              <w:spacing w:before="0" w:after="0" w:line="240" w:lineRule="auto"/>
              <w:ind w:firstLine="0" w:left="0"/>
            </w:pPr>
            <w:r>
              <w:rPr>
                <w:sz w:val="20"/>
                <w:szCs w:val="20"/>
              </w:rPr>
              <w:t xml:space="preserve">CPI, all income</w:t>
            </w:r>
          </w:p>
        </w:tc>
        <w:tc>
          <w:tcPr/>
          <w:p>
            <w:pPr>
              <w:pStyle w:val="Compact"/>
              <w:spacing w:before="0" w:after="0" w:line="240" w:lineRule="auto"/>
              <w:ind w:firstLine="0" w:left="0"/>
            </w:pPr>
            <w:r>
              <w:rPr>
                <w:sz w:val="20"/>
                <w:szCs w:val="20"/>
              </w:rPr>
              <w:t xml:space="preserve">8</w:t>
            </w:r>
          </w:p>
        </w:tc>
        <w:tc>
          <w:tcPr/>
          <w:p>
            <w:pPr>
              <w:pStyle w:val="Compact"/>
              <w:spacing w:before="0" w:after="0" w:line="240" w:lineRule="auto"/>
              <w:ind w:firstLine="0" w:left="0"/>
            </w:pPr>
            <w:r>
              <w:rPr>
                <w:sz w:val="20"/>
                <w:szCs w:val="20"/>
              </w:rPr>
              <w:t xml:space="preserve">0.601</w:t>
            </w:r>
          </w:p>
        </w:tc>
        <w:tc>
          <w:tcPr/>
          <w:p>
            <w:pPr>
              <w:pStyle w:val="Compact"/>
              <w:spacing w:before="0" w:after="0" w:line="240" w:lineRule="auto"/>
              <w:ind w:firstLine="0" w:left="0"/>
            </w:pPr>
            <w:r>
              <w:rPr>
                <w:sz w:val="20"/>
                <w:szCs w:val="20"/>
              </w:rPr>
              <w:t xml:space="preserve">7.21</w:t>
            </w:r>
          </w:p>
        </w:tc>
        <w:tc>
          <w:tcPr/>
          <w:p>
            <w:pPr>
              <w:pStyle w:val="Compact"/>
              <w:spacing w:before="0" w:after="0" w:line="240" w:lineRule="auto"/>
              <w:ind w:firstLine="0" w:left="0"/>
            </w:pPr>
            <w:r>
              <w:rPr>
                <w:sz w:val="20"/>
                <w:szCs w:val="20"/>
              </w:rPr>
              <w:t xml:space="preserve">0.999</w:t>
            </w:r>
          </w:p>
        </w:tc>
        <w:tc>
          <w:tcPr/>
          <w:p>
            <w:pPr>
              <w:pStyle w:val="Compact"/>
              <w:spacing w:before="0" w:after="0" w:line="240" w:lineRule="auto"/>
              <w:ind w:firstLine="0" w:left="0"/>
            </w:pPr>
            <w:r>
              <w:rPr>
                <w:sz w:val="20"/>
                <w:szCs w:val="20"/>
              </w:rPr>
              <w:t xml:space="preserve">−0.51</w:t>
            </w:r>
          </w:p>
        </w:tc>
        <w:tc>
          <w:tcPr/>
          <w:p>
            <w:pPr>
              <w:pStyle w:val="Compact"/>
              <w:spacing w:before="0" w:after="0" w:line="240" w:lineRule="auto"/>
              <w:ind w:firstLine="0" w:left="0"/>
            </w:pPr>
            <w:r>
              <w:rPr>
                <w:sz w:val="20"/>
                <w:szCs w:val="20"/>
              </w:rPr>
              <w:t xml:space="preserve">2.60</w:t>
            </w:r>
          </w:p>
        </w:tc>
      </w:tr>
      <w:tr>
        <w:tc>
          <w:tcPr/>
          <w:p>
            <w:pPr>
              <w:pStyle w:val="Compact"/>
              <w:spacing w:before="0" w:after="0" w:line="240" w:lineRule="auto"/>
              <w:ind w:firstLine="0" w:left="0"/>
            </w:pPr>
            <w:r>
              <w:rPr>
                <w:sz w:val="20"/>
                <w:szCs w:val="20"/>
              </w:rPr>
              <w:t xml:space="preserve">2026 (Jan–Aug)</w:t>
            </w:r>
          </w:p>
        </w:tc>
        <w:tc>
          <w:tcPr/>
          <w:p>
            <w:pPr>
              <w:pStyle w:val="Compact"/>
              <w:spacing w:before="0" w:after="0" w:line="240" w:lineRule="auto"/>
              <w:ind w:firstLine="0" w:left="0"/>
            </w:pPr>
            <w:r>
              <w:rPr>
                <w:sz w:val="20"/>
                <w:szCs w:val="20"/>
              </w:rPr>
              <w:t xml:space="preserve">CPI, bottom 30%</w:t>
            </w:r>
          </w:p>
        </w:tc>
        <w:tc>
          <w:tcPr/>
          <w:p>
            <w:pPr>
              <w:pStyle w:val="Compact"/>
              <w:spacing w:before="0" w:after="0" w:line="240" w:lineRule="auto"/>
              <w:ind w:firstLine="0" w:left="0"/>
            </w:pPr>
            <w:r>
              <w:rPr>
                <w:sz w:val="20"/>
                <w:szCs w:val="20"/>
              </w:rPr>
              <w:t xml:space="preserve">8</w:t>
            </w:r>
          </w:p>
        </w:tc>
        <w:tc>
          <w:tcPr/>
          <w:p>
            <w:pPr>
              <w:pStyle w:val="Compact"/>
              <w:spacing w:before="0" w:after="0" w:line="240" w:lineRule="auto"/>
              <w:ind w:firstLine="0" w:left="0"/>
            </w:pPr>
            <w:r>
              <w:rPr>
                <w:sz w:val="20"/>
                <w:szCs w:val="20"/>
              </w:rPr>
              <w:t xml:space="preserve">0.748</w:t>
            </w:r>
          </w:p>
        </w:tc>
        <w:tc>
          <w:tcPr/>
          <w:p>
            <w:pPr>
              <w:pStyle w:val="Compact"/>
              <w:spacing w:before="0" w:after="0" w:line="240" w:lineRule="auto"/>
              <w:ind w:firstLine="0" w:left="0"/>
            </w:pPr>
            <w:r>
              <w:rPr>
                <w:sz w:val="20"/>
                <w:szCs w:val="20"/>
              </w:rPr>
              <w:t xml:space="preserve">8.97</w:t>
            </w:r>
          </w:p>
        </w:tc>
        <w:tc>
          <w:tcPr/>
          <w:p>
            <w:pPr>
              <w:pStyle w:val="Compact"/>
              <w:spacing w:before="0" w:after="0" w:line="240" w:lineRule="auto"/>
              <w:ind w:firstLine="0" w:left="0"/>
            </w:pPr>
            <w:r>
              <w:rPr>
                <w:sz w:val="20"/>
                <w:szCs w:val="20"/>
              </w:rPr>
              <w:t xml:space="preserve">1.129</w:t>
            </w:r>
          </w:p>
        </w:tc>
        <w:tc>
          <w:tcPr/>
          <w:p>
            <w:pPr>
              <w:pStyle w:val="Compact"/>
              <w:spacing w:before="0" w:after="0" w:line="240" w:lineRule="auto"/>
              <w:ind w:firstLine="0" w:left="0"/>
            </w:pPr>
            <w:r>
              <w:rPr>
                <w:sz w:val="20"/>
                <w:szCs w:val="20"/>
              </w:rPr>
              <w:t xml:space="preserve">−0.43</w:t>
            </w:r>
          </w:p>
        </w:tc>
        <w:tc>
          <w:tcPr/>
          <w:p>
            <w:pPr>
              <w:pStyle w:val="Compact"/>
              <w:spacing w:before="0" w:after="0" w:line="240" w:lineRule="auto"/>
              <w:ind w:firstLine="0" w:left="0"/>
            </w:pPr>
            <w:r>
              <w:rPr>
                <w:sz w:val="20"/>
                <w:szCs w:val="20"/>
              </w:rPr>
              <w:t xml:space="preserve">3.13</w:t>
            </w:r>
          </w:p>
        </w:tc>
      </w:tr>
      <w:tr>
        <w:tc>
          <w:tcPr/>
          <w:p>
            <w:pPr>
              <w:pStyle w:val="Compact"/>
              <w:spacing w:before="0" w:after="0" w:line="240" w:lineRule="auto"/>
              <w:ind w:firstLine="0" w:left="0"/>
            </w:pPr>
            <w:r>
              <w:rPr>
                <w:sz w:val="20"/>
                <w:szCs w:val="20"/>
              </w:rPr>
              <w:t xml:space="preserve">2026 (Jan–Aug)</w:t>
            </w:r>
          </w:p>
        </w:tc>
        <w:tc>
          <w:tcPr/>
          <w:p>
            <w:pPr>
              <w:pStyle w:val="Compact"/>
              <w:spacing w:before="0" w:after="0" w:line="240" w:lineRule="auto"/>
              <w:ind w:firstLine="0" w:left="0"/>
            </w:pPr>
            <w:r>
              <w:rPr>
                <w:sz w:val="20"/>
                <w:szCs w:val="20"/>
              </w:rPr>
              <w:t xml:space="preserve">Gap: ln(CPI all/CPI b30)</w:t>
            </w:r>
          </w:p>
        </w:tc>
        <w:tc>
          <w:tcPr/>
          <w:p>
            <w:pPr>
              <w:pStyle w:val="Compact"/>
              <w:spacing w:before="0" w:after="0" w:line="240" w:lineRule="auto"/>
              <w:ind w:firstLine="0" w:left="0"/>
            </w:pPr>
            <w:r>
              <w:rPr>
                <w:sz w:val="20"/>
                <w:szCs w:val="20"/>
              </w:rPr>
              <w:t xml:space="preserve">8</w:t>
            </w:r>
          </w:p>
        </w:tc>
        <w:tc>
          <w:tcPr/>
          <w:p>
            <w:pPr>
              <w:pStyle w:val="Compact"/>
              <w:spacing w:before="0" w:after="0" w:line="240" w:lineRule="auto"/>
              <w:ind w:firstLine="0" w:left="0"/>
            </w:pPr>
            <w:r>
              <w:rPr>
                <w:sz w:val="20"/>
                <w:szCs w:val="20"/>
              </w:rPr>
              <w:t xml:space="preserve">−0.147</w:t>
            </w:r>
          </w:p>
        </w:tc>
        <w:tc>
          <w:tcPr/>
          <w:p>
            <w:pPr>
              <w:pStyle w:val="Compact"/>
              <w:spacing w:before="0" w:after="0" w:line="240" w:lineRule="auto"/>
              <w:ind w:firstLine="0" w:left="0"/>
            </w:pPr>
            <w:r>
              <w:rPr>
                <w:sz w:val="20"/>
                <w:szCs w:val="20"/>
              </w:rPr>
              <w:t xml:space="preserve">−1.76</w:t>
            </w:r>
          </w:p>
        </w:tc>
        <w:tc>
          <w:tcPr/>
          <w:p>
            <w:pPr>
              <w:pStyle w:val="Compact"/>
              <w:spacing w:before="0" w:after="0" w:line="240" w:lineRule="auto"/>
              <w:ind w:firstLine="0" w:left="0"/>
            </w:pPr>
            <w:r>
              <w:rPr>
                <w:sz w:val="20"/>
                <w:szCs w:val="20"/>
              </w:rPr>
              <w:t xml:space="preserve">0.300</w:t>
            </w:r>
          </w:p>
        </w:tc>
        <w:tc>
          <w:tcPr/>
          <w:p>
            <w:pPr>
              <w:pStyle w:val="Compact"/>
              <w:spacing w:before="0" w:after="0" w:line="240" w:lineRule="auto"/>
              <w:ind w:firstLine="0" w:left="0"/>
            </w:pPr>
            <w:r>
              <w:rPr>
                <w:sz w:val="20"/>
                <w:szCs w:val="20"/>
              </w:rPr>
              <w:t xml:space="preserve">−0.53</w:t>
            </w:r>
          </w:p>
        </w:tc>
        <w:tc>
          <w:tcPr/>
          <w:p>
            <w:pPr>
              <w:pStyle w:val="Compact"/>
              <w:spacing w:before="0" w:after="0" w:line="240" w:lineRule="auto"/>
              <w:ind w:firstLine="0" w:left="0"/>
            </w:pPr>
            <w:r>
              <w:rPr>
                <w:sz w:val="20"/>
                <w:szCs w:val="20"/>
              </w:rPr>
              <w:t xml:space="preserve">0.23</w:t>
            </w:r>
          </w:p>
        </w:tc>
      </w:tr>
    </w:tbl>
    <w:p>
      <w:pPr>
        <w:pStyle w:val="TableNote"/>
      </w:pPr>
      <w:r>
        <w:rPr>
          <w:i/>
          <w:iCs/>
        </w:rPr>
        <w:t xml:space="preserve">Source:</w:t>
      </w:r>
      <w:r>
        <w:t xml:space="preserve"> </w:t>
      </w:r>
      <w:r>
        <w:t xml:space="preserve">PSA CPI (2018 = 100); author’s calculations. Annualised mean = 12 × monthly mean.</w:t>
      </w:r>
    </w:p>
    <w:bookmarkEnd w:id="53"/>
    <w:bookmarkStart w:id="57" w:name="trends"/>
    <w:p>
      <w:pPr>
        <w:pStyle w:val="Heading3"/>
      </w:pPr>
      <w:r>
        <w:t xml:space="preserve">4.1.2 Trends</w:t>
      </w:r>
    </w:p>
    <w:p>
      <w:pPr>
        <w:pStyle w:val="FirstParagraph"/>
      </w:pPr>
      <w:r>
        <w:t xml:space="preserve">Figure 3 and Table 3 show the annual pattern. Bottom-30% inflation was higher than all-income inflation in 18 of the 25 years from 2001 to 2025. The largest gap was in 2008, when the oil price spike coincided with the global rice crisis: bottom-30% inflation averaged 13.9% against 8.2%. The gap reversed in some years when food prices fell, most recently in 2025 (−1.4 percentage points).</w:t>
      </w:r>
    </w:p>
    <w:p>
      <w:pPr>
        <w:pStyle w:val="CaptionedFigure"/>
      </w:pPr>
      <w:r>
        <w:drawing>
          <wp:inline>
            <wp:extent cx="5646420" cy="5079101"/>
            <wp:effectExtent b="0" l="0" r="0" t="0"/>
            <wp:docPr descr="Figure 3. Inflation of all income and bottom-30% households, the gap between them, and the retail fuel index, January 2001–August 2026 (year on year)." title="" id="55" name="Picture"/>
            <a:graphic>
              <a:graphicData uri="http://schemas.openxmlformats.org/drawingml/2006/picture">
                <pic:pic>
                  <pic:nvPicPr>
                    <pic:cNvPr descr="../output/figures/fig03_trends.png" id="56" name="Picture"/>
                    <pic:cNvPicPr>
                      <a:picLocks noChangeArrowheads="1" noChangeAspect="1"/>
                    </pic:cNvPicPr>
                  </pic:nvPicPr>
                  <pic:blipFill>
                    <a:blip r:embed="rId54"/>
                    <a:stretch>
                      <a:fillRect/>
                    </a:stretch>
                  </pic:blipFill>
                  <pic:spPr bwMode="auto">
                    <a:xfrm>
                      <a:off x="0" y="0"/>
                      <a:ext cx="5646420" cy="5079101"/>
                    </a:xfrm>
                    <a:prstGeom prst="rect">
                      <a:avLst/>
                    </a:prstGeom>
                    <a:noFill/>
                    <a:ln w="9525">
                      <a:noFill/>
                      <a:headEnd/>
                      <a:tailEnd/>
                    </a:ln>
                  </pic:spPr>
                </pic:pic>
              </a:graphicData>
            </a:graphic>
          </wp:inline>
        </w:drawing>
      </w:r>
    </w:p>
    <w:p>
      <w:pPr>
        <w:pStyle w:val="ImageCaption"/>
      </w:pPr>
      <w:r>
        <w:t xml:space="preserve">Figure 3. Inflation of all income and bottom-30% households, the gap between them, and the retail fuel index, January 2001–August 2026 (year on year).</w:t>
      </w:r>
    </w:p>
    <w:p>
      <w:pPr>
        <w:pStyle w:val="TableCaption"/>
      </w:pPr>
      <w:r>
        <w:t xml:space="preserve">Table 3. Annual inflation by group and fuel price change, 2001–2026</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3. Annual inflation by group and fuel price change, 2001–2026"/>
      </w:tblPr>
      <w:tblGrid>
        <w:gridCol w:w="1584"/>
        <w:gridCol w:w="1584"/>
        <w:gridCol w:w="1584"/>
        <w:gridCol w:w="1584"/>
        <w:gridCol w:w="1584"/>
      </w:tblGrid>
      <w:tr>
        <w:trPr>
          <w:tblHeader w:val="on"/>
        </w:trPr>
        <w:tc>
          <w:tcPr>
            <w:tcBorders>
              <w:bottom w:val="single" w:sz="6" w:space="0" w:color="000000"/>
            </w:tcBorders>
          </w:tcPr>
          <w:p>
            <w:pPr>
              <w:pStyle w:val="Compact"/>
              <w:spacing w:before="0" w:after="0" w:line="240" w:lineRule="auto"/>
              <w:ind w:firstLine="0" w:left="0"/>
            </w:pPr>
            <w:r>
              <w:rPr>
                <w:sz w:val="20"/>
                <w:szCs w:val="20"/>
              </w:rPr>
              <w:t xml:space="preserve">Year</w:t>
            </w:r>
          </w:p>
        </w:tc>
        <w:tc>
          <w:tcPr>
            <w:tcBorders>
              <w:bottom w:val="single" w:sz="6" w:space="0" w:color="000000"/>
            </w:tcBorders>
          </w:tcPr>
          <w:p>
            <w:pPr>
              <w:pStyle w:val="Compact"/>
              <w:spacing w:before="0" w:after="0" w:line="240" w:lineRule="auto"/>
              <w:ind w:firstLine="0" w:left="0"/>
            </w:pPr>
            <w:r>
              <w:rPr>
                <w:sz w:val="20"/>
                <w:szCs w:val="20"/>
              </w:rPr>
              <w:t xml:space="preserve">Inflation, all income (%)</w:t>
            </w:r>
          </w:p>
        </w:tc>
        <w:tc>
          <w:tcPr>
            <w:tcBorders>
              <w:bottom w:val="single" w:sz="6" w:space="0" w:color="000000"/>
            </w:tcBorders>
          </w:tcPr>
          <w:p>
            <w:pPr>
              <w:pStyle w:val="Compact"/>
              <w:spacing w:before="0" w:after="0" w:line="240" w:lineRule="auto"/>
              <w:ind w:firstLine="0" w:left="0"/>
            </w:pPr>
            <w:r>
              <w:rPr>
                <w:sz w:val="20"/>
                <w:szCs w:val="20"/>
              </w:rPr>
              <w:t xml:space="preserve">Inflation, bottom 30% (%)</w:t>
            </w:r>
          </w:p>
        </w:tc>
        <w:tc>
          <w:tcPr>
            <w:tcBorders>
              <w:bottom w:val="single" w:sz="6" w:space="0" w:color="000000"/>
            </w:tcBorders>
          </w:tcPr>
          <w:p>
            <w:pPr>
              <w:pStyle w:val="Compact"/>
              <w:spacing w:before="0" w:after="0" w:line="240" w:lineRule="auto"/>
              <w:ind w:firstLine="0" w:left="0"/>
            </w:pPr>
            <w:r>
              <w:rPr>
                <w:sz w:val="20"/>
                <w:szCs w:val="20"/>
              </w:rPr>
              <w:t xml:space="preserve">Gap, b30 − all (pp)</w:t>
            </w:r>
          </w:p>
        </w:tc>
        <w:tc>
          <w:tcPr>
            <w:tcBorders>
              <w:bottom w:val="single" w:sz="6" w:space="0" w:color="000000"/>
            </w:tcBorders>
          </w:tcPr>
          <w:p>
            <w:pPr>
              <w:pStyle w:val="Compact"/>
              <w:spacing w:before="0" w:after="0" w:line="240" w:lineRule="auto"/>
              <w:ind w:firstLine="0" w:left="0"/>
            </w:pPr>
            <w:r>
              <w:rPr>
                <w:sz w:val="20"/>
                <w:szCs w:val="20"/>
              </w:rPr>
              <w:t xml:space="preserve">Fuel index (% y/y)</w:t>
            </w:r>
          </w:p>
        </w:tc>
      </w:tr>
      <w:tr>
        <w:tc>
          <w:tcPr/>
          <w:p>
            <w:pPr>
              <w:pStyle w:val="Compact"/>
              <w:spacing w:before="0" w:after="0" w:line="240" w:lineRule="auto"/>
              <w:ind w:firstLine="0" w:left="0"/>
            </w:pPr>
            <w:r>
              <w:rPr>
                <w:sz w:val="20"/>
                <w:szCs w:val="20"/>
              </w:rPr>
              <w:t xml:space="preserve">2001</w:t>
            </w:r>
          </w:p>
        </w:tc>
        <w:tc>
          <w:tcPr/>
          <w:p>
            <w:pPr>
              <w:pStyle w:val="Compact"/>
              <w:spacing w:before="0" w:after="0" w:line="240" w:lineRule="auto"/>
              <w:ind w:firstLine="0" w:left="0"/>
            </w:pPr>
            <w:r>
              <w:rPr>
                <w:sz w:val="20"/>
                <w:szCs w:val="20"/>
              </w:rPr>
              <w:t xml:space="preserve">5.41</w:t>
            </w:r>
          </w:p>
        </w:tc>
        <w:tc>
          <w:tcPr/>
          <w:p>
            <w:pPr>
              <w:pStyle w:val="Compact"/>
              <w:spacing w:before="0" w:after="0" w:line="240" w:lineRule="auto"/>
              <w:ind w:firstLine="0" w:left="0"/>
            </w:pPr>
            <w:r>
              <w:rPr>
                <w:sz w:val="20"/>
                <w:szCs w:val="20"/>
              </w:rPr>
              <w:t xml:space="preserve">5.39</w:t>
            </w:r>
          </w:p>
        </w:tc>
        <w:tc>
          <w:tcPr/>
          <w:p>
            <w:pPr>
              <w:pStyle w:val="Compact"/>
              <w:spacing w:before="0" w:after="0" w:line="240" w:lineRule="auto"/>
              <w:ind w:firstLine="0" w:left="0"/>
            </w:pPr>
            <w:r>
              <w:rPr>
                <w:sz w:val="20"/>
                <w:szCs w:val="20"/>
              </w:rPr>
              <w:t xml:space="preserve">−0.02</w:t>
            </w:r>
          </w:p>
        </w:tc>
        <w:tc>
          <w:tcPr/>
          <w:p>
            <w:pPr>
              <w:pStyle w:val="Compact"/>
              <w:spacing w:before="0" w:after="0" w:line="240" w:lineRule="auto"/>
              <w:ind w:firstLine="0" w:left="0"/>
            </w:pPr>
            <w:r>
              <w:rPr>
                <w:sz w:val="20"/>
                <w:szCs w:val="20"/>
              </w:rPr>
              <w:t xml:space="preserve">11.8</w:t>
            </w:r>
          </w:p>
        </w:tc>
      </w:tr>
      <w:tr>
        <w:tc>
          <w:tcPr/>
          <w:p>
            <w:pPr>
              <w:pStyle w:val="Compact"/>
              <w:spacing w:before="0" w:after="0" w:line="240" w:lineRule="auto"/>
              <w:ind w:firstLine="0" w:left="0"/>
            </w:pPr>
            <w:r>
              <w:rPr>
                <w:sz w:val="20"/>
                <w:szCs w:val="20"/>
              </w:rPr>
              <w:t xml:space="preserve">2002</w:t>
            </w:r>
          </w:p>
        </w:tc>
        <w:tc>
          <w:tcPr/>
          <w:p>
            <w:pPr>
              <w:pStyle w:val="Compact"/>
              <w:spacing w:before="0" w:after="0" w:line="240" w:lineRule="auto"/>
              <w:ind w:firstLine="0" w:left="0"/>
            </w:pPr>
            <w:r>
              <w:rPr>
                <w:sz w:val="20"/>
                <w:szCs w:val="20"/>
              </w:rPr>
              <w:t xml:space="preserve">2.73</w:t>
            </w:r>
          </w:p>
        </w:tc>
        <w:tc>
          <w:tcPr/>
          <w:p>
            <w:pPr>
              <w:pStyle w:val="Compact"/>
              <w:spacing w:before="0" w:after="0" w:line="240" w:lineRule="auto"/>
              <w:ind w:firstLine="0" w:left="0"/>
            </w:pPr>
            <w:r>
              <w:rPr>
                <w:sz w:val="20"/>
                <w:szCs w:val="20"/>
              </w:rPr>
              <w:t xml:space="preserve">2.98</w:t>
            </w:r>
          </w:p>
        </w:tc>
        <w:tc>
          <w:tcPr/>
          <w:p>
            <w:pPr>
              <w:pStyle w:val="Compact"/>
              <w:spacing w:before="0" w:after="0" w:line="240" w:lineRule="auto"/>
              <w:ind w:firstLine="0" w:left="0"/>
            </w:pPr>
            <w:r>
              <w:rPr>
                <w:sz w:val="20"/>
                <w:szCs w:val="20"/>
              </w:rPr>
              <w:t xml:space="preserve">+0.25</w:t>
            </w:r>
          </w:p>
        </w:tc>
        <w:tc>
          <w:tcPr/>
          <w:p>
            <w:pPr>
              <w:pStyle w:val="Compact"/>
              <w:spacing w:before="0" w:after="0" w:line="240" w:lineRule="auto"/>
              <w:ind w:firstLine="0" w:left="0"/>
            </w:pPr>
            <w:r>
              <w:rPr>
                <w:sz w:val="20"/>
                <w:szCs w:val="20"/>
              </w:rPr>
              <w:t xml:space="preserve">0.1</w:t>
            </w:r>
          </w:p>
        </w:tc>
      </w:tr>
      <w:tr>
        <w:tc>
          <w:tcPr/>
          <w:p>
            <w:pPr>
              <w:pStyle w:val="Compact"/>
              <w:spacing w:before="0" w:after="0" w:line="240" w:lineRule="auto"/>
              <w:ind w:firstLine="0" w:left="0"/>
            </w:pPr>
            <w:r>
              <w:rPr>
                <w:sz w:val="20"/>
                <w:szCs w:val="20"/>
              </w:rPr>
              <w:t xml:space="preserve">2003</w:t>
            </w:r>
          </w:p>
        </w:tc>
        <w:tc>
          <w:tcPr/>
          <w:p>
            <w:pPr>
              <w:pStyle w:val="Compact"/>
              <w:spacing w:before="0" w:after="0" w:line="240" w:lineRule="auto"/>
              <w:ind w:firstLine="0" w:left="0"/>
            </w:pPr>
            <w:r>
              <w:rPr>
                <w:sz w:val="20"/>
                <w:szCs w:val="20"/>
              </w:rPr>
              <w:t xml:space="preserve">2.25</w:t>
            </w:r>
          </w:p>
        </w:tc>
        <w:tc>
          <w:tcPr/>
          <w:p>
            <w:pPr>
              <w:pStyle w:val="Compact"/>
              <w:spacing w:before="0" w:after="0" w:line="240" w:lineRule="auto"/>
              <w:ind w:firstLine="0" w:left="0"/>
            </w:pPr>
            <w:r>
              <w:rPr>
                <w:sz w:val="20"/>
                <w:szCs w:val="20"/>
              </w:rPr>
              <w:t xml:space="preserve">2.40</w:t>
            </w:r>
          </w:p>
        </w:tc>
        <w:tc>
          <w:tcPr/>
          <w:p>
            <w:pPr>
              <w:pStyle w:val="Compact"/>
              <w:spacing w:before="0" w:after="0" w:line="240" w:lineRule="auto"/>
              <w:ind w:firstLine="0" w:left="0"/>
            </w:pPr>
            <w:r>
              <w:rPr>
                <w:sz w:val="20"/>
                <w:szCs w:val="20"/>
              </w:rPr>
              <w:t xml:space="preserve">+0.15</w:t>
            </w:r>
          </w:p>
        </w:tc>
        <w:tc>
          <w:tcPr/>
          <w:p>
            <w:pPr>
              <w:pStyle w:val="Compact"/>
              <w:spacing w:before="0" w:after="0" w:line="240" w:lineRule="auto"/>
              <w:ind w:firstLine="0" w:left="0"/>
            </w:pPr>
            <w:r>
              <w:rPr>
                <w:sz w:val="20"/>
                <w:szCs w:val="20"/>
              </w:rPr>
              <w:t xml:space="preserve">10.9</w:t>
            </w:r>
          </w:p>
        </w:tc>
      </w:tr>
      <w:tr>
        <w:tc>
          <w:tcPr/>
          <w:p>
            <w:pPr>
              <w:pStyle w:val="Compact"/>
              <w:spacing w:before="0" w:after="0" w:line="240" w:lineRule="auto"/>
              <w:ind w:firstLine="0" w:left="0"/>
            </w:pPr>
            <w:r>
              <w:rPr>
                <w:sz w:val="20"/>
                <w:szCs w:val="20"/>
              </w:rPr>
              <w:t xml:space="preserve">2004</w:t>
            </w:r>
          </w:p>
        </w:tc>
        <w:tc>
          <w:tcPr/>
          <w:p>
            <w:pPr>
              <w:pStyle w:val="Compact"/>
              <w:spacing w:before="0" w:after="0" w:line="240" w:lineRule="auto"/>
              <w:ind w:firstLine="0" w:left="0"/>
            </w:pPr>
            <w:r>
              <w:rPr>
                <w:sz w:val="20"/>
                <w:szCs w:val="20"/>
              </w:rPr>
              <w:t xml:space="preserve">4.80</w:t>
            </w:r>
          </w:p>
        </w:tc>
        <w:tc>
          <w:tcPr/>
          <w:p>
            <w:pPr>
              <w:pStyle w:val="Compact"/>
              <w:spacing w:before="0" w:after="0" w:line="240" w:lineRule="auto"/>
              <w:ind w:firstLine="0" w:left="0"/>
            </w:pPr>
            <w:r>
              <w:rPr>
                <w:sz w:val="20"/>
                <w:szCs w:val="20"/>
              </w:rPr>
              <w:t xml:space="preserve">5.93</w:t>
            </w:r>
          </w:p>
        </w:tc>
        <w:tc>
          <w:tcPr/>
          <w:p>
            <w:pPr>
              <w:pStyle w:val="Compact"/>
              <w:spacing w:before="0" w:after="0" w:line="240" w:lineRule="auto"/>
              <w:ind w:firstLine="0" w:left="0"/>
            </w:pPr>
            <w:r>
              <w:rPr>
                <w:sz w:val="20"/>
                <w:szCs w:val="20"/>
              </w:rPr>
              <w:t xml:space="preserve">+1.13</w:t>
            </w:r>
          </w:p>
        </w:tc>
        <w:tc>
          <w:tcPr/>
          <w:p>
            <w:pPr>
              <w:pStyle w:val="Compact"/>
              <w:spacing w:before="0" w:after="0" w:line="240" w:lineRule="auto"/>
              <w:ind w:firstLine="0" w:left="0"/>
            </w:pPr>
            <w:r>
              <w:rPr>
                <w:sz w:val="20"/>
                <w:szCs w:val="20"/>
              </w:rPr>
              <w:t xml:space="preserve">15.8</w:t>
            </w:r>
          </w:p>
        </w:tc>
      </w:tr>
      <w:tr>
        <w:tc>
          <w:tcPr/>
          <w:p>
            <w:pPr>
              <w:pStyle w:val="Compact"/>
              <w:spacing w:before="0" w:after="0" w:line="240" w:lineRule="auto"/>
              <w:ind w:firstLine="0" w:left="0"/>
            </w:pPr>
            <w:r>
              <w:rPr>
                <w:sz w:val="20"/>
                <w:szCs w:val="20"/>
              </w:rPr>
              <w:t xml:space="preserve">2005</w:t>
            </w:r>
          </w:p>
        </w:tc>
        <w:tc>
          <w:tcPr/>
          <w:p>
            <w:pPr>
              <w:pStyle w:val="Compact"/>
              <w:spacing w:before="0" w:after="0" w:line="240" w:lineRule="auto"/>
              <w:ind w:firstLine="0" w:left="0"/>
            </w:pPr>
            <w:r>
              <w:rPr>
                <w:sz w:val="20"/>
                <w:szCs w:val="20"/>
              </w:rPr>
              <w:t xml:space="preserve">6.61</w:t>
            </w:r>
          </w:p>
        </w:tc>
        <w:tc>
          <w:tcPr/>
          <w:p>
            <w:pPr>
              <w:pStyle w:val="Compact"/>
              <w:spacing w:before="0" w:after="0" w:line="240" w:lineRule="auto"/>
              <w:ind w:firstLine="0" w:left="0"/>
            </w:pPr>
            <w:r>
              <w:rPr>
                <w:sz w:val="20"/>
                <w:szCs w:val="20"/>
              </w:rPr>
              <w:t xml:space="preserve">7.91</w:t>
            </w:r>
          </w:p>
        </w:tc>
        <w:tc>
          <w:tcPr/>
          <w:p>
            <w:pPr>
              <w:pStyle w:val="Compact"/>
              <w:spacing w:before="0" w:after="0" w:line="240" w:lineRule="auto"/>
              <w:ind w:firstLine="0" w:left="0"/>
            </w:pPr>
            <w:r>
              <w:rPr>
                <w:sz w:val="20"/>
                <w:szCs w:val="20"/>
              </w:rPr>
              <w:t xml:space="preserve">+1.30</w:t>
            </w:r>
          </w:p>
        </w:tc>
        <w:tc>
          <w:tcPr/>
          <w:p>
            <w:pPr>
              <w:pStyle w:val="Compact"/>
              <w:spacing w:before="0" w:after="0" w:line="240" w:lineRule="auto"/>
              <w:ind w:firstLine="0" w:left="0"/>
            </w:pPr>
            <w:r>
              <w:rPr>
                <w:sz w:val="20"/>
                <w:szCs w:val="20"/>
              </w:rPr>
              <w:t xml:space="preserve">23.4</w:t>
            </w:r>
          </w:p>
        </w:tc>
      </w:tr>
      <w:tr>
        <w:tc>
          <w:tcPr/>
          <w:p>
            <w:pPr>
              <w:pStyle w:val="Compact"/>
              <w:spacing w:before="0" w:after="0" w:line="240" w:lineRule="auto"/>
              <w:ind w:firstLine="0" w:left="0"/>
            </w:pPr>
            <w:r>
              <w:rPr>
                <w:sz w:val="20"/>
                <w:szCs w:val="20"/>
              </w:rPr>
              <w:t xml:space="preserve">2006</w:t>
            </w:r>
          </w:p>
        </w:tc>
        <w:tc>
          <w:tcPr/>
          <w:p>
            <w:pPr>
              <w:pStyle w:val="Compact"/>
              <w:spacing w:before="0" w:after="0" w:line="240" w:lineRule="auto"/>
              <w:ind w:firstLine="0" w:left="0"/>
            </w:pPr>
            <w:r>
              <w:rPr>
                <w:sz w:val="20"/>
                <w:szCs w:val="20"/>
              </w:rPr>
              <w:t xml:space="preserve">5.48</w:t>
            </w:r>
          </w:p>
        </w:tc>
        <w:tc>
          <w:tcPr/>
          <w:p>
            <w:pPr>
              <w:pStyle w:val="Compact"/>
              <w:spacing w:before="0" w:after="0" w:line="240" w:lineRule="auto"/>
              <w:ind w:firstLine="0" w:left="0"/>
            </w:pPr>
            <w:r>
              <w:rPr>
                <w:sz w:val="20"/>
                <w:szCs w:val="20"/>
              </w:rPr>
              <w:t xml:space="preserve">6.62</w:t>
            </w:r>
          </w:p>
        </w:tc>
        <w:tc>
          <w:tcPr/>
          <w:p>
            <w:pPr>
              <w:pStyle w:val="Compact"/>
              <w:spacing w:before="0" w:after="0" w:line="240" w:lineRule="auto"/>
              <w:ind w:firstLine="0" w:left="0"/>
            </w:pPr>
            <w:r>
              <w:rPr>
                <w:sz w:val="20"/>
                <w:szCs w:val="20"/>
              </w:rPr>
              <w:t xml:space="preserve">+1.14</w:t>
            </w:r>
          </w:p>
        </w:tc>
        <w:tc>
          <w:tcPr/>
          <w:p>
            <w:pPr>
              <w:pStyle w:val="Compact"/>
              <w:spacing w:before="0" w:after="0" w:line="240" w:lineRule="auto"/>
              <w:ind w:firstLine="0" w:left="0"/>
            </w:pPr>
            <w:r>
              <w:rPr>
                <w:sz w:val="20"/>
                <w:szCs w:val="20"/>
              </w:rPr>
              <w:t xml:space="preserve">19.0</w:t>
            </w:r>
          </w:p>
        </w:tc>
      </w:tr>
      <w:tr>
        <w:tc>
          <w:tcPr/>
          <w:p>
            <w:pPr>
              <w:pStyle w:val="Compact"/>
              <w:spacing w:before="0" w:after="0" w:line="240" w:lineRule="auto"/>
              <w:ind w:firstLine="0" w:left="0"/>
            </w:pPr>
            <w:r>
              <w:rPr>
                <w:sz w:val="20"/>
                <w:szCs w:val="20"/>
              </w:rPr>
              <w:t xml:space="preserve">2007</w:t>
            </w:r>
          </w:p>
        </w:tc>
        <w:tc>
          <w:tcPr/>
          <w:p>
            <w:pPr>
              <w:pStyle w:val="Compact"/>
              <w:spacing w:before="0" w:after="0" w:line="240" w:lineRule="auto"/>
              <w:ind w:firstLine="0" w:left="0"/>
            </w:pPr>
            <w:r>
              <w:rPr>
                <w:sz w:val="20"/>
                <w:szCs w:val="20"/>
              </w:rPr>
              <w:t xml:space="preserve">2.94</w:t>
            </w:r>
          </w:p>
        </w:tc>
        <w:tc>
          <w:tcPr/>
          <w:p>
            <w:pPr>
              <w:pStyle w:val="Compact"/>
              <w:spacing w:before="0" w:after="0" w:line="240" w:lineRule="auto"/>
              <w:ind w:firstLine="0" w:left="0"/>
            </w:pPr>
            <w:r>
              <w:rPr>
                <w:sz w:val="20"/>
                <w:szCs w:val="20"/>
              </w:rPr>
              <w:t xml:space="preserve">3.26</w:t>
            </w:r>
          </w:p>
        </w:tc>
        <w:tc>
          <w:tcPr/>
          <w:p>
            <w:pPr>
              <w:pStyle w:val="Compact"/>
              <w:spacing w:before="0" w:after="0" w:line="240" w:lineRule="auto"/>
              <w:ind w:firstLine="0" w:left="0"/>
            </w:pPr>
            <w:r>
              <w:rPr>
                <w:sz w:val="20"/>
                <w:szCs w:val="20"/>
              </w:rPr>
              <w:t xml:space="preserve">+0.32</w:t>
            </w:r>
          </w:p>
        </w:tc>
        <w:tc>
          <w:tcPr/>
          <w:p>
            <w:pPr>
              <w:pStyle w:val="Compact"/>
              <w:spacing w:before="0" w:after="0" w:line="240" w:lineRule="auto"/>
              <w:ind w:firstLine="0" w:left="0"/>
            </w:pPr>
            <w:r>
              <w:rPr>
                <w:sz w:val="20"/>
                <w:szCs w:val="20"/>
              </w:rPr>
              <w:t xml:space="preserve">1.4</w:t>
            </w:r>
          </w:p>
        </w:tc>
      </w:tr>
      <w:tr>
        <w:tc>
          <w:tcPr/>
          <w:p>
            <w:pPr>
              <w:pStyle w:val="Compact"/>
              <w:spacing w:before="0" w:after="0" w:line="240" w:lineRule="auto"/>
              <w:ind w:firstLine="0" w:left="0"/>
            </w:pPr>
            <w:r>
              <w:rPr>
                <w:sz w:val="20"/>
                <w:szCs w:val="20"/>
              </w:rPr>
              <w:t xml:space="preserve">2008</w:t>
            </w:r>
          </w:p>
        </w:tc>
        <w:tc>
          <w:tcPr/>
          <w:p>
            <w:pPr>
              <w:pStyle w:val="Compact"/>
              <w:spacing w:before="0" w:after="0" w:line="240" w:lineRule="auto"/>
              <w:ind w:firstLine="0" w:left="0"/>
            </w:pPr>
            <w:r>
              <w:rPr>
                <w:sz w:val="20"/>
                <w:szCs w:val="20"/>
              </w:rPr>
              <w:t xml:space="preserve">8.17</w:t>
            </w:r>
          </w:p>
        </w:tc>
        <w:tc>
          <w:tcPr/>
          <w:p>
            <w:pPr>
              <w:pStyle w:val="Compact"/>
              <w:spacing w:before="0" w:after="0" w:line="240" w:lineRule="auto"/>
              <w:ind w:firstLine="0" w:left="0"/>
            </w:pPr>
            <w:r>
              <w:rPr>
                <w:sz w:val="20"/>
                <w:szCs w:val="20"/>
              </w:rPr>
              <w:t xml:space="preserve">13.91</w:t>
            </w:r>
          </w:p>
        </w:tc>
        <w:tc>
          <w:tcPr/>
          <w:p>
            <w:pPr>
              <w:pStyle w:val="Compact"/>
              <w:spacing w:before="0" w:after="0" w:line="240" w:lineRule="auto"/>
              <w:ind w:firstLine="0" w:left="0"/>
            </w:pPr>
            <w:r>
              <w:rPr>
                <w:sz w:val="20"/>
                <w:szCs w:val="20"/>
              </w:rPr>
              <w:t xml:space="preserve">+5.74</w:t>
            </w:r>
          </w:p>
        </w:tc>
        <w:tc>
          <w:tcPr/>
          <w:p>
            <w:pPr>
              <w:pStyle w:val="Compact"/>
              <w:spacing w:before="0" w:after="0" w:line="240" w:lineRule="auto"/>
              <w:ind w:firstLine="0" w:left="0"/>
            </w:pPr>
            <w:r>
              <w:rPr>
                <w:sz w:val="20"/>
                <w:szCs w:val="20"/>
              </w:rPr>
              <w:t xml:space="preserve">20.9</w:t>
            </w:r>
          </w:p>
        </w:tc>
      </w:tr>
      <w:tr>
        <w:tc>
          <w:tcPr/>
          <w:p>
            <w:pPr>
              <w:pStyle w:val="Compact"/>
              <w:spacing w:before="0" w:after="0" w:line="240" w:lineRule="auto"/>
              <w:ind w:firstLine="0" w:left="0"/>
            </w:pPr>
            <w:r>
              <w:rPr>
                <w:sz w:val="20"/>
                <w:szCs w:val="20"/>
              </w:rPr>
              <w:t xml:space="preserve">2009</w:t>
            </w:r>
          </w:p>
        </w:tc>
        <w:tc>
          <w:tcPr/>
          <w:p>
            <w:pPr>
              <w:pStyle w:val="Compact"/>
              <w:spacing w:before="0" w:after="0" w:line="240" w:lineRule="auto"/>
              <w:ind w:firstLine="0" w:left="0"/>
            </w:pPr>
            <w:r>
              <w:rPr>
                <w:sz w:val="20"/>
                <w:szCs w:val="20"/>
              </w:rPr>
              <w:t xml:space="preserve">4.26</w:t>
            </w:r>
          </w:p>
        </w:tc>
        <w:tc>
          <w:tcPr/>
          <w:p>
            <w:pPr>
              <w:pStyle w:val="Compact"/>
              <w:spacing w:before="0" w:after="0" w:line="240" w:lineRule="auto"/>
              <w:ind w:firstLine="0" w:left="0"/>
            </w:pPr>
            <w:r>
              <w:rPr>
                <w:sz w:val="20"/>
                <w:szCs w:val="20"/>
              </w:rPr>
              <w:t xml:space="preserve">5.38</w:t>
            </w:r>
          </w:p>
        </w:tc>
        <w:tc>
          <w:tcPr/>
          <w:p>
            <w:pPr>
              <w:pStyle w:val="Compact"/>
              <w:spacing w:before="0" w:after="0" w:line="240" w:lineRule="auto"/>
              <w:ind w:firstLine="0" w:left="0"/>
            </w:pPr>
            <w:r>
              <w:rPr>
                <w:sz w:val="20"/>
                <w:szCs w:val="20"/>
              </w:rPr>
              <w:t xml:space="preserve">+1.12</w:t>
            </w:r>
          </w:p>
        </w:tc>
        <w:tc>
          <w:tcPr/>
          <w:p>
            <w:pPr>
              <w:pStyle w:val="Compact"/>
              <w:spacing w:before="0" w:after="0" w:line="240" w:lineRule="auto"/>
              <w:ind w:firstLine="0" w:left="0"/>
            </w:pPr>
            <w:r>
              <w:rPr>
                <w:sz w:val="20"/>
                <w:szCs w:val="20"/>
              </w:rPr>
              <w:t xml:space="preserve">−15.9</w:t>
            </w:r>
          </w:p>
        </w:tc>
      </w:tr>
      <w:tr>
        <w:tc>
          <w:tcPr/>
          <w:p>
            <w:pPr>
              <w:pStyle w:val="Compact"/>
              <w:spacing w:before="0" w:after="0" w:line="240" w:lineRule="auto"/>
              <w:ind w:firstLine="0" w:left="0"/>
            </w:pPr>
            <w:r>
              <w:rPr>
                <w:sz w:val="20"/>
                <w:szCs w:val="20"/>
              </w:rPr>
              <w:t xml:space="preserve">2010</w:t>
            </w:r>
          </w:p>
        </w:tc>
        <w:tc>
          <w:tcPr/>
          <w:p>
            <w:pPr>
              <w:pStyle w:val="Compact"/>
              <w:spacing w:before="0" w:after="0" w:line="240" w:lineRule="auto"/>
              <w:ind w:firstLine="0" w:left="0"/>
            </w:pPr>
            <w:r>
              <w:rPr>
                <w:sz w:val="20"/>
                <w:szCs w:val="20"/>
              </w:rPr>
              <w:t xml:space="preserve">3.79</w:t>
            </w:r>
          </w:p>
        </w:tc>
        <w:tc>
          <w:tcPr/>
          <w:p>
            <w:pPr>
              <w:pStyle w:val="Compact"/>
              <w:spacing w:before="0" w:after="0" w:line="240" w:lineRule="auto"/>
              <w:ind w:firstLine="0" w:left="0"/>
            </w:pPr>
            <w:r>
              <w:rPr>
                <w:sz w:val="20"/>
                <w:szCs w:val="20"/>
              </w:rPr>
              <w:t xml:space="preserve">3.61</w:t>
            </w:r>
          </w:p>
        </w:tc>
        <w:tc>
          <w:tcPr/>
          <w:p>
            <w:pPr>
              <w:pStyle w:val="Compact"/>
              <w:spacing w:before="0" w:after="0" w:line="240" w:lineRule="auto"/>
              <w:ind w:firstLine="0" w:left="0"/>
            </w:pPr>
            <w:r>
              <w:rPr>
                <w:sz w:val="20"/>
                <w:szCs w:val="20"/>
              </w:rPr>
              <w:t xml:space="preserve">−0.17</w:t>
            </w:r>
          </w:p>
        </w:tc>
        <w:tc>
          <w:tcPr/>
          <w:p>
            <w:pPr>
              <w:pStyle w:val="Compact"/>
              <w:spacing w:before="0" w:after="0" w:line="240" w:lineRule="auto"/>
              <w:ind w:firstLine="0" w:left="0"/>
            </w:pPr>
            <w:r>
              <w:rPr>
                <w:sz w:val="20"/>
                <w:szCs w:val="20"/>
              </w:rPr>
              <w:t xml:space="preserve">12.9</w:t>
            </w:r>
          </w:p>
        </w:tc>
      </w:tr>
      <w:tr>
        <w:tc>
          <w:tcPr/>
          <w:p>
            <w:pPr>
              <w:pStyle w:val="Compact"/>
              <w:spacing w:before="0" w:after="0" w:line="240" w:lineRule="auto"/>
              <w:ind w:firstLine="0" w:left="0"/>
            </w:pPr>
            <w:r>
              <w:rPr>
                <w:sz w:val="20"/>
                <w:szCs w:val="20"/>
              </w:rPr>
              <w:t xml:space="preserve">2011</w:t>
            </w:r>
          </w:p>
        </w:tc>
        <w:tc>
          <w:tcPr/>
          <w:p>
            <w:pPr>
              <w:pStyle w:val="Compact"/>
              <w:spacing w:before="0" w:after="0" w:line="240" w:lineRule="auto"/>
              <w:ind w:firstLine="0" w:left="0"/>
            </w:pPr>
            <w:r>
              <w:rPr>
                <w:sz w:val="20"/>
                <w:szCs w:val="20"/>
              </w:rPr>
              <w:t xml:space="preserve">4.72</w:t>
            </w:r>
          </w:p>
        </w:tc>
        <w:tc>
          <w:tcPr/>
          <w:p>
            <w:pPr>
              <w:pStyle w:val="Compact"/>
              <w:spacing w:before="0" w:after="0" w:line="240" w:lineRule="auto"/>
              <w:ind w:firstLine="0" w:left="0"/>
            </w:pPr>
            <w:r>
              <w:rPr>
                <w:sz w:val="20"/>
                <w:szCs w:val="20"/>
              </w:rPr>
              <w:t xml:space="preserve">5.13</w:t>
            </w:r>
          </w:p>
        </w:tc>
        <w:tc>
          <w:tcPr/>
          <w:p>
            <w:pPr>
              <w:pStyle w:val="Compact"/>
              <w:spacing w:before="0" w:after="0" w:line="240" w:lineRule="auto"/>
              <w:ind w:firstLine="0" w:left="0"/>
            </w:pPr>
            <w:r>
              <w:rPr>
                <w:sz w:val="20"/>
                <w:szCs w:val="20"/>
              </w:rPr>
              <w:t xml:space="preserve">+0.41</w:t>
            </w:r>
          </w:p>
        </w:tc>
        <w:tc>
          <w:tcPr/>
          <w:p>
            <w:pPr>
              <w:pStyle w:val="Compact"/>
              <w:spacing w:before="0" w:after="0" w:line="240" w:lineRule="auto"/>
              <w:ind w:firstLine="0" w:left="0"/>
            </w:pPr>
            <w:r>
              <w:rPr>
                <w:sz w:val="20"/>
                <w:szCs w:val="20"/>
              </w:rPr>
              <w:t xml:space="preserve">11.9</w:t>
            </w:r>
          </w:p>
        </w:tc>
      </w:tr>
      <w:tr>
        <w:tc>
          <w:tcPr/>
          <w:p>
            <w:pPr>
              <w:pStyle w:val="Compact"/>
              <w:spacing w:before="0" w:after="0" w:line="240" w:lineRule="auto"/>
              <w:ind w:firstLine="0" w:left="0"/>
            </w:pPr>
            <w:r>
              <w:rPr>
                <w:sz w:val="20"/>
                <w:szCs w:val="20"/>
              </w:rPr>
              <w:t xml:space="preserve">2012</w:t>
            </w:r>
          </w:p>
        </w:tc>
        <w:tc>
          <w:tcPr/>
          <w:p>
            <w:pPr>
              <w:pStyle w:val="Compact"/>
              <w:spacing w:before="0" w:after="0" w:line="240" w:lineRule="auto"/>
              <w:ind w:firstLine="0" w:left="0"/>
            </w:pPr>
            <w:r>
              <w:rPr>
                <w:sz w:val="20"/>
                <w:szCs w:val="20"/>
              </w:rPr>
              <w:t xml:space="preserve">3.17</w:t>
            </w:r>
          </w:p>
        </w:tc>
        <w:tc>
          <w:tcPr/>
          <w:p>
            <w:pPr>
              <w:pStyle w:val="Compact"/>
              <w:spacing w:before="0" w:after="0" w:line="240" w:lineRule="auto"/>
              <w:ind w:firstLine="0" w:left="0"/>
            </w:pPr>
            <w:r>
              <w:rPr>
                <w:sz w:val="20"/>
                <w:szCs w:val="20"/>
              </w:rPr>
              <w:t xml:space="preserve">2.82</w:t>
            </w:r>
          </w:p>
        </w:tc>
        <w:tc>
          <w:tcPr/>
          <w:p>
            <w:pPr>
              <w:pStyle w:val="Compact"/>
              <w:spacing w:before="0" w:after="0" w:line="240" w:lineRule="auto"/>
              <w:ind w:firstLine="0" w:left="0"/>
            </w:pPr>
            <w:r>
              <w:rPr>
                <w:sz w:val="20"/>
                <w:szCs w:val="20"/>
              </w:rPr>
              <w:t xml:space="preserve">−0.36</w:t>
            </w:r>
          </w:p>
        </w:tc>
        <w:tc>
          <w:tcPr/>
          <w:p>
            <w:pPr>
              <w:pStyle w:val="Compact"/>
              <w:spacing w:before="0" w:after="0" w:line="240" w:lineRule="auto"/>
              <w:ind w:firstLine="0" w:left="0"/>
            </w:pPr>
            <w:r>
              <w:rPr>
                <w:sz w:val="20"/>
                <w:szCs w:val="20"/>
              </w:rPr>
              <w:t xml:space="preserve">2.1</w:t>
            </w:r>
          </w:p>
        </w:tc>
      </w:tr>
      <w:tr>
        <w:tc>
          <w:tcPr/>
          <w:p>
            <w:pPr>
              <w:pStyle w:val="Compact"/>
              <w:spacing w:before="0" w:after="0" w:line="240" w:lineRule="auto"/>
              <w:ind w:firstLine="0" w:left="0"/>
            </w:pPr>
            <w:r>
              <w:rPr>
                <w:sz w:val="20"/>
                <w:szCs w:val="20"/>
              </w:rPr>
              <w:t xml:space="preserve">2013</w:t>
            </w:r>
          </w:p>
        </w:tc>
        <w:tc>
          <w:tcPr/>
          <w:p>
            <w:pPr>
              <w:pStyle w:val="Compact"/>
              <w:spacing w:before="0" w:after="0" w:line="240" w:lineRule="auto"/>
              <w:ind w:firstLine="0" w:left="0"/>
            </w:pPr>
            <w:r>
              <w:rPr>
                <w:sz w:val="20"/>
                <w:szCs w:val="20"/>
              </w:rPr>
              <w:t xml:space="preserve">2.58</w:t>
            </w:r>
          </w:p>
        </w:tc>
        <w:tc>
          <w:tcPr/>
          <w:p>
            <w:pPr>
              <w:pStyle w:val="Compact"/>
              <w:spacing w:before="0" w:after="0" w:line="240" w:lineRule="auto"/>
              <w:ind w:firstLine="0" w:left="0"/>
            </w:pPr>
            <w:r>
              <w:rPr>
                <w:sz w:val="20"/>
                <w:szCs w:val="20"/>
              </w:rPr>
              <w:t xml:space="preserve">3.05</w:t>
            </w:r>
          </w:p>
        </w:tc>
        <w:tc>
          <w:tcPr/>
          <w:p>
            <w:pPr>
              <w:pStyle w:val="Compact"/>
              <w:spacing w:before="0" w:after="0" w:line="240" w:lineRule="auto"/>
              <w:ind w:firstLine="0" w:left="0"/>
            </w:pPr>
            <w:r>
              <w:rPr>
                <w:sz w:val="20"/>
                <w:szCs w:val="20"/>
              </w:rPr>
              <w:t xml:space="preserve">+0.46</w:t>
            </w:r>
          </w:p>
        </w:tc>
        <w:tc>
          <w:tcPr/>
          <w:p>
            <w:pPr>
              <w:pStyle w:val="Compact"/>
              <w:spacing w:before="0" w:after="0" w:line="240" w:lineRule="auto"/>
              <w:ind w:firstLine="0" w:left="0"/>
            </w:pPr>
            <w:r>
              <w:rPr>
                <w:sz w:val="20"/>
                <w:szCs w:val="20"/>
              </w:rPr>
              <w:t xml:space="preserve">−1.4</w:t>
            </w:r>
          </w:p>
        </w:tc>
      </w:tr>
      <w:tr>
        <w:tc>
          <w:tcPr/>
          <w:p>
            <w:pPr>
              <w:pStyle w:val="Compact"/>
              <w:spacing w:before="0" w:after="0" w:line="240" w:lineRule="auto"/>
              <w:ind w:firstLine="0" w:left="0"/>
            </w:pPr>
            <w:r>
              <w:rPr>
                <w:sz w:val="20"/>
                <w:szCs w:val="20"/>
              </w:rPr>
              <w:t xml:space="preserve">2014</w:t>
            </w:r>
          </w:p>
        </w:tc>
        <w:tc>
          <w:tcPr/>
          <w:p>
            <w:pPr>
              <w:pStyle w:val="Compact"/>
              <w:spacing w:before="0" w:after="0" w:line="240" w:lineRule="auto"/>
              <w:ind w:firstLine="0" w:left="0"/>
            </w:pPr>
            <w:r>
              <w:rPr>
                <w:sz w:val="20"/>
                <w:szCs w:val="20"/>
              </w:rPr>
              <w:t xml:space="preserve">3.60</w:t>
            </w:r>
          </w:p>
        </w:tc>
        <w:tc>
          <w:tcPr/>
          <w:p>
            <w:pPr>
              <w:pStyle w:val="Compact"/>
              <w:spacing w:before="0" w:after="0" w:line="240" w:lineRule="auto"/>
              <w:ind w:firstLine="0" w:left="0"/>
            </w:pPr>
            <w:r>
              <w:rPr>
                <w:sz w:val="20"/>
                <w:szCs w:val="20"/>
              </w:rPr>
              <w:t xml:space="preserve">4.68</w:t>
            </w:r>
          </w:p>
        </w:tc>
        <w:tc>
          <w:tcPr/>
          <w:p>
            <w:pPr>
              <w:pStyle w:val="Compact"/>
              <w:spacing w:before="0" w:after="0" w:line="240" w:lineRule="auto"/>
              <w:ind w:firstLine="0" w:left="0"/>
            </w:pPr>
            <w:r>
              <w:rPr>
                <w:sz w:val="20"/>
                <w:szCs w:val="20"/>
              </w:rPr>
              <w:t xml:space="preserve">+1.08</w:t>
            </w:r>
          </w:p>
        </w:tc>
        <w:tc>
          <w:tcPr/>
          <w:p>
            <w:pPr>
              <w:pStyle w:val="Compact"/>
              <w:spacing w:before="0" w:after="0" w:line="240" w:lineRule="auto"/>
              <w:ind w:firstLine="0" w:left="0"/>
            </w:pPr>
            <w:r>
              <w:rPr>
                <w:sz w:val="20"/>
                <w:szCs w:val="20"/>
              </w:rPr>
              <w:t xml:space="preserve">−0.4</w:t>
            </w:r>
          </w:p>
        </w:tc>
      </w:tr>
      <w:tr>
        <w:tc>
          <w:tcPr/>
          <w:p>
            <w:pPr>
              <w:pStyle w:val="Compact"/>
              <w:spacing w:before="0" w:after="0" w:line="240" w:lineRule="auto"/>
              <w:ind w:firstLine="0" w:left="0"/>
            </w:pPr>
            <w:r>
              <w:rPr>
                <w:sz w:val="20"/>
                <w:szCs w:val="20"/>
              </w:rPr>
              <w:t xml:space="preserve">2015</w:t>
            </w:r>
          </w:p>
        </w:tc>
        <w:tc>
          <w:tcPr/>
          <w:p>
            <w:pPr>
              <w:pStyle w:val="Compact"/>
              <w:spacing w:before="0" w:after="0" w:line="240" w:lineRule="auto"/>
              <w:ind w:firstLine="0" w:left="0"/>
            </w:pPr>
            <w:r>
              <w:rPr>
                <w:sz w:val="20"/>
                <w:szCs w:val="20"/>
              </w:rPr>
              <w:t xml:space="preserve">0.68</w:t>
            </w:r>
          </w:p>
        </w:tc>
        <w:tc>
          <w:tcPr/>
          <w:p>
            <w:pPr>
              <w:pStyle w:val="Compact"/>
              <w:spacing w:before="0" w:after="0" w:line="240" w:lineRule="auto"/>
              <w:ind w:firstLine="0" w:left="0"/>
            </w:pPr>
            <w:r>
              <w:rPr>
                <w:sz w:val="20"/>
                <w:szCs w:val="20"/>
              </w:rPr>
              <w:t xml:space="preserve">1.32</w:t>
            </w:r>
          </w:p>
        </w:tc>
        <w:tc>
          <w:tcPr/>
          <w:p>
            <w:pPr>
              <w:pStyle w:val="Compact"/>
              <w:spacing w:before="0" w:after="0" w:line="240" w:lineRule="auto"/>
              <w:ind w:firstLine="0" w:left="0"/>
            </w:pPr>
            <w:r>
              <w:rPr>
                <w:sz w:val="20"/>
                <w:szCs w:val="20"/>
              </w:rPr>
              <w:t xml:space="preserve">+0.64</w:t>
            </w:r>
          </w:p>
        </w:tc>
        <w:tc>
          <w:tcPr/>
          <w:p>
            <w:pPr>
              <w:pStyle w:val="Compact"/>
              <w:spacing w:before="0" w:after="0" w:line="240" w:lineRule="auto"/>
              <w:ind w:firstLine="0" w:left="0"/>
            </w:pPr>
            <w:r>
              <w:rPr>
                <w:sz w:val="20"/>
                <w:szCs w:val="20"/>
              </w:rPr>
              <w:t xml:space="preserve">−24.3</w:t>
            </w:r>
          </w:p>
        </w:tc>
      </w:tr>
      <w:tr>
        <w:tc>
          <w:tcPr/>
          <w:p>
            <w:pPr>
              <w:pStyle w:val="Compact"/>
              <w:spacing w:before="0" w:after="0" w:line="240" w:lineRule="auto"/>
              <w:ind w:firstLine="0" w:left="0"/>
            </w:pPr>
            <w:r>
              <w:rPr>
                <w:sz w:val="20"/>
                <w:szCs w:val="20"/>
              </w:rPr>
              <w:t xml:space="preserve">2016</w:t>
            </w:r>
          </w:p>
        </w:tc>
        <w:tc>
          <w:tcPr/>
          <w:p>
            <w:pPr>
              <w:pStyle w:val="Compact"/>
              <w:spacing w:before="0" w:after="0" w:line="240" w:lineRule="auto"/>
              <w:ind w:firstLine="0" w:left="0"/>
            </w:pPr>
            <w:r>
              <w:rPr>
                <w:sz w:val="20"/>
                <w:szCs w:val="20"/>
              </w:rPr>
              <w:t xml:space="preserve">1.25</w:t>
            </w:r>
          </w:p>
        </w:tc>
        <w:tc>
          <w:tcPr/>
          <w:p>
            <w:pPr>
              <w:pStyle w:val="Compact"/>
              <w:spacing w:before="0" w:after="0" w:line="240" w:lineRule="auto"/>
              <w:ind w:firstLine="0" w:left="0"/>
            </w:pPr>
            <w:r>
              <w:rPr>
                <w:sz w:val="20"/>
                <w:szCs w:val="20"/>
              </w:rPr>
              <w:t xml:space="preserve">1.11</w:t>
            </w:r>
          </w:p>
        </w:tc>
        <w:tc>
          <w:tcPr/>
          <w:p>
            <w:pPr>
              <w:pStyle w:val="Compact"/>
              <w:spacing w:before="0" w:after="0" w:line="240" w:lineRule="auto"/>
              <w:ind w:firstLine="0" w:left="0"/>
            </w:pPr>
            <w:r>
              <w:rPr>
                <w:sz w:val="20"/>
                <w:szCs w:val="20"/>
              </w:rPr>
              <w:t xml:space="preserve">−0.14</w:t>
            </w:r>
          </w:p>
        </w:tc>
        <w:tc>
          <w:tcPr/>
          <w:p>
            <w:pPr>
              <w:pStyle w:val="Compact"/>
              <w:spacing w:before="0" w:after="0" w:line="240" w:lineRule="auto"/>
              <w:ind w:firstLine="0" w:left="0"/>
            </w:pPr>
            <w:r>
              <w:rPr>
                <w:sz w:val="20"/>
                <w:szCs w:val="20"/>
              </w:rPr>
              <w:t xml:space="preserve">−7.3</w:t>
            </w:r>
          </w:p>
        </w:tc>
      </w:tr>
      <w:tr>
        <w:tc>
          <w:tcPr/>
          <w:p>
            <w:pPr>
              <w:pStyle w:val="Compact"/>
              <w:spacing w:before="0" w:after="0" w:line="240" w:lineRule="auto"/>
              <w:ind w:firstLine="0" w:left="0"/>
            </w:pPr>
            <w:r>
              <w:rPr>
                <w:sz w:val="20"/>
                <w:szCs w:val="20"/>
              </w:rPr>
              <w:t xml:space="preserve">2017</w:t>
            </w:r>
          </w:p>
        </w:tc>
        <w:tc>
          <w:tcPr/>
          <w:p>
            <w:pPr>
              <w:pStyle w:val="Compact"/>
              <w:spacing w:before="0" w:after="0" w:line="240" w:lineRule="auto"/>
              <w:ind w:firstLine="0" w:left="0"/>
            </w:pPr>
            <w:r>
              <w:rPr>
                <w:sz w:val="20"/>
                <w:szCs w:val="20"/>
              </w:rPr>
              <w:t xml:space="preserve">2.85</w:t>
            </w:r>
          </w:p>
        </w:tc>
        <w:tc>
          <w:tcPr/>
          <w:p>
            <w:pPr>
              <w:pStyle w:val="Compact"/>
              <w:spacing w:before="0" w:after="0" w:line="240" w:lineRule="auto"/>
              <w:ind w:firstLine="0" w:left="0"/>
            </w:pPr>
            <w:r>
              <w:rPr>
                <w:sz w:val="20"/>
                <w:szCs w:val="20"/>
              </w:rPr>
              <w:t xml:space="preserve">2.30</w:t>
            </w:r>
          </w:p>
        </w:tc>
        <w:tc>
          <w:tcPr/>
          <w:p>
            <w:pPr>
              <w:pStyle w:val="Compact"/>
              <w:spacing w:before="0" w:after="0" w:line="240" w:lineRule="auto"/>
              <w:ind w:firstLine="0" w:left="0"/>
            </w:pPr>
            <w:r>
              <w:rPr>
                <w:sz w:val="20"/>
                <w:szCs w:val="20"/>
              </w:rPr>
              <w:t xml:space="preserve">−0.55</w:t>
            </w:r>
          </w:p>
        </w:tc>
        <w:tc>
          <w:tcPr/>
          <w:p>
            <w:pPr>
              <w:pStyle w:val="Compact"/>
              <w:spacing w:before="0" w:after="0" w:line="240" w:lineRule="auto"/>
              <w:ind w:firstLine="0" w:left="0"/>
            </w:pPr>
            <w:r>
              <w:rPr>
                <w:sz w:val="20"/>
                <w:szCs w:val="20"/>
              </w:rPr>
              <w:t xml:space="preserve">14.0</w:t>
            </w:r>
          </w:p>
        </w:tc>
      </w:tr>
      <w:tr>
        <w:tc>
          <w:tcPr/>
          <w:p>
            <w:pPr>
              <w:pStyle w:val="Compact"/>
              <w:spacing w:before="0" w:after="0" w:line="240" w:lineRule="auto"/>
              <w:ind w:firstLine="0" w:left="0"/>
            </w:pPr>
            <w:r>
              <w:rPr>
                <w:sz w:val="20"/>
                <w:szCs w:val="20"/>
              </w:rPr>
              <w:t xml:space="preserve">2018</w:t>
            </w:r>
          </w:p>
        </w:tc>
        <w:tc>
          <w:tcPr/>
          <w:p>
            <w:pPr>
              <w:pStyle w:val="Compact"/>
              <w:spacing w:before="0" w:after="0" w:line="240" w:lineRule="auto"/>
              <w:ind w:firstLine="0" w:left="0"/>
            </w:pPr>
            <w:r>
              <w:rPr>
                <w:sz w:val="20"/>
                <w:szCs w:val="20"/>
              </w:rPr>
              <w:t xml:space="preserve">5.23</w:t>
            </w:r>
          </w:p>
        </w:tc>
        <w:tc>
          <w:tcPr/>
          <w:p>
            <w:pPr>
              <w:pStyle w:val="Compact"/>
              <w:spacing w:before="0" w:after="0" w:line="240" w:lineRule="auto"/>
              <w:ind w:firstLine="0" w:left="0"/>
            </w:pPr>
            <w:r>
              <w:rPr>
                <w:sz w:val="20"/>
                <w:szCs w:val="20"/>
              </w:rPr>
              <w:t xml:space="preserve">5.99</w:t>
            </w:r>
          </w:p>
        </w:tc>
        <w:tc>
          <w:tcPr/>
          <w:p>
            <w:pPr>
              <w:pStyle w:val="Compact"/>
              <w:spacing w:before="0" w:after="0" w:line="240" w:lineRule="auto"/>
              <w:ind w:firstLine="0" w:left="0"/>
            </w:pPr>
            <w:r>
              <w:rPr>
                <w:sz w:val="20"/>
                <w:szCs w:val="20"/>
              </w:rPr>
              <w:t xml:space="preserve">+0.76</w:t>
            </w:r>
          </w:p>
        </w:tc>
        <w:tc>
          <w:tcPr/>
          <w:p>
            <w:pPr>
              <w:pStyle w:val="Compact"/>
              <w:spacing w:before="0" w:after="0" w:line="240" w:lineRule="auto"/>
              <w:ind w:firstLine="0" w:left="0"/>
            </w:pPr>
            <w:r>
              <w:rPr>
                <w:sz w:val="20"/>
                <w:szCs w:val="20"/>
              </w:rPr>
              <w:t xml:space="preserve">23.2</w:t>
            </w:r>
          </w:p>
        </w:tc>
      </w:tr>
      <w:tr>
        <w:tc>
          <w:tcPr/>
          <w:p>
            <w:pPr>
              <w:pStyle w:val="Compact"/>
              <w:spacing w:before="0" w:after="0" w:line="240" w:lineRule="auto"/>
              <w:ind w:firstLine="0" w:left="0"/>
            </w:pPr>
            <w:r>
              <w:rPr>
                <w:sz w:val="20"/>
                <w:szCs w:val="20"/>
              </w:rPr>
              <w:t xml:space="preserve">2019</w:t>
            </w:r>
          </w:p>
        </w:tc>
        <w:tc>
          <w:tcPr/>
          <w:p>
            <w:pPr>
              <w:pStyle w:val="Compact"/>
              <w:spacing w:before="0" w:after="0" w:line="240" w:lineRule="auto"/>
              <w:ind w:firstLine="0" w:left="0"/>
            </w:pPr>
            <w:r>
              <w:rPr>
                <w:sz w:val="20"/>
                <w:szCs w:val="20"/>
              </w:rPr>
              <w:t xml:space="preserve">2.41</w:t>
            </w:r>
          </w:p>
        </w:tc>
        <w:tc>
          <w:tcPr/>
          <w:p>
            <w:pPr>
              <w:pStyle w:val="Compact"/>
              <w:spacing w:before="0" w:after="0" w:line="240" w:lineRule="auto"/>
              <w:ind w:firstLine="0" w:left="0"/>
            </w:pPr>
            <w:r>
              <w:rPr>
                <w:sz w:val="20"/>
                <w:szCs w:val="20"/>
              </w:rPr>
              <w:t xml:space="preserve">1.91</w:t>
            </w:r>
          </w:p>
        </w:tc>
        <w:tc>
          <w:tcPr/>
          <w:p>
            <w:pPr>
              <w:pStyle w:val="Compact"/>
              <w:spacing w:before="0" w:after="0" w:line="240" w:lineRule="auto"/>
              <w:ind w:firstLine="0" w:left="0"/>
            </w:pPr>
            <w:r>
              <w:rPr>
                <w:sz w:val="20"/>
                <w:szCs w:val="20"/>
              </w:rPr>
              <w:t xml:space="preserve">−0.50</w:t>
            </w:r>
          </w:p>
        </w:tc>
        <w:tc>
          <w:tcPr/>
          <w:p>
            <w:pPr>
              <w:pStyle w:val="Compact"/>
              <w:spacing w:before="0" w:after="0" w:line="240" w:lineRule="auto"/>
              <w:ind w:firstLine="0" w:left="0"/>
            </w:pPr>
            <w:r>
              <w:rPr>
                <w:sz w:val="20"/>
                <w:szCs w:val="20"/>
              </w:rPr>
              <w:t xml:space="preserve">−1.0</w:t>
            </w:r>
          </w:p>
        </w:tc>
      </w:tr>
      <w:tr>
        <w:tc>
          <w:tcPr/>
          <w:p>
            <w:pPr>
              <w:pStyle w:val="Compact"/>
              <w:spacing w:before="0" w:after="0" w:line="240" w:lineRule="auto"/>
              <w:ind w:firstLine="0" w:left="0"/>
            </w:pPr>
            <w:r>
              <w:rPr>
                <w:sz w:val="20"/>
                <w:szCs w:val="20"/>
              </w:rPr>
              <w:t xml:space="preserve">2020</w:t>
            </w:r>
          </w:p>
        </w:tc>
        <w:tc>
          <w:tcPr/>
          <w:p>
            <w:pPr>
              <w:pStyle w:val="Compact"/>
              <w:spacing w:before="0" w:after="0" w:line="240" w:lineRule="auto"/>
              <w:ind w:firstLine="0" w:left="0"/>
            </w:pPr>
            <w:r>
              <w:rPr>
                <w:sz w:val="20"/>
                <w:szCs w:val="20"/>
              </w:rPr>
              <w:t xml:space="preserve">2.39</w:t>
            </w:r>
          </w:p>
        </w:tc>
        <w:tc>
          <w:tcPr/>
          <w:p>
            <w:pPr>
              <w:pStyle w:val="Compact"/>
              <w:spacing w:before="0" w:after="0" w:line="240" w:lineRule="auto"/>
              <w:ind w:firstLine="0" w:left="0"/>
            </w:pPr>
            <w:r>
              <w:rPr>
                <w:sz w:val="20"/>
                <w:szCs w:val="20"/>
              </w:rPr>
              <w:t xml:space="preserve">2.59</w:t>
            </w:r>
          </w:p>
        </w:tc>
        <w:tc>
          <w:tcPr/>
          <w:p>
            <w:pPr>
              <w:pStyle w:val="Compact"/>
              <w:spacing w:before="0" w:after="0" w:line="240" w:lineRule="auto"/>
              <w:ind w:firstLine="0" w:left="0"/>
            </w:pPr>
            <w:r>
              <w:rPr>
                <w:sz w:val="20"/>
                <w:szCs w:val="20"/>
              </w:rPr>
              <w:t xml:space="preserve">+0.20</w:t>
            </w:r>
          </w:p>
        </w:tc>
        <w:tc>
          <w:tcPr/>
          <w:p>
            <w:pPr>
              <w:pStyle w:val="Compact"/>
              <w:spacing w:before="0" w:after="0" w:line="240" w:lineRule="auto"/>
              <w:ind w:firstLine="0" w:left="0"/>
            </w:pPr>
            <w:r>
              <w:rPr>
                <w:sz w:val="20"/>
                <w:szCs w:val="20"/>
              </w:rPr>
              <w:t xml:space="preserve">−11.2</w:t>
            </w:r>
          </w:p>
        </w:tc>
      </w:tr>
      <w:tr>
        <w:tc>
          <w:tcPr/>
          <w:p>
            <w:pPr>
              <w:pStyle w:val="Compact"/>
              <w:spacing w:before="0" w:after="0" w:line="240" w:lineRule="auto"/>
              <w:ind w:firstLine="0" w:left="0"/>
            </w:pPr>
            <w:r>
              <w:rPr>
                <w:sz w:val="20"/>
                <w:szCs w:val="20"/>
              </w:rPr>
              <w:t xml:space="preserve">2021</w:t>
            </w:r>
          </w:p>
        </w:tc>
        <w:tc>
          <w:tcPr/>
          <w:p>
            <w:pPr>
              <w:pStyle w:val="Compact"/>
              <w:spacing w:before="0" w:after="0" w:line="240" w:lineRule="auto"/>
              <w:ind w:firstLine="0" w:left="0"/>
            </w:pPr>
            <w:r>
              <w:rPr>
                <w:sz w:val="20"/>
                <w:szCs w:val="20"/>
              </w:rPr>
              <w:t xml:space="preserve">3.93</w:t>
            </w:r>
          </w:p>
        </w:tc>
        <w:tc>
          <w:tcPr/>
          <w:p>
            <w:pPr>
              <w:pStyle w:val="Compact"/>
              <w:spacing w:before="0" w:after="0" w:line="240" w:lineRule="auto"/>
              <w:ind w:firstLine="0" w:left="0"/>
            </w:pPr>
            <w:r>
              <w:rPr>
                <w:sz w:val="20"/>
                <w:szCs w:val="20"/>
              </w:rPr>
              <w:t xml:space="preserve">4.22</w:t>
            </w:r>
          </w:p>
        </w:tc>
        <w:tc>
          <w:tcPr/>
          <w:p>
            <w:pPr>
              <w:pStyle w:val="Compact"/>
              <w:spacing w:before="0" w:after="0" w:line="240" w:lineRule="auto"/>
              <w:ind w:firstLine="0" w:left="0"/>
            </w:pPr>
            <w:r>
              <w:rPr>
                <w:sz w:val="20"/>
                <w:szCs w:val="20"/>
              </w:rPr>
              <w:t xml:space="preserve">+0.29</w:t>
            </w:r>
          </w:p>
        </w:tc>
        <w:tc>
          <w:tcPr/>
          <w:p>
            <w:pPr>
              <w:pStyle w:val="Compact"/>
              <w:spacing w:before="0" w:after="0" w:line="240" w:lineRule="auto"/>
              <w:ind w:firstLine="0" w:left="0"/>
            </w:pPr>
            <w:r>
              <w:rPr>
                <w:sz w:val="20"/>
                <w:szCs w:val="20"/>
              </w:rPr>
              <w:t xml:space="preserve">20.8</w:t>
            </w:r>
          </w:p>
        </w:tc>
      </w:tr>
      <w:tr>
        <w:tc>
          <w:tcPr/>
          <w:p>
            <w:pPr>
              <w:pStyle w:val="Compact"/>
              <w:spacing w:before="0" w:after="0" w:line="240" w:lineRule="auto"/>
              <w:ind w:firstLine="0" w:left="0"/>
            </w:pPr>
            <w:r>
              <w:rPr>
                <w:sz w:val="20"/>
                <w:szCs w:val="20"/>
              </w:rPr>
              <w:t xml:space="preserve">2022</w:t>
            </w:r>
          </w:p>
        </w:tc>
        <w:tc>
          <w:tcPr/>
          <w:p>
            <w:pPr>
              <w:pStyle w:val="Compact"/>
              <w:spacing w:before="0" w:after="0" w:line="240" w:lineRule="auto"/>
              <w:ind w:firstLine="0" w:left="0"/>
            </w:pPr>
            <w:r>
              <w:rPr>
                <w:sz w:val="20"/>
                <w:szCs w:val="20"/>
              </w:rPr>
              <w:t xml:space="preserve">5.81</w:t>
            </w:r>
          </w:p>
        </w:tc>
        <w:tc>
          <w:tcPr/>
          <w:p>
            <w:pPr>
              <w:pStyle w:val="Compact"/>
              <w:spacing w:before="0" w:after="0" w:line="240" w:lineRule="auto"/>
              <w:ind w:firstLine="0" w:left="0"/>
            </w:pPr>
            <w:r>
              <w:rPr>
                <w:sz w:val="20"/>
                <w:szCs w:val="20"/>
              </w:rPr>
              <w:t xml:space="preserve">6.56</w:t>
            </w:r>
          </w:p>
        </w:tc>
        <w:tc>
          <w:tcPr/>
          <w:p>
            <w:pPr>
              <w:pStyle w:val="Compact"/>
              <w:spacing w:before="0" w:after="0" w:line="240" w:lineRule="auto"/>
              <w:ind w:firstLine="0" w:left="0"/>
            </w:pPr>
            <w:r>
              <w:rPr>
                <w:sz w:val="20"/>
                <w:szCs w:val="20"/>
              </w:rPr>
              <w:t xml:space="preserve">+0.75</w:t>
            </w:r>
          </w:p>
        </w:tc>
        <w:tc>
          <w:tcPr/>
          <w:p>
            <w:pPr>
              <w:pStyle w:val="Compact"/>
              <w:spacing w:before="0" w:after="0" w:line="240" w:lineRule="auto"/>
              <w:ind w:firstLine="0" w:left="0"/>
            </w:pPr>
            <w:r>
              <w:rPr>
                <w:sz w:val="20"/>
                <w:szCs w:val="20"/>
              </w:rPr>
              <w:t xml:space="preserve">39.7</w:t>
            </w:r>
          </w:p>
        </w:tc>
      </w:tr>
      <w:tr>
        <w:tc>
          <w:tcPr/>
          <w:p>
            <w:pPr>
              <w:pStyle w:val="Compact"/>
              <w:spacing w:before="0" w:after="0" w:line="240" w:lineRule="auto"/>
              <w:ind w:firstLine="0" w:left="0"/>
            </w:pPr>
            <w:r>
              <w:rPr>
                <w:sz w:val="20"/>
                <w:szCs w:val="20"/>
              </w:rPr>
              <w:t xml:space="preserve">2023</w:t>
            </w:r>
          </w:p>
        </w:tc>
        <w:tc>
          <w:tcPr/>
          <w:p>
            <w:pPr>
              <w:pStyle w:val="Compact"/>
              <w:spacing w:before="0" w:after="0" w:line="240" w:lineRule="auto"/>
              <w:ind w:firstLine="0" w:left="0"/>
            </w:pPr>
            <w:r>
              <w:rPr>
                <w:sz w:val="20"/>
                <w:szCs w:val="20"/>
              </w:rPr>
              <w:t xml:space="preserve">6.01</w:t>
            </w:r>
          </w:p>
        </w:tc>
        <w:tc>
          <w:tcPr/>
          <w:p>
            <w:pPr>
              <w:pStyle w:val="Compact"/>
              <w:spacing w:before="0" w:after="0" w:line="240" w:lineRule="auto"/>
              <w:ind w:firstLine="0" w:left="0"/>
            </w:pPr>
            <w:r>
              <w:rPr>
                <w:sz w:val="20"/>
                <w:szCs w:val="20"/>
              </w:rPr>
              <w:t xml:space="preserve">6.77</w:t>
            </w:r>
          </w:p>
        </w:tc>
        <w:tc>
          <w:tcPr/>
          <w:p>
            <w:pPr>
              <w:pStyle w:val="Compact"/>
              <w:spacing w:before="0" w:after="0" w:line="240" w:lineRule="auto"/>
              <w:ind w:firstLine="0" w:left="0"/>
            </w:pPr>
            <w:r>
              <w:rPr>
                <w:sz w:val="20"/>
                <w:szCs w:val="20"/>
              </w:rPr>
              <w:t xml:space="preserve">+0.76</w:t>
            </w:r>
          </w:p>
        </w:tc>
        <w:tc>
          <w:tcPr/>
          <w:p>
            <w:pPr>
              <w:pStyle w:val="Compact"/>
              <w:spacing w:before="0" w:after="0" w:line="240" w:lineRule="auto"/>
              <w:ind w:firstLine="0" w:left="0"/>
            </w:pPr>
            <w:r>
              <w:rPr>
                <w:sz w:val="20"/>
                <w:szCs w:val="20"/>
              </w:rPr>
              <w:t xml:space="preserve">−9.1</w:t>
            </w:r>
          </w:p>
        </w:tc>
      </w:tr>
      <w:tr>
        <w:tc>
          <w:tcPr/>
          <w:p>
            <w:pPr>
              <w:pStyle w:val="Compact"/>
              <w:spacing w:before="0" w:after="0" w:line="240" w:lineRule="auto"/>
              <w:ind w:firstLine="0" w:left="0"/>
            </w:pPr>
            <w:r>
              <w:rPr>
                <w:sz w:val="20"/>
                <w:szCs w:val="20"/>
              </w:rPr>
              <w:t xml:space="preserve">2024</w:t>
            </w:r>
          </w:p>
        </w:tc>
        <w:tc>
          <w:tcPr/>
          <w:p>
            <w:pPr>
              <w:pStyle w:val="Compact"/>
              <w:spacing w:before="0" w:after="0" w:line="240" w:lineRule="auto"/>
              <w:ind w:firstLine="0" w:left="0"/>
            </w:pPr>
            <w:r>
              <w:rPr>
                <w:sz w:val="20"/>
                <w:szCs w:val="20"/>
              </w:rPr>
              <w:t xml:space="preserve">3.22</w:t>
            </w:r>
          </w:p>
        </w:tc>
        <w:tc>
          <w:tcPr/>
          <w:p>
            <w:pPr>
              <w:pStyle w:val="Compact"/>
              <w:spacing w:before="0" w:after="0" w:line="240" w:lineRule="auto"/>
              <w:ind w:firstLine="0" w:left="0"/>
            </w:pPr>
            <w:r>
              <w:rPr>
                <w:sz w:val="20"/>
                <w:szCs w:val="20"/>
              </w:rPr>
              <w:t xml:space="preserve">4.18</w:t>
            </w:r>
          </w:p>
        </w:tc>
        <w:tc>
          <w:tcPr/>
          <w:p>
            <w:pPr>
              <w:pStyle w:val="Compact"/>
              <w:spacing w:before="0" w:after="0" w:line="240" w:lineRule="auto"/>
              <w:ind w:firstLine="0" w:left="0"/>
            </w:pPr>
            <w:r>
              <w:rPr>
                <w:sz w:val="20"/>
                <w:szCs w:val="20"/>
              </w:rPr>
              <w:t xml:space="preserve">+0.97</w:t>
            </w:r>
          </w:p>
        </w:tc>
        <w:tc>
          <w:tcPr/>
          <w:p>
            <w:pPr>
              <w:pStyle w:val="Compact"/>
              <w:spacing w:before="0" w:after="0" w:line="240" w:lineRule="auto"/>
              <w:ind w:firstLine="0" w:left="0"/>
            </w:pPr>
            <w:r>
              <w:rPr>
                <w:sz w:val="20"/>
                <w:szCs w:val="20"/>
              </w:rPr>
              <w:t xml:space="preserve">−3.0</w:t>
            </w:r>
          </w:p>
        </w:tc>
      </w:tr>
      <w:tr>
        <w:tc>
          <w:tcPr/>
          <w:p>
            <w:pPr>
              <w:pStyle w:val="Compact"/>
              <w:spacing w:before="0" w:after="0" w:line="240" w:lineRule="auto"/>
              <w:ind w:firstLine="0" w:left="0"/>
            </w:pPr>
            <w:r>
              <w:rPr>
                <w:sz w:val="20"/>
                <w:szCs w:val="20"/>
              </w:rPr>
              <w:t xml:space="preserve">2025</w:t>
            </w:r>
          </w:p>
        </w:tc>
        <w:tc>
          <w:tcPr/>
          <w:p>
            <w:pPr>
              <w:pStyle w:val="Compact"/>
              <w:spacing w:before="0" w:after="0" w:line="240" w:lineRule="auto"/>
              <w:ind w:firstLine="0" w:left="0"/>
            </w:pPr>
            <w:r>
              <w:rPr>
                <w:sz w:val="20"/>
                <w:szCs w:val="20"/>
              </w:rPr>
              <w:t xml:space="preserve">1.66</w:t>
            </w:r>
          </w:p>
        </w:tc>
        <w:tc>
          <w:tcPr/>
          <w:p>
            <w:pPr>
              <w:pStyle w:val="Compact"/>
              <w:spacing w:before="0" w:after="0" w:line="240" w:lineRule="auto"/>
              <w:ind w:firstLine="0" w:left="0"/>
            </w:pPr>
            <w:r>
              <w:rPr>
                <w:sz w:val="20"/>
                <w:szCs w:val="20"/>
              </w:rPr>
              <w:t xml:space="preserve">0.29</w:t>
            </w:r>
          </w:p>
        </w:tc>
        <w:tc>
          <w:tcPr/>
          <w:p>
            <w:pPr>
              <w:pStyle w:val="Compact"/>
              <w:spacing w:before="0" w:after="0" w:line="240" w:lineRule="auto"/>
              <w:ind w:firstLine="0" w:left="0"/>
            </w:pPr>
            <w:r>
              <w:rPr>
                <w:sz w:val="20"/>
                <w:szCs w:val="20"/>
              </w:rPr>
              <w:t xml:space="preserve">−1.37</w:t>
            </w:r>
          </w:p>
        </w:tc>
        <w:tc>
          <w:tcPr/>
          <w:p>
            <w:pPr>
              <w:pStyle w:val="Compact"/>
              <w:spacing w:before="0" w:after="0" w:line="240" w:lineRule="auto"/>
              <w:ind w:firstLine="0" w:left="0"/>
            </w:pPr>
            <w:r>
              <w:rPr>
                <w:sz w:val="20"/>
                <w:szCs w:val="20"/>
              </w:rPr>
              <w:t xml:space="preserve">−4.3</w:t>
            </w:r>
          </w:p>
        </w:tc>
      </w:tr>
      <w:tr>
        <w:tc>
          <w:tcPr/>
          <w:p>
            <w:pPr>
              <w:pStyle w:val="Compact"/>
              <w:spacing w:before="0" w:after="0" w:line="240" w:lineRule="auto"/>
              <w:ind w:firstLine="0" w:left="0"/>
            </w:pPr>
            <w:r>
              <w:rPr>
                <w:sz w:val="20"/>
                <w:szCs w:val="20"/>
              </w:rPr>
              <w:t xml:space="preserve">2026*</w:t>
            </w:r>
          </w:p>
        </w:tc>
        <w:tc>
          <w:tcPr/>
          <w:p>
            <w:pPr>
              <w:pStyle w:val="Compact"/>
              <w:spacing w:before="0" w:after="0" w:line="240" w:lineRule="auto"/>
              <w:ind w:firstLine="0" w:left="0"/>
            </w:pPr>
            <w:r>
              <w:rPr>
                <w:sz w:val="20"/>
                <w:szCs w:val="20"/>
              </w:rPr>
              <w:t xml:space="preserve">5.16</w:t>
            </w:r>
          </w:p>
        </w:tc>
        <w:tc>
          <w:tcPr/>
          <w:p>
            <w:pPr>
              <w:pStyle w:val="Compact"/>
              <w:spacing w:before="0" w:after="0" w:line="240" w:lineRule="auto"/>
              <w:ind w:firstLine="0" w:left="0"/>
            </w:pPr>
            <w:r>
              <w:rPr>
                <w:sz w:val="20"/>
                <w:szCs w:val="20"/>
              </w:rPr>
              <w:t xml:space="preserve">6.20</w:t>
            </w:r>
          </w:p>
        </w:tc>
        <w:tc>
          <w:tcPr/>
          <w:p>
            <w:pPr>
              <w:pStyle w:val="Compact"/>
              <w:spacing w:before="0" w:after="0" w:line="240" w:lineRule="auto"/>
              <w:ind w:firstLine="0" w:left="0"/>
            </w:pPr>
            <w:r>
              <w:rPr>
                <w:sz w:val="20"/>
                <w:szCs w:val="20"/>
              </w:rPr>
              <w:t xml:space="preserve">+1.04</w:t>
            </w:r>
          </w:p>
        </w:tc>
        <w:tc>
          <w:tcPr/>
          <w:p>
            <w:pPr>
              <w:pStyle w:val="Compact"/>
              <w:spacing w:before="0" w:after="0" w:line="240" w:lineRule="auto"/>
              <w:ind w:firstLine="0" w:left="0"/>
            </w:pPr>
            <w:r>
              <w:rPr>
                <w:sz w:val="20"/>
                <w:szCs w:val="20"/>
              </w:rPr>
              <w:t xml:space="preserve">33.8</w:t>
            </w:r>
          </w:p>
        </w:tc>
      </w:tr>
    </w:tbl>
    <w:p>
      <w:pPr>
        <w:pStyle w:val="TableNote"/>
      </w:pPr>
      <w:r>
        <w:rPr>
          <w:i/>
          <w:iCs/>
        </w:rPr>
        <w:t xml:space="preserve">Notes:</w:t>
      </w:r>
      <w:r>
        <w:t xml:space="preserve"> </w:t>
      </w:r>
      <w:r>
        <w:t xml:space="preserve">Average of monthly year-on-year rates. *2026: January–August.</w:t>
      </w:r>
    </w:p>
    <w:bookmarkEnd w:id="57"/>
    <w:bookmarkStart w:id="58" w:name="fuel-shock-episodes"/>
    <w:p>
      <w:pPr>
        <w:pStyle w:val="Heading3"/>
      </w:pPr>
      <w:r>
        <w:t xml:space="preserve">4.1.3 Fuel-shock episodes</w:t>
      </w:r>
    </w:p>
    <w:p>
      <w:pPr>
        <w:pStyle w:val="FirstParagraph"/>
      </w:pPr>
      <w:r>
        <w:t xml:space="preserve">Table 4 lists the 9 episodes in which the fuel index stayed at least 15% above its level a year earlier for three months or more. In 6 of them the poor’s inflation was higher than the average. The gap was largest in 2008 and second largest in 2026; the long 2021–2022 episode produced only a modest gap.</w:t>
      </w:r>
    </w:p>
    <w:p>
      <w:pPr>
        <w:pStyle w:val="TableCaption"/>
      </w:pPr>
      <w:r>
        <w:t xml:space="preserve">Table 4. Fuel-shock episodes</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4. Fuel-shock episodes"/>
      </w:tblPr>
      <w:tblGrid>
        <w:gridCol w:w="1320"/>
        <w:gridCol w:w="1320"/>
        <w:gridCol w:w="1320"/>
        <w:gridCol w:w="1320"/>
        <w:gridCol w:w="1320"/>
        <w:gridCol w:w="1320"/>
      </w:tblGrid>
      <w:tr>
        <w:trPr>
          <w:tblHeader w:val="on"/>
        </w:trPr>
        <w:tc>
          <w:tcPr>
            <w:tcBorders>
              <w:bottom w:val="single" w:sz="6" w:space="0" w:color="000000"/>
            </w:tcBorders>
          </w:tcPr>
          <w:p>
            <w:pPr>
              <w:pStyle w:val="Compact"/>
              <w:spacing w:before="0" w:after="0" w:line="240" w:lineRule="auto"/>
              <w:ind w:firstLine="0" w:left="0"/>
            </w:pPr>
            <w:r>
              <w:rPr>
                <w:sz w:val="20"/>
                <w:szCs w:val="20"/>
              </w:rPr>
              <w:t xml:space="preserve">Episode</w:t>
            </w:r>
          </w:p>
        </w:tc>
        <w:tc>
          <w:tcPr>
            <w:tcBorders>
              <w:bottom w:val="single" w:sz="6" w:space="0" w:color="000000"/>
            </w:tcBorders>
          </w:tcPr>
          <w:p>
            <w:pPr>
              <w:pStyle w:val="Compact"/>
              <w:spacing w:before="0" w:after="0" w:line="240" w:lineRule="auto"/>
              <w:ind w:firstLine="0" w:left="0"/>
            </w:pPr>
            <w:r>
              <w:rPr>
                <w:sz w:val="20"/>
                <w:szCs w:val="20"/>
              </w:rPr>
              <w:t xml:space="preserve">Months</w:t>
            </w:r>
          </w:p>
        </w:tc>
        <w:tc>
          <w:tcPr>
            <w:tcBorders>
              <w:bottom w:val="single" w:sz="6" w:space="0" w:color="000000"/>
            </w:tcBorders>
          </w:tcPr>
          <w:p>
            <w:pPr>
              <w:pStyle w:val="Compact"/>
              <w:spacing w:before="0" w:after="0" w:line="240" w:lineRule="auto"/>
              <w:ind w:firstLine="0" w:left="0"/>
            </w:pPr>
            <w:r>
              <w:rPr>
                <w:sz w:val="20"/>
                <w:szCs w:val="20"/>
              </w:rPr>
              <w:t xml:space="preserve">Peak fuel rise (% y/y)</w:t>
            </w:r>
          </w:p>
        </w:tc>
        <w:tc>
          <w:tcPr>
            <w:tcBorders>
              <w:bottom w:val="single" w:sz="6" w:space="0" w:color="000000"/>
            </w:tcBorders>
          </w:tcPr>
          <w:p>
            <w:pPr>
              <w:pStyle w:val="Compact"/>
              <w:spacing w:before="0" w:after="0" w:line="240" w:lineRule="auto"/>
              <w:ind w:firstLine="0" w:left="0"/>
            </w:pPr>
            <w:r>
              <w:rPr>
                <w:sz w:val="20"/>
                <w:szCs w:val="20"/>
              </w:rPr>
              <w:t xml:space="preserve">Inflation, all (%)</w:t>
            </w:r>
          </w:p>
        </w:tc>
        <w:tc>
          <w:tcPr>
            <w:tcBorders>
              <w:bottom w:val="single" w:sz="6" w:space="0" w:color="000000"/>
            </w:tcBorders>
          </w:tcPr>
          <w:p>
            <w:pPr>
              <w:pStyle w:val="Compact"/>
              <w:spacing w:before="0" w:after="0" w:line="240" w:lineRule="auto"/>
              <w:ind w:firstLine="0" w:left="0"/>
            </w:pPr>
            <w:r>
              <w:rPr>
                <w:sz w:val="20"/>
                <w:szCs w:val="20"/>
              </w:rPr>
              <w:t xml:space="preserve">Inflation, b30 (%)</w:t>
            </w:r>
          </w:p>
        </w:tc>
        <w:tc>
          <w:tcPr>
            <w:tcBorders>
              <w:bottom w:val="single" w:sz="6" w:space="0" w:color="000000"/>
            </w:tcBorders>
          </w:tcPr>
          <w:p>
            <w:pPr>
              <w:pStyle w:val="Compact"/>
              <w:spacing w:before="0" w:after="0" w:line="240" w:lineRule="auto"/>
              <w:ind w:firstLine="0" w:left="0"/>
            </w:pPr>
            <w:r>
              <w:rPr>
                <w:sz w:val="20"/>
                <w:szCs w:val="20"/>
              </w:rPr>
              <w:t xml:space="preserve">Gap (pp)</w:t>
            </w:r>
          </w:p>
        </w:tc>
      </w:tr>
      <w:tr>
        <w:tc>
          <w:tcPr/>
          <w:p>
            <w:pPr>
              <w:pStyle w:val="Compact"/>
              <w:spacing w:before="0" w:after="0" w:line="240" w:lineRule="auto"/>
              <w:ind w:firstLine="0" w:left="0"/>
            </w:pPr>
            <w:r>
              <w:rPr>
                <w:sz w:val="20"/>
                <w:szCs w:val="20"/>
              </w:rPr>
              <w:t xml:space="preserve">2001-01 to 2001-03</w:t>
            </w:r>
          </w:p>
        </w:tc>
        <w:tc>
          <w:tcPr/>
          <w:p>
            <w:pPr>
              <w:pStyle w:val="Compact"/>
              <w:spacing w:before="0" w:after="0" w:line="240" w:lineRule="auto"/>
              <w:ind w:firstLine="0" w:left="0"/>
            </w:pPr>
            <w:r>
              <w:rPr>
                <w:sz w:val="20"/>
                <w:szCs w:val="20"/>
              </w:rPr>
              <w:t xml:space="preserve">3</w:t>
            </w:r>
          </w:p>
        </w:tc>
        <w:tc>
          <w:tcPr/>
          <w:p>
            <w:pPr>
              <w:pStyle w:val="Compact"/>
              <w:spacing w:before="0" w:after="0" w:line="240" w:lineRule="auto"/>
              <w:ind w:firstLine="0" w:left="0"/>
            </w:pPr>
            <w:r>
              <w:rPr>
                <w:sz w:val="20"/>
                <w:szCs w:val="20"/>
              </w:rPr>
              <w:t xml:space="preserve">22.8</w:t>
            </w:r>
          </w:p>
        </w:tc>
        <w:tc>
          <w:tcPr/>
          <w:p>
            <w:pPr>
              <w:pStyle w:val="Compact"/>
              <w:spacing w:before="0" w:after="0" w:line="240" w:lineRule="auto"/>
              <w:ind w:firstLine="0" w:left="0"/>
            </w:pPr>
            <w:r>
              <w:rPr>
                <w:sz w:val="20"/>
                <w:szCs w:val="20"/>
              </w:rPr>
              <w:t xml:space="preserve">5.83</w:t>
            </w:r>
          </w:p>
        </w:tc>
        <w:tc>
          <w:tcPr/>
          <w:p>
            <w:pPr>
              <w:pStyle w:val="Compact"/>
              <w:spacing w:before="0" w:after="0" w:line="240" w:lineRule="auto"/>
              <w:ind w:firstLine="0" w:left="0"/>
            </w:pPr>
            <w:r>
              <w:rPr>
                <w:sz w:val="20"/>
                <w:szCs w:val="20"/>
              </w:rPr>
              <w:t xml:space="preserve">5.90</w:t>
            </w:r>
          </w:p>
        </w:tc>
        <w:tc>
          <w:tcPr/>
          <w:p>
            <w:pPr>
              <w:pStyle w:val="Compact"/>
              <w:spacing w:before="0" w:after="0" w:line="240" w:lineRule="auto"/>
              <w:ind w:firstLine="0" w:left="0"/>
            </w:pPr>
            <w:r>
              <w:rPr>
                <w:sz w:val="20"/>
                <w:szCs w:val="20"/>
              </w:rPr>
              <w:t xml:space="preserve">+0.07</w:t>
            </w:r>
          </w:p>
        </w:tc>
      </w:tr>
      <w:tr>
        <w:tc>
          <w:tcPr/>
          <w:p>
            <w:pPr>
              <w:pStyle w:val="Compact"/>
              <w:spacing w:before="0" w:after="0" w:line="240" w:lineRule="auto"/>
              <w:ind w:firstLine="0" w:left="0"/>
            </w:pPr>
            <w:r>
              <w:rPr>
                <w:sz w:val="20"/>
                <w:szCs w:val="20"/>
              </w:rPr>
              <w:t xml:space="preserve">2004-06 to 2006-09</w:t>
            </w:r>
          </w:p>
        </w:tc>
        <w:tc>
          <w:tcPr/>
          <w:p>
            <w:pPr>
              <w:pStyle w:val="Compact"/>
              <w:spacing w:before="0" w:after="0" w:line="240" w:lineRule="auto"/>
              <w:ind w:firstLine="0" w:left="0"/>
            </w:pPr>
            <w:r>
              <w:rPr>
                <w:sz w:val="20"/>
                <w:szCs w:val="20"/>
              </w:rPr>
              <w:t xml:space="preserve">28</w:t>
            </w:r>
          </w:p>
        </w:tc>
        <w:tc>
          <w:tcPr/>
          <w:p>
            <w:pPr>
              <w:pStyle w:val="Compact"/>
              <w:spacing w:before="0" w:after="0" w:line="240" w:lineRule="auto"/>
              <w:ind w:firstLine="0" w:left="0"/>
            </w:pPr>
            <w:r>
              <w:rPr>
                <w:sz w:val="20"/>
                <w:szCs w:val="20"/>
              </w:rPr>
              <w:t xml:space="preserve">28.3</w:t>
            </w:r>
          </w:p>
        </w:tc>
        <w:tc>
          <w:tcPr/>
          <w:p>
            <w:pPr>
              <w:pStyle w:val="Compact"/>
              <w:spacing w:before="0" w:after="0" w:line="240" w:lineRule="auto"/>
              <w:ind w:firstLine="0" w:left="0"/>
            </w:pPr>
            <w:r>
              <w:rPr>
                <w:sz w:val="20"/>
                <w:szCs w:val="20"/>
              </w:rPr>
              <w:t xml:space="preserve">6.21</w:t>
            </w:r>
          </w:p>
        </w:tc>
        <w:tc>
          <w:tcPr/>
          <w:p>
            <w:pPr>
              <w:pStyle w:val="Compact"/>
              <w:spacing w:before="0" w:after="0" w:line="240" w:lineRule="auto"/>
              <w:ind w:firstLine="0" w:left="0"/>
            </w:pPr>
            <w:r>
              <w:rPr>
                <w:sz w:val="20"/>
                <w:szCs w:val="20"/>
              </w:rPr>
              <w:t xml:space="preserve">7.53</w:t>
            </w:r>
          </w:p>
        </w:tc>
        <w:tc>
          <w:tcPr/>
          <w:p>
            <w:pPr>
              <w:pStyle w:val="Compact"/>
              <w:spacing w:before="0" w:after="0" w:line="240" w:lineRule="auto"/>
              <w:ind w:firstLine="0" w:left="0"/>
            </w:pPr>
            <w:r>
              <w:rPr>
                <w:sz w:val="20"/>
                <w:szCs w:val="20"/>
              </w:rPr>
              <w:t xml:space="preserve">+1.32</w:t>
            </w:r>
          </w:p>
        </w:tc>
      </w:tr>
      <w:tr>
        <w:tc>
          <w:tcPr/>
          <w:p>
            <w:pPr>
              <w:pStyle w:val="Compact"/>
              <w:spacing w:before="0" w:after="0" w:line="240" w:lineRule="auto"/>
              <w:ind w:firstLine="0" w:left="0"/>
            </w:pPr>
            <w:r>
              <w:rPr>
                <w:sz w:val="20"/>
                <w:szCs w:val="20"/>
              </w:rPr>
              <w:t xml:space="preserve">2008-02 to 2008-10</w:t>
            </w:r>
          </w:p>
        </w:tc>
        <w:tc>
          <w:tcPr/>
          <w:p>
            <w:pPr>
              <w:pStyle w:val="Compact"/>
              <w:spacing w:before="0" w:after="0" w:line="240" w:lineRule="auto"/>
              <w:ind w:firstLine="0" w:left="0"/>
            </w:pPr>
            <w:r>
              <w:rPr>
                <w:sz w:val="20"/>
                <w:szCs w:val="20"/>
              </w:rPr>
              <w:t xml:space="preserve">9</w:t>
            </w:r>
          </w:p>
        </w:tc>
        <w:tc>
          <w:tcPr/>
          <w:p>
            <w:pPr>
              <w:pStyle w:val="Compact"/>
              <w:spacing w:before="0" w:after="0" w:line="240" w:lineRule="auto"/>
              <w:ind w:firstLine="0" w:left="0"/>
            </w:pPr>
            <w:r>
              <w:rPr>
                <w:sz w:val="20"/>
                <w:szCs w:val="20"/>
              </w:rPr>
              <w:t xml:space="preserve">40.3</w:t>
            </w:r>
          </w:p>
        </w:tc>
        <w:tc>
          <w:tcPr/>
          <w:p>
            <w:pPr>
              <w:pStyle w:val="Compact"/>
              <w:spacing w:before="0" w:after="0" w:line="240" w:lineRule="auto"/>
              <w:ind w:firstLine="0" w:left="0"/>
            </w:pPr>
            <w:r>
              <w:rPr>
                <w:sz w:val="20"/>
                <w:szCs w:val="20"/>
              </w:rPr>
              <w:t xml:space="preserve">8.50</w:t>
            </w:r>
          </w:p>
        </w:tc>
        <w:tc>
          <w:tcPr/>
          <w:p>
            <w:pPr>
              <w:pStyle w:val="Compact"/>
              <w:spacing w:before="0" w:after="0" w:line="240" w:lineRule="auto"/>
              <w:ind w:firstLine="0" w:left="0"/>
            </w:pPr>
            <w:r>
              <w:rPr>
                <w:sz w:val="20"/>
                <w:szCs w:val="20"/>
              </w:rPr>
              <w:t xml:space="preserve">14.68</w:t>
            </w:r>
          </w:p>
        </w:tc>
        <w:tc>
          <w:tcPr/>
          <w:p>
            <w:pPr>
              <w:pStyle w:val="Compact"/>
              <w:spacing w:before="0" w:after="0" w:line="240" w:lineRule="auto"/>
              <w:ind w:firstLine="0" w:left="0"/>
            </w:pPr>
            <w:r>
              <w:rPr>
                <w:sz w:val="20"/>
                <w:szCs w:val="20"/>
              </w:rPr>
              <w:t xml:space="preserve">+6.17</w:t>
            </w:r>
          </w:p>
        </w:tc>
      </w:tr>
      <w:tr>
        <w:tc>
          <w:tcPr/>
          <w:p>
            <w:pPr>
              <w:pStyle w:val="Compact"/>
              <w:spacing w:before="0" w:after="0" w:line="240" w:lineRule="auto"/>
              <w:ind w:firstLine="0" w:left="0"/>
            </w:pPr>
            <w:r>
              <w:rPr>
                <w:sz w:val="20"/>
                <w:szCs w:val="20"/>
              </w:rPr>
              <w:t xml:space="preserve">2010-01 to 2010-05</w:t>
            </w:r>
          </w:p>
        </w:tc>
        <w:tc>
          <w:tcPr/>
          <w:p>
            <w:pPr>
              <w:pStyle w:val="Compact"/>
              <w:spacing w:before="0" w:after="0" w:line="240" w:lineRule="auto"/>
              <w:ind w:firstLine="0" w:left="0"/>
            </w:pPr>
            <w:r>
              <w:rPr>
                <w:sz w:val="20"/>
                <w:szCs w:val="20"/>
              </w:rPr>
              <w:t xml:space="preserve">5</w:t>
            </w:r>
          </w:p>
        </w:tc>
        <w:tc>
          <w:tcPr/>
          <w:p>
            <w:pPr>
              <w:pStyle w:val="Compact"/>
              <w:spacing w:before="0" w:after="0" w:line="240" w:lineRule="auto"/>
              <w:ind w:firstLine="0" w:left="0"/>
            </w:pPr>
            <w:r>
              <w:rPr>
                <w:sz w:val="20"/>
                <w:szCs w:val="20"/>
              </w:rPr>
              <w:t xml:space="preserve">23.5</w:t>
            </w:r>
          </w:p>
        </w:tc>
        <w:tc>
          <w:tcPr/>
          <w:p>
            <w:pPr>
              <w:pStyle w:val="Compact"/>
              <w:spacing w:before="0" w:after="0" w:line="240" w:lineRule="auto"/>
              <w:ind w:firstLine="0" w:left="0"/>
            </w:pPr>
            <w:r>
              <w:rPr>
                <w:sz w:val="20"/>
                <w:szCs w:val="20"/>
              </w:rPr>
              <w:t xml:space="preserve">3.92</w:t>
            </w:r>
          </w:p>
        </w:tc>
        <w:tc>
          <w:tcPr/>
          <w:p>
            <w:pPr>
              <w:pStyle w:val="Compact"/>
              <w:spacing w:before="0" w:after="0" w:line="240" w:lineRule="auto"/>
              <w:ind w:firstLine="0" w:left="0"/>
            </w:pPr>
            <w:r>
              <w:rPr>
                <w:sz w:val="20"/>
                <w:szCs w:val="20"/>
              </w:rPr>
              <w:t xml:space="preserve">3.88</w:t>
            </w:r>
          </w:p>
        </w:tc>
        <w:tc>
          <w:tcPr/>
          <w:p>
            <w:pPr>
              <w:pStyle w:val="Compact"/>
              <w:spacing w:before="0" w:after="0" w:line="240" w:lineRule="auto"/>
              <w:ind w:firstLine="0" w:left="0"/>
            </w:pPr>
            <w:r>
              <w:rPr>
                <w:sz w:val="20"/>
                <w:szCs w:val="20"/>
              </w:rPr>
              <w:t xml:space="preserve">−0.04</w:t>
            </w:r>
          </w:p>
        </w:tc>
      </w:tr>
      <w:tr>
        <w:tc>
          <w:tcPr/>
          <w:p>
            <w:pPr>
              <w:pStyle w:val="Compact"/>
              <w:spacing w:before="0" w:after="0" w:line="240" w:lineRule="auto"/>
              <w:ind w:firstLine="0" w:left="0"/>
            </w:pPr>
            <w:r>
              <w:rPr>
                <w:sz w:val="20"/>
                <w:szCs w:val="20"/>
              </w:rPr>
              <w:t xml:space="preserve">2017-01 to 2017-03</w:t>
            </w:r>
          </w:p>
        </w:tc>
        <w:tc>
          <w:tcPr/>
          <w:p>
            <w:pPr>
              <w:pStyle w:val="Compact"/>
              <w:spacing w:before="0" w:after="0" w:line="240" w:lineRule="auto"/>
              <w:ind w:firstLine="0" w:left="0"/>
            </w:pPr>
            <w:r>
              <w:rPr>
                <w:sz w:val="20"/>
                <w:szCs w:val="20"/>
              </w:rPr>
              <w:t xml:space="preserve">3</w:t>
            </w:r>
          </w:p>
        </w:tc>
        <w:tc>
          <w:tcPr/>
          <w:p>
            <w:pPr>
              <w:pStyle w:val="Compact"/>
              <w:spacing w:before="0" w:after="0" w:line="240" w:lineRule="auto"/>
              <w:ind w:firstLine="0" w:left="0"/>
            </w:pPr>
            <w:r>
              <w:rPr>
                <w:sz w:val="20"/>
                <w:szCs w:val="20"/>
              </w:rPr>
              <w:t xml:space="preserve">24.6</w:t>
            </w:r>
          </w:p>
        </w:tc>
        <w:tc>
          <w:tcPr/>
          <w:p>
            <w:pPr>
              <w:pStyle w:val="Compact"/>
              <w:spacing w:before="0" w:after="0" w:line="240" w:lineRule="auto"/>
              <w:ind w:firstLine="0" w:left="0"/>
            </w:pPr>
            <w:r>
              <w:rPr>
                <w:sz w:val="20"/>
                <w:szCs w:val="20"/>
              </w:rPr>
              <w:t xml:space="preserve">2.88</w:t>
            </w:r>
          </w:p>
        </w:tc>
        <w:tc>
          <w:tcPr/>
          <w:p>
            <w:pPr>
              <w:pStyle w:val="Compact"/>
              <w:spacing w:before="0" w:after="0" w:line="240" w:lineRule="auto"/>
              <w:ind w:firstLine="0" w:left="0"/>
            </w:pPr>
            <w:r>
              <w:rPr>
                <w:sz w:val="20"/>
                <w:szCs w:val="20"/>
              </w:rPr>
              <w:t xml:space="preserve">2.12</w:t>
            </w:r>
          </w:p>
        </w:tc>
        <w:tc>
          <w:tcPr/>
          <w:p>
            <w:pPr>
              <w:pStyle w:val="Compact"/>
              <w:spacing w:before="0" w:after="0" w:line="240" w:lineRule="auto"/>
              <w:ind w:firstLine="0" w:left="0"/>
            </w:pPr>
            <w:r>
              <w:rPr>
                <w:sz w:val="20"/>
                <w:szCs w:val="20"/>
              </w:rPr>
              <w:t xml:space="preserve">−0.76</w:t>
            </w:r>
          </w:p>
        </w:tc>
      </w:tr>
      <w:tr>
        <w:tc>
          <w:tcPr/>
          <w:p>
            <w:pPr>
              <w:pStyle w:val="Compact"/>
              <w:spacing w:before="0" w:after="0" w:line="240" w:lineRule="auto"/>
              <w:ind w:firstLine="0" w:left="0"/>
            </w:pPr>
            <w:r>
              <w:rPr>
                <w:sz w:val="20"/>
                <w:szCs w:val="20"/>
              </w:rPr>
              <w:t xml:space="preserve">2017-09 to 2017-11</w:t>
            </w:r>
          </w:p>
        </w:tc>
        <w:tc>
          <w:tcPr/>
          <w:p>
            <w:pPr>
              <w:pStyle w:val="Compact"/>
              <w:spacing w:before="0" w:after="0" w:line="240" w:lineRule="auto"/>
              <w:ind w:firstLine="0" w:left="0"/>
            </w:pPr>
            <w:r>
              <w:rPr>
                <w:sz w:val="20"/>
                <w:szCs w:val="20"/>
              </w:rPr>
              <w:t xml:space="preserve">3</w:t>
            </w:r>
          </w:p>
        </w:tc>
        <w:tc>
          <w:tcPr/>
          <w:p>
            <w:pPr>
              <w:pStyle w:val="Compact"/>
              <w:spacing w:before="0" w:after="0" w:line="240" w:lineRule="auto"/>
              <w:ind w:firstLine="0" w:left="0"/>
            </w:pPr>
            <w:r>
              <w:rPr>
                <w:sz w:val="20"/>
                <w:szCs w:val="20"/>
              </w:rPr>
              <w:t xml:space="preserve">15.9</w:t>
            </w:r>
          </w:p>
        </w:tc>
        <w:tc>
          <w:tcPr/>
          <w:p>
            <w:pPr>
              <w:pStyle w:val="Compact"/>
              <w:spacing w:before="0" w:after="0" w:line="240" w:lineRule="auto"/>
              <w:ind w:firstLine="0" w:left="0"/>
            </w:pPr>
            <w:r>
              <w:rPr>
                <w:sz w:val="20"/>
                <w:szCs w:val="20"/>
              </w:rPr>
              <w:t xml:space="preserve">3.06</w:t>
            </w:r>
          </w:p>
        </w:tc>
        <w:tc>
          <w:tcPr/>
          <w:p>
            <w:pPr>
              <w:pStyle w:val="Compact"/>
              <w:spacing w:before="0" w:after="0" w:line="240" w:lineRule="auto"/>
              <w:ind w:firstLine="0" w:left="0"/>
            </w:pPr>
            <w:r>
              <w:rPr>
                <w:sz w:val="20"/>
                <w:szCs w:val="20"/>
              </w:rPr>
              <w:t xml:space="preserve">2.61</w:t>
            </w:r>
          </w:p>
        </w:tc>
        <w:tc>
          <w:tcPr/>
          <w:p>
            <w:pPr>
              <w:pStyle w:val="Compact"/>
              <w:spacing w:before="0" w:after="0" w:line="240" w:lineRule="auto"/>
              <w:ind w:firstLine="0" w:left="0"/>
            </w:pPr>
            <w:r>
              <w:rPr>
                <w:sz w:val="20"/>
                <w:szCs w:val="20"/>
              </w:rPr>
              <w:t xml:space="preserve">−0.44</w:t>
            </w:r>
          </w:p>
        </w:tc>
      </w:tr>
      <w:tr>
        <w:tc>
          <w:tcPr/>
          <w:p>
            <w:pPr>
              <w:pStyle w:val="Compact"/>
              <w:spacing w:before="0" w:after="0" w:line="240" w:lineRule="auto"/>
              <w:ind w:firstLine="0" w:left="0"/>
            </w:pPr>
            <w:r>
              <w:rPr>
                <w:sz w:val="20"/>
                <w:szCs w:val="20"/>
              </w:rPr>
              <w:t xml:space="preserve">2018-02 to 2018-11</w:t>
            </w:r>
          </w:p>
        </w:tc>
        <w:tc>
          <w:tcPr/>
          <w:p>
            <w:pPr>
              <w:pStyle w:val="Compact"/>
              <w:spacing w:before="0" w:after="0" w:line="240" w:lineRule="auto"/>
              <w:ind w:firstLine="0" w:left="0"/>
            </w:pPr>
            <w:r>
              <w:rPr>
                <w:sz w:val="20"/>
                <w:szCs w:val="20"/>
              </w:rPr>
              <w:t xml:space="preserve">10</w:t>
            </w:r>
          </w:p>
        </w:tc>
        <w:tc>
          <w:tcPr/>
          <w:p>
            <w:pPr>
              <w:pStyle w:val="Compact"/>
              <w:spacing w:before="0" w:after="0" w:line="240" w:lineRule="auto"/>
              <w:ind w:firstLine="0" w:left="0"/>
            </w:pPr>
            <w:r>
              <w:rPr>
                <w:sz w:val="20"/>
                <w:szCs w:val="20"/>
              </w:rPr>
              <w:t xml:space="preserve">33.5</w:t>
            </w:r>
          </w:p>
        </w:tc>
        <w:tc>
          <w:tcPr/>
          <w:p>
            <w:pPr>
              <w:pStyle w:val="Compact"/>
              <w:spacing w:before="0" w:after="0" w:line="240" w:lineRule="auto"/>
              <w:ind w:firstLine="0" w:left="0"/>
            </w:pPr>
            <w:r>
              <w:rPr>
                <w:sz w:val="20"/>
                <w:szCs w:val="20"/>
              </w:rPr>
              <w:t xml:space="preserve">5.42</w:t>
            </w:r>
          </w:p>
        </w:tc>
        <w:tc>
          <w:tcPr/>
          <w:p>
            <w:pPr>
              <w:pStyle w:val="Compact"/>
              <w:spacing w:before="0" w:after="0" w:line="240" w:lineRule="auto"/>
              <w:ind w:firstLine="0" w:left="0"/>
            </w:pPr>
            <w:r>
              <w:rPr>
                <w:sz w:val="20"/>
                <w:szCs w:val="20"/>
              </w:rPr>
              <w:t xml:space="preserve">6.22</w:t>
            </w:r>
          </w:p>
        </w:tc>
        <w:tc>
          <w:tcPr/>
          <w:p>
            <w:pPr>
              <w:pStyle w:val="Compact"/>
              <w:spacing w:before="0" w:after="0" w:line="240" w:lineRule="auto"/>
              <w:ind w:firstLine="0" w:left="0"/>
            </w:pPr>
            <w:r>
              <w:rPr>
                <w:sz w:val="20"/>
                <w:szCs w:val="20"/>
              </w:rPr>
              <w:t xml:space="preserve">+0.81</w:t>
            </w:r>
          </w:p>
        </w:tc>
      </w:tr>
      <w:tr>
        <w:tc>
          <w:tcPr/>
          <w:p>
            <w:pPr>
              <w:pStyle w:val="Compact"/>
              <w:spacing w:before="0" w:after="0" w:line="240" w:lineRule="auto"/>
              <w:ind w:firstLine="0" w:left="0"/>
            </w:pPr>
            <w:r>
              <w:rPr>
                <w:sz w:val="20"/>
                <w:szCs w:val="20"/>
              </w:rPr>
              <w:t xml:space="preserve">2021-04 to 2022-12</w:t>
            </w:r>
          </w:p>
        </w:tc>
        <w:tc>
          <w:tcPr/>
          <w:p>
            <w:pPr>
              <w:pStyle w:val="Compact"/>
              <w:spacing w:before="0" w:after="0" w:line="240" w:lineRule="auto"/>
              <w:ind w:firstLine="0" w:left="0"/>
            </w:pPr>
            <w:r>
              <w:rPr>
                <w:sz w:val="20"/>
                <w:szCs w:val="20"/>
              </w:rPr>
              <w:t xml:space="preserve">21</w:t>
            </w:r>
          </w:p>
        </w:tc>
        <w:tc>
          <w:tcPr/>
          <w:p>
            <w:pPr>
              <w:pStyle w:val="Compact"/>
              <w:spacing w:before="0" w:after="0" w:line="240" w:lineRule="auto"/>
              <w:ind w:firstLine="0" w:left="0"/>
            </w:pPr>
            <w:r>
              <w:rPr>
                <w:sz w:val="20"/>
                <w:szCs w:val="20"/>
              </w:rPr>
              <w:t xml:space="preserve">62.7</w:t>
            </w:r>
          </w:p>
        </w:tc>
        <w:tc>
          <w:tcPr/>
          <w:p>
            <w:pPr>
              <w:pStyle w:val="Compact"/>
              <w:spacing w:before="0" w:after="0" w:line="240" w:lineRule="auto"/>
              <w:ind w:firstLine="0" w:left="0"/>
            </w:pPr>
            <w:r>
              <w:rPr>
                <w:sz w:val="20"/>
                <w:szCs w:val="20"/>
              </w:rPr>
              <w:t xml:space="preserve">4.99</w:t>
            </w:r>
          </w:p>
        </w:tc>
        <w:tc>
          <w:tcPr/>
          <w:p>
            <w:pPr>
              <w:pStyle w:val="Compact"/>
              <w:spacing w:before="0" w:after="0" w:line="240" w:lineRule="auto"/>
              <w:ind w:firstLine="0" w:left="0"/>
            </w:pPr>
            <w:r>
              <w:rPr>
                <w:sz w:val="20"/>
                <w:szCs w:val="20"/>
              </w:rPr>
              <w:t xml:space="preserve">5.52</w:t>
            </w:r>
          </w:p>
        </w:tc>
        <w:tc>
          <w:tcPr/>
          <w:p>
            <w:pPr>
              <w:pStyle w:val="Compact"/>
              <w:spacing w:before="0" w:after="0" w:line="240" w:lineRule="auto"/>
              <w:ind w:firstLine="0" w:left="0"/>
            </w:pPr>
            <w:r>
              <w:rPr>
                <w:sz w:val="20"/>
                <w:szCs w:val="20"/>
              </w:rPr>
              <w:t xml:space="preserve">+0.53</w:t>
            </w:r>
          </w:p>
        </w:tc>
      </w:tr>
      <w:tr>
        <w:tc>
          <w:tcPr/>
          <w:p>
            <w:pPr>
              <w:pStyle w:val="Compact"/>
              <w:spacing w:before="0" w:after="0" w:line="240" w:lineRule="auto"/>
              <w:ind w:firstLine="0" w:left="0"/>
            </w:pPr>
            <w:r>
              <w:rPr>
                <w:sz w:val="20"/>
                <w:szCs w:val="20"/>
              </w:rPr>
              <w:t xml:space="preserve">2026-03 to 2026-08</w:t>
            </w:r>
          </w:p>
        </w:tc>
        <w:tc>
          <w:tcPr/>
          <w:p>
            <w:pPr>
              <w:pStyle w:val="Compact"/>
              <w:spacing w:before="0" w:after="0" w:line="240" w:lineRule="auto"/>
              <w:ind w:firstLine="0" w:left="0"/>
            </w:pPr>
            <w:r>
              <w:rPr>
                <w:sz w:val="20"/>
                <w:szCs w:val="20"/>
              </w:rPr>
              <w:t xml:space="preserve">6</w:t>
            </w:r>
          </w:p>
        </w:tc>
        <w:tc>
          <w:tcPr/>
          <w:p>
            <w:pPr>
              <w:pStyle w:val="Compact"/>
              <w:spacing w:before="0" w:after="0" w:line="240" w:lineRule="auto"/>
              <w:ind w:firstLine="0" w:left="0"/>
            </w:pPr>
            <w:r>
              <w:rPr>
                <w:sz w:val="20"/>
                <w:szCs w:val="20"/>
              </w:rPr>
              <w:t xml:space="preserve">76.3</w:t>
            </w:r>
          </w:p>
        </w:tc>
        <w:tc>
          <w:tcPr/>
          <w:p>
            <w:pPr>
              <w:pStyle w:val="Compact"/>
              <w:spacing w:before="0" w:after="0" w:line="240" w:lineRule="auto"/>
              <w:ind w:firstLine="0" w:left="0"/>
            </w:pPr>
            <w:r>
              <w:rPr>
                <w:sz w:val="20"/>
                <w:szCs w:val="20"/>
              </w:rPr>
              <w:t xml:space="preserve">6.14</w:t>
            </w:r>
          </w:p>
        </w:tc>
        <w:tc>
          <w:tcPr/>
          <w:p>
            <w:pPr>
              <w:pStyle w:val="Compact"/>
              <w:spacing w:before="0" w:after="0" w:line="240" w:lineRule="auto"/>
              <w:ind w:firstLine="0" w:left="0"/>
            </w:pPr>
            <w:r>
              <w:rPr>
                <w:sz w:val="20"/>
                <w:szCs w:val="20"/>
              </w:rPr>
              <w:t xml:space="preserve">7.58</w:t>
            </w:r>
          </w:p>
        </w:tc>
        <w:tc>
          <w:tcPr/>
          <w:p>
            <w:pPr>
              <w:pStyle w:val="Compact"/>
              <w:spacing w:before="0" w:after="0" w:line="240" w:lineRule="auto"/>
              <w:ind w:firstLine="0" w:left="0"/>
            </w:pPr>
            <w:r>
              <w:rPr>
                <w:sz w:val="20"/>
                <w:szCs w:val="20"/>
              </w:rPr>
              <w:t xml:space="preserve">+1.44</w:t>
            </w:r>
          </w:p>
        </w:tc>
      </w:tr>
    </w:tbl>
    <w:bookmarkEnd w:id="58"/>
    <w:bookmarkStart w:id="59" w:name="regional-patterns"/>
    <w:p>
      <w:pPr>
        <w:pStyle w:val="Heading3"/>
      </w:pPr>
      <w:r>
        <w:t xml:space="preserve">4.1.4 Regional patterns</w:t>
      </w:r>
    </w:p>
    <w:p>
      <w:pPr>
        <w:pStyle w:val="FirstParagraph"/>
      </w:pPr>
      <w:r>
        <w:t xml:space="preserve">In every region, bottom-30% prices rose more than all-income prices over 2001–2025 (Table 5). The cumulative gap ranges from −4.2 log points in MIMAROPA to −16.0 in VII Central Visayas (−13.3 nationally). Perhaps surprisingly, the gap is</w:t>
      </w:r>
      <w:r>
        <w:t xml:space="preserve"> </w:t>
      </w:r>
      <w:r>
        <w:rPr>
          <w:i/>
          <w:iCs/>
        </w:rPr>
        <w:t xml:space="preserve">smaller</w:t>
      </w:r>
      <w:r>
        <w:t xml:space="preserve"> </w:t>
      </w:r>
      <w:r>
        <w:t xml:space="preserve">in poorer and more food-dependent regions (its correlation with poverty incidence is 0.20, and with the food share 0.31; a less negative gap is a smaller one). The likely reason is composition: where most households are poor, the all-income basket is itself close to the poor’s basket, so the two indices move together. Figure B4 in Appendix B shows the regional pattern.</w:t>
      </w:r>
    </w:p>
    <w:p>
      <w:pPr>
        <w:pStyle w:val="TableCaption"/>
      </w:pPr>
      <w:r>
        <w:t xml:space="preserve">Table 5. Regional summary</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5. Regional summary"/>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before="0" w:after="0" w:line="240" w:lineRule="auto"/>
              <w:ind w:firstLine="0" w:left="0"/>
            </w:pPr>
            <w:r>
              <w:rPr>
                <w:sz w:val="20"/>
                <w:szCs w:val="20"/>
              </w:rPr>
              <w:t xml:space="preserve">Region</w:t>
            </w:r>
          </w:p>
        </w:tc>
        <w:tc>
          <w:tcPr>
            <w:tcBorders>
              <w:bottom w:val="single" w:sz="6" w:space="0" w:color="000000"/>
            </w:tcBorders>
          </w:tcPr>
          <w:p>
            <w:pPr>
              <w:pStyle w:val="Compact"/>
              <w:spacing w:before="0" w:after="0" w:line="240" w:lineRule="auto"/>
              <w:ind w:firstLine="0" w:left="0"/>
            </w:pPr>
            <w:r>
              <w:rPr>
                <w:sz w:val="20"/>
                <w:szCs w:val="20"/>
              </w:rPr>
              <w:t xml:space="preserve">Poverty 2018 (%)</w:t>
            </w:r>
          </w:p>
        </w:tc>
        <w:tc>
          <w:tcPr>
            <w:tcBorders>
              <w:bottom w:val="single" w:sz="6" w:space="0" w:color="000000"/>
            </w:tcBorders>
          </w:tcPr>
          <w:p>
            <w:pPr>
              <w:pStyle w:val="Compact"/>
              <w:spacing w:before="0" w:after="0" w:line="240" w:lineRule="auto"/>
              <w:ind w:firstLine="0" w:left="0"/>
            </w:pPr>
            <w:r>
              <w:rPr>
                <w:sz w:val="20"/>
                <w:szCs w:val="20"/>
              </w:rPr>
              <w:t xml:space="preserve">Food share (%)</w:t>
            </w:r>
          </w:p>
        </w:tc>
        <w:tc>
          <w:tcPr>
            <w:tcBorders>
              <w:bottom w:val="single" w:sz="6" w:space="0" w:color="000000"/>
            </w:tcBorders>
          </w:tcPr>
          <w:p>
            <w:pPr>
              <w:pStyle w:val="Compact"/>
              <w:spacing w:before="0" w:after="0" w:line="240" w:lineRule="auto"/>
              <w:ind w:firstLine="0" w:left="0"/>
            </w:pPr>
            <w:r>
              <w:rPr>
                <w:sz w:val="20"/>
                <w:szCs w:val="20"/>
              </w:rPr>
              <w:t xml:space="preserve">Inflation, all (%)</w:t>
            </w:r>
          </w:p>
        </w:tc>
        <w:tc>
          <w:tcPr>
            <w:tcBorders>
              <w:bottom w:val="single" w:sz="6" w:space="0" w:color="000000"/>
            </w:tcBorders>
          </w:tcPr>
          <w:p>
            <w:pPr>
              <w:pStyle w:val="Compact"/>
              <w:spacing w:before="0" w:after="0" w:line="240" w:lineRule="auto"/>
              <w:ind w:firstLine="0" w:left="0"/>
            </w:pPr>
            <w:r>
              <w:rPr>
                <w:sz w:val="20"/>
                <w:szCs w:val="20"/>
              </w:rPr>
              <w:t xml:space="preserve">Inflation, b30 (%)</w:t>
            </w:r>
          </w:p>
        </w:tc>
        <w:tc>
          <w:tcPr>
            <w:tcBorders>
              <w:bottom w:val="single" w:sz="6" w:space="0" w:color="000000"/>
            </w:tcBorders>
          </w:tcPr>
          <w:p>
            <w:pPr>
              <w:pStyle w:val="Compact"/>
              <w:spacing w:before="0" w:after="0" w:line="240" w:lineRule="auto"/>
              <w:ind w:firstLine="0" w:left="0"/>
            </w:pPr>
            <w:r>
              <w:rPr>
                <w:sz w:val="20"/>
                <w:szCs w:val="20"/>
              </w:rPr>
              <w:t xml:space="preserve">Cumulative gap</w:t>
            </w:r>
          </w:p>
        </w:tc>
        <w:tc>
          <w:tcPr>
            <w:tcBorders>
              <w:bottom w:val="single" w:sz="6" w:space="0" w:color="000000"/>
            </w:tcBorders>
          </w:tcPr>
          <w:p>
            <w:pPr>
              <w:pStyle w:val="Compact"/>
              <w:spacing w:before="0" w:after="0" w:line="240" w:lineRule="auto"/>
              <w:ind w:firstLine="0" w:left="0"/>
            </w:pPr>
            <w:r>
              <w:rPr>
                <w:sz w:val="20"/>
                <w:szCs w:val="20"/>
              </w:rPr>
              <w:t xml:space="preserve">Inflation b30, Aug 2026 (%)</w:t>
            </w:r>
          </w:p>
        </w:tc>
      </w:tr>
      <w:tr>
        <w:tc>
          <w:tcPr/>
          <w:p>
            <w:pPr>
              <w:pStyle w:val="Compact"/>
              <w:spacing w:before="0" w:after="0" w:line="240" w:lineRule="auto"/>
              <w:ind w:firstLine="0" w:left="0"/>
            </w:pPr>
            <w:r>
              <w:rPr>
                <w:sz w:val="20"/>
                <w:szCs w:val="20"/>
              </w:rPr>
              <w:t xml:space="preserve">National Capital Region</w:t>
            </w:r>
          </w:p>
        </w:tc>
        <w:tc>
          <w:tcPr/>
          <w:p>
            <w:pPr>
              <w:pStyle w:val="Compact"/>
              <w:spacing w:before="0" w:after="0" w:line="240" w:lineRule="auto"/>
              <w:ind w:firstLine="0" w:left="0"/>
            </w:pPr>
            <w:r>
              <w:rPr>
                <w:sz w:val="20"/>
                <w:szCs w:val="20"/>
              </w:rPr>
              <w:t xml:space="preserve">2.2</w:t>
            </w:r>
          </w:p>
        </w:tc>
        <w:tc>
          <w:tcPr/>
          <w:p>
            <w:pPr>
              <w:pStyle w:val="Compact"/>
              <w:spacing w:before="0" w:after="0" w:line="240" w:lineRule="auto"/>
              <w:ind w:firstLine="0" w:left="0"/>
            </w:pPr>
            <w:r>
              <w:rPr>
                <w:sz w:val="20"/>
                <w:szCs w:val="20"/>
              </w:rPr>
              <w:t xml:space="preserve">29.5</w:t>
            </w:r>
          </w:p>
        </w:tc>
        <w:tc>
          <w:tcPr/>
          <w:p>
            <w:pPr>
              <w:pStyle w:val="Compact"/>
              <w:spacing w:before="0" w:after="0" w:line="240" w:lineRule="auto"/>
              <w:ind w:firstLine="0" w:left="0"/>
            </w:pPr>
            <w:r>
              <w:rPr>
                <w:sz w:val="20"/>
                <w:szCs w:val="20"/>
              </w:rPr>
              <w:t xml:space="preserve">3.57</w:t>
            </w:r>
          </w:p>
        </w:tc>
        <w:tc>
          <w:tcPr/>
          <w:p>
            <w:pPr>
              <w:pStyle w:val="Compact"/>
              <w:spacing w:before="0" w:after="0" w:line="240" w:lineRule="auto"/>
              <w:ind w:firstLine="0" w:left="0"/>
            </w:pPr>
            <w:r>
              <w:rPr>
                <w:sz w:val="20"/>
                <w:szCs w:val="20"/>
              </w:rPr>
              <w:t xml:space="preserve">4.15</w:t>
            </w:r>
          </w:p>
        </w:tc>
        <w:tc>
          <w:tcPr/>
          <w:p>
            <w:pPr>
              <w:pStyle w:val="Compact"/>
              <w:spacing w:before="0" w:after="0" w:line="240" w:lineRule="auto"/>
              <w:ind w:firstLine="0" w:left="0"/>
            </w:pPr>
            <w:r>
              <w:rPr>
                <w:sz w:val="20"/>
                <w:szCs w:val="20"/>
              </w:rPr>
              <w:t xml:space="preserve">−12.3</w:t>
            </w:r>
          </w:p>
        </w:tc>
        <w:tc>
          <w:tcPr/>
          <w:p>
            <w:pPr>
              <w:pStyle w:val="Compact"/>
              <w:spacing w:before="0" w:after="0" w:line="240" w:lineRule="auto"/>
              <w:ind w:firstLine="0" w:left="0"/>
            </w:pPr>
            <w:r>
              <w:rPr>
                <w:sz w:val="20"/>
                <w:szCs w:val="20"/>
              </w:rPr>
              <w:t xml:space="preserve">4.3</w:t>
            </w:r>
          </w:p>
        </w:tc>
      </w:tr>
      <w:tr>
        <w:tc>
          <w:tcPr/>
          <w:p>
            <w:pPr>
              <w:pStyle w:val="Compact"/>
              <w:spacing w:before="0" w:after="0" w:line="240" w:lineRule="auto"/>
              <w:ind w:firstLine="0" w:left="0"/>
            </w:pPr>
            <w:r>
              <w:rPr>
                <w:sz w:val="20"/>
                <w:szCs w:val="20"/>
              </w:rPr>
              <w:t xml:space="preserve">Cordillera (CAR)</w:t>
            </w:r>
          </w:p>
        </w:tc>
        <w:tc>
          <w:tcPr/>
          <w:p>
            <w:pPr>
              <w:pStyle w:val="Compact"/>
              <w:spacing w:before="0" w:after="0" w:line="240" w:lineRule="auto"/>
              <w:ind w:firstLine="0" w:left="0"/>
            </w:pPr>
            <w:r>
              <w:rPr>
                <w:sz w:val="20"/>
                <w:szCs w:val="20"/>
              </w:rPr>
              <w:t xml:space="preserve">12.0</w:t>
            </w:r>
          </w:p>
        </w:tc>
        <w:tc>
          <w:tcPr/>
          <w:p>
            <w:pPr>
              <w:pStyle w:val="Compact"/>
              <w:spacing w:before="0" w:after="0" w:line="240" w:lineRule="auto"/>
              <w:ind w:firstLine="0" w:left="0"/>
            </w:pPr>
            <w:r>
              <w:rPr>
                <w:sz w:val="20"/>
                <w:szCs w:val="20"/>
              </w:rPr>
              <w:t xml:space="preserve">35.8</w:t>
            </w:r>
          </w:p>
        </w:tc>
        <w:tc>
          <w:tcPr/>
          <w:p>
            <w:pPr>
              <w:pStyle w:val="Compact"/>
              <w:spacing w:before="0" w:after="0" w:line="240" w:lineRule="auto"/>
              <w:ind w:firstLine="0" w:left="0"/>
            </w:pPr>
            <w:r>
              <w:rPr>
                <w:sz w:val="20"/>
                <w:szCs w:val="20"/>
              </w:rPr>
              <w:t xml:space="preserve">3.72</w:t>
            </w:r>
          </w:p>
        </w:tc>
        <w:tc>
          <w:tcPr/>
          <w:p>
            <w:pPr>
              <w:pStyle w:val="Compact"/>
              <w:spacing w:before="0" w:after="0" w:line="240" w:lineRule="auto"/>
              <w:ind w:firstLine="0" w:left="0"/>
            </w:pPr>
            <w:r>
              <w:rPr>
                <w:sz w:val="20"/>
                <w:szCs w:val="20"/>
              </w:rPr>
              <w:t xml:space="preserve">4.08</w:t>
            </w:r>
          </w:p>
        </w:tc>
        <w:tc>
          <w:tcPr/>
          <w:p>
            <w:pPr>
              <w:pStyle w:val="Compact"/>
              <w:spacing w:before="0" w:after="0" w:line="240" w:lineRule="auto"/>
              <w:ind w:firstLine="0" w:left="0"/>
            </w:pPr>
            <w:r>
              <w:rPr>
                <w:sz w:val="20"/>
                <w:szCs w:val="20"/>
              </w:rPr>
              <w:t xml:space="preserve">−6.9</w:t>
            </w:r>
          </w:p>
        </w:tc>
        <w:tc>
          <w:tcPr/>
          <w:p>
            <w:pPr>
              <w:pStyle w:val="Compact"/>
              <w:spacing w:before="0" w:after="0" w:line="240" w:lineRule="auto"/>
              <w:ind w:firstLine="0" w:left="0"/>
            </w:pPr>
            <w:r>
              <w:rPr>
                <w:sz w:val="20"/>
                <w:szCs w:val="20"/>
              </w:rPr>
              <w:t xml:space="preserve">8.3</w:t>
            </w:r>
          </w:p>
        </w:tc>
      </w:tr>
      <w:tr>
        <w:tc>
          <w:tcPr/>
          <w:p>
            <w:pPr>
              <w:pStyle w:val="Compact"/>
              <w:spacing w:before="0" w:after="0" w:line="240" w:lineRule="auto"/>
              <w:ind w:firstLine="0" w:left="0"/>
            </w:pPr>
            <w:r>
              <w:rPr>
                <w:sz w:val="20"/>
                <w:szCs w:val="20"/>
              </w:rPr>
              <w:t xml:space="preserve">I Ilocos</w:t>
            </w:r>
          </w:p>
        </w:tc>
        <w:tc>
          <w:tcPr/>
          <w:p>
            <w:pPr>
              <w:pStyle w:val="Compact"/>
              <w:spacing w:before="0" w:after="0" w:line="240" w:lineRule="auto"/>
              <w:ind w:firstLine="0" w:left="0"/>
            </w:pPr>
            <w:r>
              <w:rPr>
                <w:sz w:val="20"/>
                <w:szCs w:val="20"/>
              </w:rPr>
              <w:t xml:space="preserve">9.9</w:t>
            </w:r>
          </w:p>
        </w:tc>
        <w:tc>
          <w:tcPr/>
          <w:p>
            <w:pPr>
              <w:pStyle w:val="Compact"/>
              <w:spacing w:before="0" w:after="0" w:line="240" w:lineRule="auto"/>
              <w:ind w:firstLine="0" w:left="0"/>
            </w:pPr>
            <w:r>
              <w:rPr>
                <w:sz w:val="20"/>
                <w:szCs w:val="20"/>
              </w:rPr>
              <w:t xml:space="preserve">38.4</w:t>
            </w:r>
          </w:p>
        </w:tc>
        <w:tc>
          <w:tcPr/>
          <w:p>
            <w:pPr>
              <w:pStyle w:val="Compact"/>
              <w:spacing w:before="0" w:after="0" w:line="240" w:lineRule="auto"/>
              <w:ind w:firstLine="0" w:left="0"/>
            </w:pPr>
            <w:r>
              <w:rPr>
                <w:sz w:val="20"/>
                <w:szCs w:val="20"/>
              </w:rPr>
              <w:t xml:space="preserve">3.62</w:t>
            </w:r>
          </w:p>
        </w:tc>
        <w:tc>
          <w:tcPr/>
          <w:p>
            <w:pPr>
              <w:pStyle w:val="Compact"/>
              <w:spacing w:before="0" w:after="0" w:line="240" w:lineRule="auto"/>
              <w:ind w:firstLine="0" w:left="0"/>
            </w:pPr>
            <w:r>
              <w:rPr>
                <w:sz w:val="20"/>
                <w:szCs w:val="20"/>
              </w:rPr>
              <w:t xml:space="preserve">4.13</w:t>
            </w:r>
          </w:p>
        </w:tc>
        <w:tc>
          <w:tcPr/>
          <w:p>
            <w:pPr>
              <w:pStyle w:val="Compact"/>
              <w:spacing w:before="0" w:after="0" w:line="240" w:lineRule="auto"/>
              <w:ind w:firstLine="0" w:left="0"/>
            </w:pPr>
            <w:r>
              <w:rPr>
                <w:sz w:val="20"/>
                <w:szCs w:val="20"/>
              </w:rPr>
              <w:t xml:space="preserve">−11.1</w:t>
            </w:r>
          </w:p>
        </w:tc>
        <w:tc>
          <w:tcPr/>
          <w:p>
            <w:pPr>
              <w:pStyle w:val="Compact"/>
              <w:spacing w:before="0" w:after="0" w:line="240" w:lineRule="auto"/>
              <w:ind w:firstLine="0" w:left="0"/>
            </w:pPr>
            <w:r>
              <w:rPr>
                <w:sz w:val="20"/>
                <w:szCs w:val="20"/>
              </w:rPr>
              <w:t xml:space="preserve">4.7</w:t>
            </w:r>
          </w:p>
        </w:tc>
      </w:tr>
      <w:tr>
        <w:tc>
          <w:tcPr/>
          <w:p>
            <w:pPr>
              <w:pStyle w:val="Compact"/>
              <w:spacing w:before="0" w:after="0" w:line="240" w:lineRule="auto"/>
              <w:ind w:firstLine="0" w:left="0"/>
            </w:pPr>
            <w:r>
              <w:rPr>
                <w:sz w:val="20"/>
                <w:szCs w:val="20"/>
              </w:rPr>
              <w:t xml:space="preserve">II Cagayan Valley</w:t>
            </w:r>
          </w:p>
        </w:tc>
        <w:tc>
          <w:tcPr/>
          <w:p>
            <w:pPr>
              <w:pStyle w:val="Compact"/>
              <w:spacing w:before="0" w:after="0" w:line="240" w:lineRule="auto"/>
              <w:ind w:firstLine="0" w:left="0"/>
            </w:pPr>
            <w:r>
              <w:rPr>
                <w:sz w:val="20"/>
                <w:szCs w:val="20"/>
              </w:rPr>
              <w:t xml:space="preserve">16.3</w:t>
            </w:r>
          </w:p>
        </w:tc>
        <w:tc>
          <w:tcPr/>
          <w:p>
            <w:pPr>
              <w:pStyle w:val="Compact"/>
              <w:spacing w:before="0" w:after="0" w:line="240" w:lineRule="auto"/>
              <w:ind w:firstLine="0" w:left="0"/>
            </w:pPr>
            <w:r>
              <w:rPr>
                <w:sz w:val="20"/>
                <w:szCs w:val="20"/>
              </w:rPr>
              <w:t xml:space="preserve">43.9</w:t>
            </w:r>
          </w:p>
        </w:tc>
        <w:tc>
          <w:tcPr/>
          <w:p>
            <w:pPr>
              <w:pStyle w:val="Compact"/>
              <w:spacing w:before="0" w:after="0" w:line="240" w:lineRule="auto"/>
              <w:ind w:firstLine="0" w:left="0"/>
            </w:pPr>
            <w:r>
              <w:rPr>
                <w:sz w:val="20"/>
                <w:szCs w:val="20"/>
              </w:rPr>
              <w:t xml:space="preserve">3.81</w:t>
            </w:r>
          </w:p>
        </w:tc>
        <w:tc>
          <w:tcPr/>
          <w:p>
            <w:pPr>
              <w:pStyle w:val="Compact"/>
              <w:spacing w:before="0" w:after="0" w:line="240" w:lineRule="auto"/>
              <w:ind w:firstLine="0" w:left="0"/>
            </w:pPr>
            <w:r>
              <w:rPr>
                <w:sz w:val="20"/>
                <w:szCs w:val="20"/>
              </w:rPr>
              <w:t xml:space="preserve">4.27</w:t>
            </w:r>
          </w:p>
        </w:tc>
        <w:tc>
          <w:tcPr/>
          <w:p>
            <w:pPr>
              <w:pStyle w:val="Compact"/>
              <w:spacing w:before="0" w:after="0" w:line="240" w:lineRule="auto"/>
              <w:ind w:firstLine="0" w:left="0"/>
            </w:pPr>
            <w:r>
              <w:rPr>
                <w:sz w:val="20"/>
                <w:szCs w:val="20"/>
              </w:rPr>
              <w:t xml:space="preserve">−10.9</w:t>
            </w:r>
          </w:p>
        </w:tc>
        <w:tc>
          <w:tcPr/>
          <w:p>
            <w:pPr>
              <w:pStyle w:val="Compact"/>
              <w:spacing w:before="0" w:after="0" w:line="240" w:lineRule="auto"/>
              <w:ind w:firstLine="0" w:left="0"/>
            </w:pPr>
            <w:r>
              <w:rPr>
                <w:sz w:val="20"/>
                <w:szCs w:val="20"/>
              </w:rPr>
              <w:t xml:space="preserve">7.1</w:t>
            </w:r>
          </w:p>
        </w:tc>
      </w:tr>
      <w:tr>
        <w:tc>
          <w:tcPr/>
          <w:p>
            <w:pPr>
              <w:pStyle w:val="Compact"/>
              <w:spacing w:before="0" w:after="0" w:line="240" w:lineRule="auto"/>
              <w:ind w:firstLine="0" w:left="0"/>
            </w:pPr>
            <w:r>
              <w:rPr>
                <w:sz w:val="20"/>
                <w:szCs w:val="20"/>
              </w:rPr>
              <w:t xml:space="preserve">III Central Luzon</w:t>
            </w:r>
          </w:p>
        </w:tc>
        <w:tc>
          <w:tcPr/>
          <w:p>
            <w:pPr>
              <w:pStyle w:val="Compact"/>
              <w:spacing w:before="0" w:after="0" w:line="240" w:lineRule="auto"/>
              <w:ind w:firstLine="0" w:left="0"/>
            </w:pPr>
            <w:r>
              <w:rPr>
                <w:sz w:val="20"/>
                <w:szCs w:val="20"/>
              </w:rPr>
              <w:t xml:space="preserve">7.0</w:t>
            </w:r>
          </w:p>
        </w:tc>
        <w:tc>
          <w:tcPr/>
          <w:p>
            <w:pPr>
              <w:pStyle w:val="Compact"/>
              <w:spacing w:before="0" w:after="0" w:line="240" w:lineRule="auto"/>
              <w:ind w:firstLine="0" w:left="0"/>
            </w:pPr>
            <w:r>
              <w:rPr>
                <w:sz w:val="20"/>
                <w:szCs w:val="20"/>
              </w:rPr>
              <w:t xml:space="preserve">36.5</w:t>
            </w:r>
          </w:p>
        </w:tc>
        <w:tc>
          <w:tcPr/>
          <w:p>
            <w:pPr>
              <w:pStyle w:val="Compact"/>
              <w:spacing w:before="0" w:after="0" w:line="240" w:lineRule="auto"/>
              <w:ind w:firstLine="0" w:left="0"/>
            </w:pPr>
            <w:r>
              <w:rPr>
                <w:sz w:val="20"/>
                <w:szCs w:val="20"/>
              </w:rPr>
              <w:t xml:space="preserve">3.83</w:t>
            </w:r>
          </w:p>
        </w:tc>
        <w:tc>
          <w:tcPr/>
          <w:p>
            <w:pPr>
              <w:pStyle w:val="Compact"/>
              <w:spacing w:before="0" w:after="0" w:line="240" w:lineRule="auto"/>
              <w:ind w:firstLine="0" w:left="0"/>
            </w:pPr>
            <w:r>
              <w:rPr>
                <w:sz w:val="20"/>
                <w:szCs w:val="20"/>
              </w:rPr>
              <w:t xml:space="preserve">4.34</w:t>
            </w:r>
          </w:p>
        </w:tc>
        <w:tc>
          <w:tcPr/>
          <w:p>
            <w:pPr>
              <w:pStyle w:val="Compact"/>
              <w:spacing w:before="0" w:after="0" w:line="240" w:lineRule="auto"/>
              <w:ind w:firstLine="0" w:left="0"/>
            </w:pPr>
            <w:r>
              <w:rPr>
                <w:sz w:val="20"/>
                <w:szCs w:val="20"/>
              </w:rPr>
              <w:t xml:space="preserve">−11.5</w:t>
            </w:r>
          </w:p>
        </w:tc>
        <w:tc>
          <w:tcPr/>
          <w:p>
            <w:pPr>
              <w:pStyle w:val="Compact"/>
              <w:spacing w:before="0" w:after="0" w:line="240" w:lineRule="auto"/>
              <w:ind w:firstLine="0" w:left="0"/>
            </w:pPr>
            <w:r>
              <w:rPr>
                <w:sz w:val="20"/>
                <w:szCs w:val="20"/>
              </w:rPr>
              <w:t xml:space="preserve">6.9</w:t>
            </w:r>
          </w:p>
        </w:tc>
      </w:tr>
      <w:tr>
        <w:tc>
          <w:tcPr/>
          <w:p>
            <w:pPr>
              <w:pStyle w:val="Compact"/>
              <w:spacing w:before="0" w:after="0" w:line="240" w:lineRule="auto"/>
              <w:ind w:firstLine="0" w:left="0"/>
            </w:pPr>
            <w:r>
              <w:rPr>
                <w:sz w:val="20"/>
                <w:szCs w:val="20"/>
              </w:rPr>
              <w:t xml:space="preserve">IV-A CALABARZON</w:t>
            </w:r>
          </w:p>
        </w:tc>
        <w:tc>
          <w:tcPr/>
          <w:p>
            <w:pPr>
              <w:pStyle w:val="Compact"/>
              <w:spacing w:before="0" w:after="0" w:line="240" w:lineRule="auto"/>
              <w:ind w:firstLine="0" w:left="0"/>
            </w:pPr>
            <w:r>
              <w:rPr>
                <w:sz w:val="20"/>
                <w:szCs w:val="20"/>
              </w:rPr>
              <w:t xml:space="preserve">7.1</w:t>
            </w:r>
          </w:p>
        </w:tc>
        <w:tc>
          <w:tcPr/>
          <w:p>
            <w:pPr>
              <w:pStyle w:val="Compact"/>
              <w:spacing w:before="0" w:after="0" w:line="240" w:lineRule="auto"/>
              <w:ind w:firstLine="0" w:left="0"/>
            </w:pPr>
            <w:r>
              <w:rPr>
                <w:sz w:val="20"/>
                <w:szCs w:val="20"/>
              </w:rPr>
              <w:t xml:space="preserve">33.0</w:t>
            </w:r>
          </w:p>
        </w:tc>
        <w:tc>
          <w:tcPr/>
          <w:p>
            <w:pPr>
              <w:pStyle w:val="Compact"/>
              <w:spacing w:before="0" w:after="0" w:line="240" w:lineRule="auto"/>
              <w:ind w:firstLine="0" w:left="0"/>
            </w:pPr>
            <w:r>
              <w:rPr>
                <w:sz w:val="20"/>
                <w:szCs w:val="20"/>
              </w:rPr>
              <w:t xml:space="preserve">3.77</w:t>
            </w:r>
          </w:p>
        </w:tc>
        <w:tc>
          <w:tcPr/>
          <w:p>
            <w:pPr>
              <w:pStyle w:val="Compact"/>
              <w:spacing w:before="0" w:after="0" w:line="240" w:lineRule="auto"/>
              <w:ind w:firstLine="0" w:left="0"/>
            </w:pPr>
            <w:r>
              <w:rPr>
                <w:sz w:val="20"/>
                <w:szCs w:val="20"/>
              </w:rPr>
              <w:t xml:space="preserve">4.16</w:t>
            </w:r>
          </w:p>
        </w:tc>
        <w:tc>
          <w:tcPr/>
          <w:p>
            <w:pPr>
              <w:pStyle w:val="Compact"/>
              <w:spacing w:before="0" w:after="0" w:line="240" w:lineRule="auto"/>
              <w:ind w:firstLine="0" w:left="0"/>
            </w:pPr>
            <w:r>
              <w:rPr>
                <w:sz w:val="20"/>
                <w:szCs w:val="20"/>
              </w:rPr>
              <w:t xml:space="preserve">−7.3</w:t>
            </w:r>
          </w:p>
        </w:tc>
        <w:tc>
          <w:tcPr/>
          <w:p>
            <w:pPr>
              <w:pStyle w:val="Compact"/>
              <w:spacing w:before="0" w:after="0" w:line="240" w:lineRule="auto"/>
              <w:ind w:firstLine="0" w:left="0"/>
            </w:pPr>
            <w:r>
              <w:rPr>
                <w:sz w:val="20"/>
                <w:szCs w:val="20"/>
              </w:rPr>
              <w:t xml:space="preserve">6.0</w:t>
            </w:r>
          </w:p>
        </w:tc>
      </w:tr>
      <w:tr>
        <w:tc>
          <w:tcPr/>
          <w:p>
            <w:pPr>
              <w:pStyle w:val="Compact"/>
              <w:spacing w:before="0" w:after="0" w:line="240" w:lineRule="auto"/>
              <w:ind w:firstLine="0" w:left="0"/>
            </w:pPr>
            <w:r>
              <w:rPr>
                <w:sz w:val="20"/>
                <w:szCs w:val="20"/>
              </w:rPr>
              <w:t xml:space="preserve">MIMAROPA</w:t>
            </w:r>
          </w:p>
        </w:tc>
        <w:tc>
          <w:tcPr/>
          <w:p>
            <w:pPr>
              <w:pStyle w:val="Compact"/>
              <w:spacing w:before="0" w:after="0" w:line="240" w:lineRule="auto"/>
              <w:ind w:firstLine="0" w:left="0"/>
            </w:pPr>
            <w:r>
              <w:rPr>
                <w:sz w:val="20"/>
                <w:szCs w:val="20"/>
              </w:rPr>
              <w:t xml:space="preserve">15.1</w:t>
            </w:r>
          </w:p>
        </w:tc>
        <w:tc>
          <w:tcPr/>
          <w:p>
            <w:pPr>
              <w:pStyle w:val="Compact"/>
              <w:spacing w:before="0" w:after="0" w:line="240" w:lineRule="auto"/>
              <w:ind w:firstLine="0" w:left="0"/>
            </w:pPr>
            <w:r>
              <w:rPr>
                <w:sz w:val="20"/>
                <w:szCs w:val="20"/>
              </w:rPr>
              <w:t xml:space="preserve">46.4</w:t>
            </w:r>
          </w:p>
        </w:tc>
        <w:tc>
          <w:tcPr/>
          <w:p>
            <w:pPr>
              <w:pStyle w:val="Compact"/>
              <w:spacing w:before="0" w:after="0" w:line="240" w:lineRule="auto"/>
              <w:ind w:firstLine="0" w:left="0"/>
            </w:pPr>
            <w:r>
              <w:rPr>
                <w:sz w:val="20"/>
                <w:szCs w:val="20"/>
              </w:rPr>
              <w:t xml:space="preserve">4.08</w:t>
            </w:r>
          </w:p>
        </w:tc>
        <w:tc>
          <w:tcPr/>
          <w:p>
            <w:pPr>
              <w:pStyle w:val="Compact"/>
              <w:spacing w:before="0" w:after="0" w:line="240" w:lineRule="auto"/>
              <w:ind w:firstLine="0" w:left="0"/>
            </w:pPr>
            <w:r>
              <w:rPr>
                <w:sz w:val="20"/>
                <w:szCs w:val="20"/>
              </w:rPr>
              <w:t xml:space="preserve">4.31</w:t>
            </w:r>
          </w:p>
        </w:tc>
        <w:tc>
          <w:tcPr/>
          <w:p>
            <w:pPr>
              <w:pStyle w:val="Compact"/>
              <w:spacing w:before="0" w:after="0" w:line="240" w:lineRule="auto"/>
              <w:ind w:firstLine="0" w:left="0"/>
            </w:pPr>
            <w:r>
              <w:rPr>
                <w:sz w:val="20"/>
                <w:szCs w:val="20"/>
              </w:rPr>
              <w:t xml:space="preserve">−4.2</w:t>
            </w:r>
          </w:p>
        </w:tc>
        <w:tc>
          <w:tcPr/>
          <w:p>
            <w:pPr>
              <w:pStyle w:val="Compact"/>
              <w:spacing w:before="0" w:after="0" w:line="240" w:lineRule="auto"/>
              <w:ind w:firstLine="0" w:left="0"/>
            </w:pPr>
            <w:r>
              <w:rPr>
                <w:sz w:val="20"/>
                <w:szCs w:val="20"/>
              </w:rPr>
              <w:t xml:space="preserve">6.8</w:t>
            </w:r>
          </w:p>
        </w:tc>
      </w:tr>
      <w:tr>
        <w:tc>
          <w:tcPr/>
          <w:p>
            <w:pPr>
              <w:pStyle w:val="Compact"/>
              <w:spacing w:before="0" w:after="0" w:line="240" w:lineRule="auto"/>
              <w:ind w:firstLine="0" w:left="0"/>
            </w:pPr>
            <w:r>
              <w:rPr>
                <w:sz w:val="20"/>
                <w:szCs w:val="20"/>
              </w:rPr>
              <w:t xml:space="preserve">V Bicol</w:t>
            </w:r>
          </w:p>
        </w:tc>
        <w:tc>
          <w:tcPr/>
          <w:p>
            <w:pPr>
              <w:pStyle w:val="Compact"/>
              <w:spacing w:before="0" w:after="0" w:line="240" w:lineRule="auto"/>
              <w:ind w:firstLine="0" w:left="0"/>
            </w:pPr>
            <w:r>
              <w:rPr>
                <w:sz w:val="20"/>
                <w:szCs w:val="20"/>
              </w:rPr>
              <w:t xml:space="preserve">27.0</w:t>
            </w:r>
          </w:p>
        </w:tc>
        <w:tc>
          <w:tcPr/>
          <w:p>
            <w:pPr>
              <w:pStyle w:val="Compact"/>
              <w:spacing w:before="0" w:after="0" w:line="240" w:lineRule="auto"/>
              <w:ind w:firstLine="0" w:left="0"/>
            </w:pPr>
            <w:r>
              <w:rPr>
                <w:sz w:val="20"/>
                <w:szCs w:val="20"/>
              </w:rPr>
              <w:t xml:space="preserve">45.6</w:t>
            </w:r>
          </w:p>
        </w:tc>
        <w:tc>
          <w:tcPr/>
          <w:p>
            <w:pPr>
              <w:pStyle w:val="Compact"/>
              <w:spacing w:before="0" w:after="0" w:line="240" w:lineRule="auto"/>
              <w:ind w:firstLine="0" w:left="0"/>
            </w:pPr>
            <w:r>
              <w:rPr>
                <w:sz w:val="20"/>
                <w:szCs w:val="20"/>
              </w:rPr>
              <w:t xml:space="preserve">4.09</w:t>
            </w:r>
          </w:p>
        </w:tc>
        <w:tc>
          <w:tcPr/>
          <w:p>
            <w:pPr>
              <w:pStyle w:val="Compact"/>
              <w:spacing w:before="0" w:after="0" w:line="240" w:lineRule="auto"/>
              <w:ind w:firstLine="0" w:left="0"/>
            </w:pPr>
            <w:r>
              <w:rPr>
                <w:sz w:val="20"/>
                <w:szCs w:val="20"/>
              </w:rPr>
              <w:t xml:space="preserve">4.34</w:t>
            </w:r>
          </w:p>
        </w:tc>
        <w:tc>
          <w:tcPr/>
          <w:p>
            <w:pPr>
              <w:pStyle w:val="Compact"/>
              <w:spacing w:before="0" w:after="0" w:line="240" w:lineRule="auto"/>
              <w:ind w:firstLine="0" w:left="0"/>
            </w:pPr>
            <w:r>
              <w:rPr>
                <w:sz w:val="20"/>
                <w:szCs w:val="20"/>
              </w:rPr>
              <w:t xml:space="preserve">−5.8</w:t>
            </w:r>
          </w:p>
        </w:tc>
        <w:tc>
          <w:tcPr/>
          <w:p>
            <w:pPr>
              <w:pStyle w:val="Compact"/>
              <w:spacing w:before="0" w:after="0" w:line="240" w:lineRule="auto"/>
              <w:ind w:firstLine="0" w:left="0"/>
            </w:pPr>
            <w:r>
              <w:rPr>
                <w:sz w:val="20"/>
                <w:szCs w:val="20"/>
              </w:rPr>
              <w:t xml:space="preserve">9.3</w:t>
            </w:r>
          </w:p>
        </w:tc>
      </w:tr>
      <w:tr>
        <w:tc>
          <w:tcPr/>
          <w:p>
            <w:pPr>
              <w:pStyle w:val="Compact"/>
              <w:spacing w:before="0" w:after="0" w:line="240" w:lineRule="auto"/>
              <w:ind w:firstLine="0" w:left="0"/>
            </w:pPr>
            <w:r>
              <w:rPr>
                <w:sz w:val="20"/>
                <w:szCs w:val="20"/>
              </w:rPr>
              <w:t xml:space="preserve">VI Western Visayas</w:t>
            </w:r>
          </w:p>
        </w:tc>
        <w:tc>
          <w:tcPr/>
          <w:p>
            <w:pPr>
              <w:pStyle w:val="Compact"/>
              <w:spacing w:before="0" w:after="0" w:line="240" w:lineRule="auto"/>
              <w:ind w:firstLine="0" w:left="0"/>
            </w:pPr>
            <w:r>
              <w:rPr>
                <w:sz w:val="20"/>
                <w:szCs w:val="20"/>
              </w:rPr>
              <w:t xml:space="preserve">14.2</w:t>
            </w:r>
          </w:p>
        </w:tc>
        <w:tc>
          <w:tcPr/>
          <w:p>
            <w:pPr>
              <w:pStyle w:val="Compact"/>
              <w:spacing w:before="0" w:after="0" w:line="240" w:lineRule="auto"/>
              <w:ind w:firstLine="0" w:left="0"/>
            </w:pPr>
            <w:r>
              <w:rPr>
                <w:sz w:val="20"/>
                <w:szCs w:val="20"/>
              </w:rPr>
              <w:t xml:space="preserve">42.6</w:t>
            </w:r>
          </w:p>
        </w:tc>
        <w:tc>
          <w:tcPr/>
          <w:p>
            <w:pPr>
              <w:pStyle w:val="Compact"/>
              <w:spacing w:before="0" w:after="0" w:line="240" w:lineRule="auto"/>
              <w:ind w:firstLine="0" w:left="0"/>
            </w:pPr>
            <w:r>
              <w:rPr>
                <w:sz w:val="20"/>
                <w:szCs w:val="20"/>
              </w:rPr>
              <w:t xml:space="preserve">3.91</w:t>
            </w:r>
          </w:p>
        </w:tc>
        <w:tc>
          <w:tcPr/>
          <w:p>
            <w:pPr>
              <w:pStyle w:val="Compact"/>
              <w:spacing w:before="0" w:after="0" w:line="240" w:lineRule="auto"/>
              <w:ind w:firstLine="0" w:left="0"/>
            </w:pPr>
            <w:r>
              <w:rPr>
                <w:sz w:val="20"/>
                <w:szCs w:val="20"/>
              </w:rPr>
              <w:t xml:space="preserve">4.31</w:t>
            </w:r>
          </w:p>
        </w:tc>
        <w:tc>
          <w:tcPr/>
          <w:p>
            <w:pPr>
              <w:pStyle w:val="Compact"/>
              <w:spacing w:before="0" w:after="0" w:line="240" w:lineRule="auto"/>
              <w:ind w:firstLine="0" w:left="0"/>
            </w:pPr>
            <w:r>
              <w:rPr>
                <w:sz w:val="20"/>
                <w:szCs w:val="20"/>
              </w:rPr>
              <w:t xml:space="preserve">−9.1</w:t>
            </w:r>
          </w:p>
        </w:tc>
        <w:tc>
          <w:tcPr/>
          <w:p>
            <w:pPr>
              <w:pStyle w:val="Compact"/>
              <w:spacing w:before="0" w:after="0" w:line="240" w:lineRule="auto"/>
              <w:ind w:firstLine="0" w:left="0"/>
            </w:pPr>
            <w:r>
              <w:rPr>
                <w:sz w:val="20"/>
                <w:szCs w:val="20"/>
              </w:rPr>
              <w:t xml:space="preserve">10.4</w:t>
            </w:r>
          </w:p>
        </w:tc>
      </w:tr>
      <w:tr>
        <w:tc>
          <w:tcPr/>
          <w:p>
            <w:pPr>
              <w:pStyle w:val="Compact"/>
              <w:spacing w:before="0" w:after="0" w:line="240" w:lineRule="auto"/>
              <w:ind w:firstLine="0" w:left="0"/>
            </w:pPr>
            <w:r>
              <w:rPr>
                <w:sz w:val="20"/>
                <w:szCs w:val="20"/>
              </w:rPr>
              <w:t xml:space="preserve">VII Central Visayas</w:t>
            </w:r>
          </w:p>
        </w:tc>
        <w:tc>
          <w:tcPr/>
          <w:p>
            <w:pPr>
              <w:pStyle w:val="Compact"/>
              <w:spacing w:before="0" w:after="0" w:line="240" w:lineRule="auto"/>
              <w:ind w:firstLine="0" w:left="0"/>
            </w:pPr>
            <w:r>
              <w:rPr>
                <w:sz w:val="20"/>
                <w:szCs w:val="20"/>
              </w:rPr>
              <w:t xml:space="preserve">16.1</w:t>
            </w:r>
          </w:p>
        </w:tc>
        <w:tc>
          <w:tcPr/>
          <w:p>
            <w:pPr>
              <w:pStyle w:val="Compact"/>
              <w:spacing w:before="0" w:after="0" w:line="240" w:lineRule="auto"/>
              <w:ind w:firstLine="0" w:left="0"/>
            </w:pPr>
            <w:r>
              <w:rPr>
                <w:sz w:val="20"/>
                <w:szCs w:val="20"/>
              </w:rPr>
              <w:t xml:space="preserve">37.9</w:t>
            </w:r>
          </w:p>
        </w:tc>
        <w:tc>
          <w:tcPr/>
          <w:p>
            <w:pPr>
              <w:pStyle w:val="Compact"/>
              <w:spacing w:before="0" w:after="0" w:line="240" w:lineRule="auto"/>
              <w:ind w:firstLine="0" w:left="0"/>
            </w:pPr>
            <w:r>
              <w:rPr>
                <w:sz w:val="20"/>
                <w:szCs w:val="20"/>
              </w:rPr>
              <w:t xml:space="preserve">3.93</w:t>
            </w:r>
          </w:p>
        </w:tc>
        <w:tc>
          <w:tcPr/>
          <w:p>
            <w:pPr>
              <w:pStyle w:val="Compact"/>
              <w:spacing w:before="0" w:after="0" w:line="240" w:lineRule="auto"/>
              <w:ind w:firstLine="0" w:left="0"/>
            </w:pPr>
            <w:r>
              <w:rPr>
                <w:sz w:val="20"/>
                <w:szCs w:val="20"/>
              </w:rPr>
              <w:t xml:space="preserve">4.58</w:t>
            </w:r>
          </w:p>
        </w:tc>
        <w:tc>
          <w:tcPr/>
          <w:p>
            <w:pPr>
              <w:pStyle w:val="Compact"/>
              <w:spacing w:before="0" w:after="0" w:line="240" w:lineRule="auto"/>
              <w:ind w:firstLine="0" w:left="0"/>
            </w:pPr>
            <w:r>
              <w:rPr>
                <w:sz w:val="20"/>
                <w:szCs w:val="20"/>
              </w:rPr>
              <w:t xml:space="preserve">−16.0</w:t>
            </w:r>
          </w:p>
        </w:tc>
        <w:tc>
          <w:tcPr/>
          <w:p>
            <w:pPr>
              <w:pStyle w:val="Compact"/>
              <w:spacing w:before="0" w:after="0" w:line="240" w:lineRule="auto"/>
              <w:ind w:firstLine="0" w:left="0"/>
            </w:pPr>
            <w:r>
              <w:rPr>
                <w:sz w:val="20"/>
                <w:szCs w:val="20"/>
              </w:rPr>
              <w:t xml:space="preserve">9.7</w:t>
            </w:r>
          </w:p>
        </w:tc>
      </w:tr>
      <w:tr>
        <w:tc>
          <w:tcPr/>
          <w:p>
            <w:pPr>
              <w:pStyle w:val="Compact"/>
              <w:spacing w:before="0" w:after="0" w:line="240" w:lineRule="auto"/>
              <w:ind w:firstLine="0" w:left="0"/>
            </w:pPr>
            <w:r>
              <w:rPr>
                <w:sz w:val="20"/>
                <w:szCs w:val="20"/>
              </w:rPr>
              <w:t xml:space="preserve">VIII Eastern Visayas</w:t>
            </w:r>
          </w:p>
        </w:tc>
        <w:tc>
          <w:tcPr/>
          <w:p>
            <w:pPr>
              <w:pStyle w:val="Compact"/>
              <w:spacing w:before="0" w:after="0" w:line="240" w:lineRule="auto"/>
              <w:ind w:firstLine="0" w:left="0"/>
            </w:pPr>
            <w:r>
              <w:rPr>
                <w:sz w:val="20"/>
                <w:szCs w:val="20"/>
              </w:rPr>
              <w:t xml:space="preserve">30.7</w:t>
            </w:r>
          </w:p>
        </w:tc>
        <w:tc>
          <w:tcPr/>
          <w:p>
            <w:pPr>
              <w:pStyle w:val="Compact"/>
              <w:spacing w:before="0" w:after="0" w:line="240" w:lineRule="auto"/>
              <w:ind w:firstLine="0" w:left="0"/>
            </w:pPr>
            <w:r>
              <w:rPr>
                <w:sz w:val="20"/>
                <w:szCs w:val="20"/>
              </w:rPr>
              <w:t xml:space="preserve">47.4</w:t>
            </w:r>
          </w:p>
        </w:tc>
        <w:tc>
          <w:tcPr/>
          <w:p>
            <w:pPr>
              <w:pStyle w:val="Compact"/>
              <w:spacing w:before="0" w:after="0" w:line="240" w:lineRule="auto"/>
              <w:ind w:firstLine="0" w:left="0"/>
            </w:pPr>
            <w:r>
              <w:rPr>
                <w:sz w:val="20"/>
                <w:szCs w:val="20"/>
              </w:rPr>
              <w:t xml:space="preserve">3.93</w:t>
            </w:r>
          </w:p>
        </w:tc>
        <w:tc>
          <w:tcPr/>
          <w:p>
            <w:pPr>
              <w:pStyle w:val="Compact"/>
              <w:spacing w:before="0" w:after="0" w:line="240" w:lineRule="auto"/>
              <w:ind w:firstLine="0" w:left="0"/>
            </w:pPr>
            <w:r>
              <w:rPr>
                <w:sz w:val="20"/>
                <w:szCs w:val="20"/>
              </w:rPr>
              <w:t xml:space="preserve">4.57</w:t>
            </w:r>
          </w:p>
        </w:tc>
        <w:tc>
          <w:tcPr/>
          <w:p>
            <w:pPr>
              <w:pStyle w:val="Compact"/>
              <w:spacing w:before="0" w:after="0" w:line="240" w:lineRule="auto"/>
              <w:ind w:firstLine="0" w:left="0"/>
            </w:pPr>
            <w:r>
              <w:rPr>
                <w:sz w:val="20"/>
                <w:szCs w:val="20"/>
              </w:rPr>
              <w:t xml:space="preserve">−14.2</w:t>
            </w:r>
          </w:p>
        </w:tc>
        <w:tc>
          <w:tcPr/>
          <w:p>
            <w:pPr>
              <w:pStyle w:val="Compact"/>
              <w:spacing w:before="0" w:after="0" w:line="240" w:lineRule="auto"/>
              <w:ind w:firstLine="0" w:left="0"/>
            </w:pPr>
            <w:r>
              <w:rPr>
                <w:sz w:val="20"/>
                <w:szCs w:val="20"/>
              </w:rPr>
              <w:t xml:space="preserve">9.9</w:t>
            </w:r>
          </w:p>
        </w:tc>
      </w:tr>
      <w:tr>
        <w:tc>
          <w:tcPr/>
          <w:p>
            <w:pPr>
              <w:pStyle w:val="Compact"/>
              <w:spacing w:before="0" w:after="0" w:line="240" w:lineRule="auto"/>
              <w:ind w:firstLine="0" w:left="0"/>
            </w:pPr>
            <w:r>
              <w:rPr>
                <w:sz w:val="20"/>
                <w:szCs w:val="20"/>
              </w:rPr>
              <w:t xml:space="preserve">IX Zamboanga Peninsula</w:t>
            </w:r>
          </w:p>
        </w:tc>
        <w:tc>
          <w:tcPr/>
          <w:p>
            <w:pPr>
              <w:pStyle w:val="Compact"/>
              <w:spacing w:before="0" w:after="0" w:line="240" w:lineRule="auto"/>
              <w:ind w:firstLine="0" w:left="0"/>
            </w:pPr>
            <w:r>
              <w:rPr>
                <w:sz w:val="20"/>
                <w:szCs w:val="20"/>
              </w:rPr>
              <w:t xml:space="preserve">32.7</w:t>
            </w:r>
          </w:p>
        </w:tc>
        <w:tc>
          <w:tcPr/>
          <w:p>
            <w:pPr>
              <w:pStyle w:val="Compact"/>
              <w:spacing w:before="0" w:after="0" w:line="240" w:lineRule="auto"/>
              <w:ind w:firstLine="0" w:left="0"/>
            </w:pPr>
            <w:r>
              <w:rPr>
                <w:sz w:val="20"/>
                <w:szCs w:val="20"/>
              </w:rPr>
              <w:t xml:space="preserve">49.6</w:t>
            </w:r>
          </w:p>
        </w:tc>
        <w:tc>
          <w:tcPr/>
          <w:p>
            <w:pPr>
              <w:pStyle w:val="Compact"/>
              <w:spacing w:before="0" w:after="0" w:line="240" w:lineRule="auto"/>
              <w:ind w:firstLine="0" w:left="0"/>
            </w:pPr>
            <w:r>
              <w:rPr>
                <w:sz w:val="20"/>
                <w:szCs w:val="20"/>
              </w:rPr>
              <w:t xml:space="preserve">4.01</w:t>
            </w:r>
          </w:p>
        </w:tc>
        <w:tc>
          <w:tcPr/>
          <w:p>
            <w:pPr>
              <w:pStyle w:val="Compact"/>
              <w:spacing w:before="0" w:after="0" w:line="240" w:lineRule="auto"/>
              <w:ind w:firstLine="0" w:left="0"/>
            </w:pPr>
            <w:r>
              <w:rPr>
                <w:sz w:val="20"/>
                <w:szCs w:val="20"/>
              </w:rPr>
              <w:t xml:space="preserve">4.24</w:t>
            </w:r>
          </w:p>
        </w:tc>
        <w:tc>
          <w:tcPr/>
          <w:p>
            <w:pPr>
              <w:pStyle w:val="Compact"/>
              <w:spacing w:before="0" w:after="0" w:line="240" w:lineRule="auto"/>
              <w:ind w:firstLine="0" w:left="0"/>
            </w:pPr>
            <w:r>
              <w:rPr>
                <w:sz w:val="20"/>
                <w:szCs w:val="20"/>
              </w:rPr>
              <w:t xml:space="preserve">−4.4</w:t>
            </w:r>
          </w:p>
        </w:tc>
        <w:tc>
          <w:tcPr/>
          <w:p>
            <w:pPr>
              <w:pStyle w:val="Compact"/>
              <w:spacing w:before="0" w:after="0" w:line="240" w:lineRule="auto"/>
              <w:ind w:firstLine="0" w:left="0"/>
            </w:pPr>
            <w:r>
              <w:rPr>
                <w:sz w:val="20"/>
                <w:szCs w:val="20"/>
              </w:rPr>
              <w:t xml:space="preserve">10.0</w:t>
            </w:r>
          </w:p>
        </w:tc>
      </w:tr>
      <w:tr>
        <w:tc>
          <w:tcPr/>
          <w:p>
            <w:pPr>
              <w:pStyle w:val="Compact"/>
              <w:spacing w:before="0" w:after="0" w:line="240" w:lineRule="auto"/>
              <w:ind w:firstLine="0" w:left="0"/>
            </w:pPr>
            <w:r>
              <w:rPr>
                <w:sz w:val="20"/>
                <w:szCs w:val="20"/>
              </w:rPr>
              <w:t xml:space="preserve">X Northern Mindanao</w:t>
            </w:r>
          </w:p>
        </w:tc>
        <w:tc>
          <w:tcPr/>
          <w:p>
            <w:pPr>
              <w:pStyle w:val="Compact"/>
              <w:spacing w:before="0" w:after="0" w:line="240" w:lineRule="auto"/>
              <w:ind w:firstLine="0" w:left="0"/>
            </w:pPr>
            <w:r>
              <w:rPr>
                <w:sz w:val="20"/>
                <w:szCs w:val="20"/>
              </w:rPr>
              <w:t xml:space="preserve">23.1</w:t>
            </w:r>
          </w:p>
        </w:tc>
        <w:tc>
          <w:tcPr/>
          <w:p>
            <w:pPr>
              <w:pStyle w:val="Compact"/>
              <w:spacing w:before="0" w:after="0" w:line="240" w:lineRule="auto"/>
              <w:ind w:firstLine="0" w:left="0"/>
            </w:pPr>
            <w:r>
              <w:rPr>
                <w:sz w:val="20"/>
                <w:szCs w:val="20"/>
              </w:rPr>
              <w:t xml:space="preserve">43.1</w:t>
            </w:r>
          </w:p>
        </w:tc>
        <w:tc>
          <w:tcPr/>
          <w:p>
            <w:pPr>
              <w:pStyle w:val="Compact"/>
              <w:spacing w:before="0" w:after="0" w:line="240" w:lineRule="auto"/>
              <w:ind w:firstLine="0" w:left="0"/>
            </w:pPr>
            <w:r>
              <w:rPr>
                <w:sz w:val="20"/>
                <w:szCs w:val="20"/>
              </w:rPr>
              <w:t xml:space="preserve">4.32</w:t>
            </w:r>
          </w:p>
        </w:tc>
        <w:tc>
          <w:tcPr/>
          <w:p>
            <w:pPr>
              <w:pStyle w:val="Compact"/>
              <w:spacing w:before="0" w:after="0" w:line="240" w:lineRule="auto"/>
              <w:ind w:firstLine="0" w:left="0"/>
            </w:pPr>
            <w:r>
              <w:rPr>
                <w:sz w:val="20"/>
                <w:szCs w:val="20"/>
              </w:rPr>
              <w:t xml:space="preserve">4.70</w:t>
            </w:r>
          </w:p>
        </w:tc>
        <w:tc>
          <w:tcPr/>
          <w:p>
            <w:pPr>
              <w:pStyle w:val="Compact"/>
              <w:spacing w:before="0" w:after="0" w:line="240" w:lineRule="auto"/>
              <w:ind w:firstLine="0" w:left="0"/>
            </w:pPr>
            <w:r>
              <w:rPr>
                <w:sz w:val="20"/>
                <w:szCs w:val="20"/>
              </w:rPr>
              <w:t xml:space="preserve">−8.6</w:t>
            </w:r>
          </w:p>
        </w:tc>
        <w:tc>
          <w:tcPr/>
          <w:p>
            <w:pPr>
              <w:pStyle w:val="Compact"/>
              <w:spacing w:before="0" w:after="0" w:line="240" w:lineRule="auto"/>
              <w:ind w:firstLine="0" w:left="0"/>
            </w:pPr>
            <w:r>
              <w:rPr>
                <w:sz w:val="20"/>
                <w:szCs w:val="20"/>
              </w:rPr>
              <w:t xml:space="preserve">7.2</w:t>
            </w:r>
          </w:p>
        </w:tc>
      </w:tr>
      <w:tr>
        <w:tc>
          <w:tcPr/>
          <w:p>
            <w:pPr>
              <w:pStyle w:val="Compact"/>
              <w:spacing w:before="0" w:after="0" w:line="240" w:lineRule="auto"/>
              <w:ind w:firstLine="0" w:left="0"/>
            </w:pPr>
            <w:r>
              <w:rPr>
                <w:sz w:val="20"/>
                <w:szCs w:val="20"/>
              </w:rPr>
              <w:t xml:space="preserve">XI Davao</w:t>
            </w:r>
          </w:p>
        </w:tc>
        <w:tc>
          <w:tcPr/>
          <w:p>
            <w:pPr>
              <w:pStyle w:val="Compact"/>
              <w:spacing w:before="0" w:after="0" w:line="240" w:lineRule="auto"/>
              <w:ind w:firstLine="0" w:left="0"/>
            </w:pPr>
            <w:r>
              <w:rPr>
                <w:sz w:val="20"/>
                <w:szCs w:val="20"/>
              </w:rPr>
              <w:t xml:space="preserve">19.1</w:t>
            </w:r>
          </w:p>
        </w:tc>
        <w:tc>
          <w:tcPr/>
          <w:p>
            <w:pPr>
              <w:pStyle w:val="Compact"/>
              <w:spacing w:before="0" w:after="0" w:line="240" w:lineRule="auto"/>
              <w:ind w:firstLine="0" w:left="0"/>
            </w:pPr>
            <w:r>
              <w:rPr>
                <w:sz w:val="20"/>
                <w:szCs w:val="20"/>
              </w:rPr>
              <w:t xml:space="preserve">43.0</w:t>
            </w:r>
          </w:p>
        </w:tc>
        <w:tc>
          <w:tcPr/>
          <w:p>
            <w:pPr>
              <w:pStyle w:val="Compact"/>
              <w:spacing w:before="0" w:after="0" w:line="240" w:lineRule="auto"/>
              <w:ind w:firstLine="0" w:left="0"/>
            </w:pPr>
            <w:r>
              <w:rPr>
                <w:sz w:val="20"/>
                <w:szCs w:val="20"/>
              </w:rPr>
              <w:t xml:space="preserve">4.14</w:t>
            </w:r>
          </w:p>
        </w:tc>
        <w:tc>
          <w:tcPr/>
          <w:p>
            <w:pPr>
              <w:pStyle w:val="Compact"/>
              <w:spacing w:before="0" w:after="0" w:line="240" w:lineRule="auto"/>
              <w:ind w:firstLine="0" w:left="0"/>
            </w:pPr>
            <w:r>
              <w:rPr>
                <w:sz w:val="20"/>
                <w:szCs w:val="20"/>
              </w:rPr>
              <w:t xml:space="preserve">4.53</w:t>
            </w:r>
          </w:p>
        </w:tc>
        <w:tc>
          <w:tcPr/>
          <w:p>
            <w:pPr>
              <w:pStyle w:val="Compact"/>
              <w:spacing w:before="0" w:after="0" w:line="240" w:lineRule="auto"/>
              <w:ind w:firstLine="0" w:left="0"/>
            </w:pPr>
            <w:r>
              <w:rPr>
                <w:sz w:val="20"/>
                <w:szCs w:val="20"/>
              </w:rPr>
              <w:t xml:space="preserve">−8.9</w:t>
            </w:r>
          </w:p>
        </w:tc>
        <w:tc>
          <w:tcPr/>
          <w:p>
            <w:pPr>
              <w:pStyle w:val="Compact"/>
              <w:spacing w:before="0" w:after="0" w:line="240" w:lineRule="auto"/>
              <w:ind w:firstLine="0" w:left="0"/>
            </w:pPr>
            <w:r>
              <w:rPr>
                <w:sz w:val="20"/>
                <w:szCs w:val="20"/>
              </w:rPr>
              <w:t xml:space="preserve">12.1</w:t>
            </w:r>
          </w:p>
        </w:tc>
      </w:tr>
      <w:tr>
        <w:tc>
          <w:tcPr/>
          <w:p>
            <w:pPr>
              <w:pStyle w:val="Compact"/>
              <w:spacing w:before="0" w:after="0" w:line="240" w:lineRule="auto"/>
              <w:ind w:firstLine="0" w:left="0"/>
            </w:pPr>
            <w:r>
              <w:rPr>
                <w:sz w:val="20"/>
                <w:szCs w:val="20"/>
              </w:rPr>
              <w:t xml:space="preserve">XII SOCCSKSARGEN</w:t>
            </w:r>
          </w:p>
        </w:tc>
        <w:tc>
          <w:tcPr/>
          <w:p>
            <w:pPr>
              <w:pStyle w:val="Compact"/>
              <w:spacing w:before="0" w:after="0" w:line="240" w:lineRule="auto"/>
              <w:ind w:firstLine="0" w:left="0"/>
            </w:pPr>
            <w:r>
              <w:rPr>
                <w:sz w:val="20"/>
                <w:szCs w:val="20"/>
              </w:rPr>
              <w:t xml:space="preserve">27.3</w:t>
            </w:r>
          </w:p>
        </w:tc>
        <w:tc>
          <w:tcPr/>
          <w:p>
            <w:pPr>
              <w:pStyle w:val="Compact"/>
              <w:spacing w:before="0" w:after="0" w:line="240" w:lineRule="auto"/>
              <w:ind w:firstLine="0" w:left="0"/>
            </w:pPr>
            <w:r>
              <w:rPr>
                <w:sz w:val="20"/>
                <w:szCs w:val="20"/>
              </w:rPr>
              <w:t xml:space="preserve">45.7</w:t>
            </w:r>
          </w:p>
        </w:tc>
        <w:tc>
          <w:tcPr/>
          <w:p>
            <w:pPr>
              <w:pStyle w:val="Compact"/>
              <w:spacing w:before="0" w:after="0" w:line="240" w:lineRule="auto"/>
              <w:ind w:firstLine="0" w:left="0"/>
            </w:pPr>
            <w:r>
              <w:rPr>
                <w:sz w:val="20"/>
                <w:szCs w:val="20"/>
              </w:rPr>
              <w:t xml:space="preserve">4.08</w:t>
            </w:r>
          </w:p>
        </w:tc>
        <w:tc>
          <w:tcPr/>
          <w:p>
            <w:pPr>
              <w:pStyle w:val="Compact"/>
              <w:spacing w:before="0" w:after="0" w:line="240" w:lineRule="auto"/>
              <w:ind w:firstLine="0" w:left="0"/>
            </w:pPr>
            <w:r>
              <w:rPr>
                <w:sz w:val="20"/>
                <w:szCs w:val="20"/>
              </w:rPr>
              <w:t xml:space="preserve">4.42</w:t>
            </w:r>
          </w:p>
        </w:tc>
        <w:tc>
          <w:tcPr/>
          <w:p>
            <w:pPr>
              <w:pStyle w:val="Compact"/>
              <w:spacing w:before="0" w:after="0" w:line="240" w:lineRule="auto"/>
              <w:ind w:firstLine="0" w:left="0"/>
            </w:pPr>
            <w:r>
              <w:rPr>
                <w:sz w:val="20"/>
                <w:szCs w:val="20"/>
              </w:rPr>
              <w:t xml:space="preserve">−8.1</w:t>
            </w:r>
          </w:p>
        </w:tc>
        <w:tc>
          <w:tcPr/>
          <w:p>
            <w:pPr>
              <w:pStyle w:val="Compact"/>
              <w:spacing w:before="0" w:after="0" w:line="240" w:lineRule="auto"/>
              <w:ind w:firstLine="0" w:left="0"/>
            </w:pPr>
            <w:r>
              <w:rPr>
                <w:sz w:val="20"/>
                <w:szCs w:val="20"/>
              </w:rPr>
              <w:t xml:space="preserve">8.6</w:t>
            </w:r>
          </w:p>
        </w:tc>
      </w:tr>
      <w:tr>
        <w:tc>
          <w:tcPr/>
          <w:p>
            <w:pPr>
              <w:pStyle w:val="Compact"/>
              <w:spacing w:before="0" w:after="0" w:line="240" w:lineRule="auto"/>
              <w:ind w:firstLine="0" w:left="0"/>
            </w:pPr>
            <w:r>
              <w:rPr>
                <w:sz w:val="20"/>
                <w:szCs w:val="20"/>
              </w:rPr>
              <w:t xml:space="preserve">XIII Caraga</w:t>
            </w:r>
          </w:p>
        </w:tc>
        <w:tc>
          <w:tcPr/>
          <w:p>
            <w:pPr>
              <w:pStyle w:val="Compact"/>
              <w:spacing w:before="0" w:after="0" w:line="240" w:lineRule="auto"/>
              <w:ind w:firstLine="0" w:left="0"/>
            </w:pPr>
            <w:r>
              <w:rPr>
                <w:sz w:val="20"/>
                <w:szCs w:val="20"/>
              </w:rPr>
              <w:t xml:space="preserve">30.5</w:t>
            </w:r>
          </w:p>
        </w:tc>
        <w:tc>
          <w:tcPr/>
          <w:p>
            <w:pPr>
              <w:pStyle w:val="Compact"/>
              <w:spacing w:before="0" w:after="0" w:line="240" w:lineRule="auto"/>
              <w:ind w:firstLine="0" w:left="0"/>
            </w:pPr>
            <w:r>
              <w:rPr>
                <w:sz w:val="20"/>
                <w:szCs w:val="20"/>
              </w:rPr>
              <w:t xml:space="preserve">46.7</w:t>
            </w:r>
          </w:p>
        </w:tc>
        <w:tc>
          <w:tcPr/>
          <w:p>
            <w:pPr>
              <w:pStyle w:val="Compact"/>
              <w:spacing w:before="0" w:after="0" w:line="240" w:lineRule="auto"/>
              <w:ind w:firstLine="0" w:left="0"/>
            </w:pPr>
            <w:r>
              <w:rPr>
                <w:sz w:val="20"/>
                <w:szCs w:val="20"/>
              </w:rPr>
              <w:t xml:space="preserve">4.30</w:t>
            </w:r>
          </w:p>
        </w:tc>
        <w:tc>
          <w:tcPr/>
          <w:p>
            <w:pPr>
              <w:pStyle w:val="Compact"/>
              <w:spacing w:before="0" w:after="0" w:line="240" w:lineRule="auto"/>
              <w:ind w:firstLine="0" w:left="0"/>
            </w:pPr>
            <w:r>
              <w:rPr>
                <w:sz w:val="20"/>
                <w:szCs w:val="20"/>
              </w:rPr>
              <w:t xml:space="preserve">4.54</w:t>
            </w:r>
          </w:p>
        </w:tc>
        <w:tc>
          <w:tcPr/>
          <w:p>
            <w:pPr>
              <w:pStyle w:val="Compact"/>
              <w:spacing w:before="0" w:after="0" w:line="240" w:lineRule="auto"/>
              <w:ind w:firstLine="0" w:left="0"/>
            </w:pPr>
            <w:r>
              <w:rPr>
                <w:sz w:val="20"/>
                <w:szCs w:val="20"/>
              </w:rPr>
              <w:t xml:space="preserve">−4.7</w:t>
            </w:r>
          </w:p>
        </w:tc>
        <w:tc>
          <w:tcPr/>
          <w:p>
            <w:pPr>
              <w:pStyle w:val="Compact"/>
              <w:spacing w:before="0" w:after="0" w:line="240" w:lineRule="auto"/>
              <w:ind w:firstLine="0" w:left="0"/>
            </w:pPr>
            <w:r>
              <w:rPr>
                <w:sz w:val="20"/>
                <w:szCs w:val="20"/>
              </w:rPr>
              <w:t xml:space="preserve">10.4</w:t>
            </w:r>
          </w:p>
        </w:tc>
      </w:tr>
      <w:tr>
        <w:tc>
          <w:tcPr/>
          <w:p>
            <w:pPr>
              <w:pStyle w:val="Compact"/>
              <w:spacing w:before="0" w:after="0" w:line="240" w:lineRule="auto"/>
              <w:ind w:firstLine="0" w:left="0"/>
            </w:pPr>
            <w:r>
              <w:rPr>
                <w:sz w:val="20"/>
                <w:szCs w:val="20"/>
              </w:rPr>
              <w:t xml:space="preserve">BARMM</w:t>
            </w:r>
          </w:p>
        </w:tc>
        <w:tc>
          <w:tcPr/>
          <w:p>
            <w:pPr>
              <w:pStyle w:val="Compact"/>
              <w:spacing w:before="0" w:after="0" w:line="240" w:lineRule="auto"/>
              <w:ind w:firstLine="0" w:left="0"/>
            </w:pPr>
            <w:r>
              <w:rPr>
                <w:sz w:val="20"/>
                <w:szCs w:val="20"/>
              </w:rPr>
              <w:t xml:space="preserve">60.4</w:t>
            </w:r>
          </w:p>
        </w:tc>
        <w:tc>
          <w:tcPr/>
          <w:p>
            <w:pPr>
              <w:pStyle w:val="Compact"/>
              <w:spacing w:before="0" w:after="0" w:line="240" w:lineRule="auto"/>
              <w:ind w:firstLine="0" w:left="0"/>
            </w:pPr>
            <w:r>
              <w:rPr>
                <w:sz w:val="20"/>
                <w:szCs w:val="20"/>
              </w:rPr>
              <w:t xml:space="preserve">59.4</w:t>
            </w:r>
          </w:p>
        </w:tc>
        <w:tc>
          <w:tcPr/>
          <w:p>
            <w:pPr>
              <w:pStyle w:val="Compact"/>
              <w:spacing w:before="0" w:after="0" w:line="240" w:lineRule="auto"/>
              <w:ind w:firstLine="0" w:left="0"/>
            </w:pPr>
            <w:r>
              <w:rPr>
                <w:sz w:val="20"/>
                <w:szCs w:val="20"/>
              </w:rPr>
              <w:t xml:space="preserve">4.44</w:t>
            </w:r>
          </w:p>
        </w:tc>
        <w:tc>
          <w:tcPr/>
          <w:p>
            <w:pPr>
              <w:pStyle w:val="Compact"/>
              <w:spacing w:before="0" w:after="0" w:line="240" w:lineRule="auto"/>
              <w:ind w:firstLine="0" w:left="0"/>
            </w:pPr>
            <w:r>
              <w:rPr>
                <w:sz w:val="20"/>
                <w:szCs w:val="20"/>
              </w:rPr>
              <w:t xml:space="preserve">4.87</w:t>
            </w:r>
          </w:p>
        </w:tc>
        <w:tc>
          <w:tcPr/>
          <w:p>
            <w:pPr>
              <w:pStyle w:val="Compact"/>
              <w:spacing w:before="0" w:after="0" w:line="240" w:lineRule="auto"/>
              <w:ind w:firstLine="0" w:left="0"/>
            </w:pPr>
            <w:r>
              <w:rPr>
                <w:sz w:val="20"/>
                <w:szCs w:val="20"/>
              </w:rPr>
              <w:t xml:space="preserve">−9.3</w:t>
            </w:r>
          </w:p>
        </w:tc>
        <w:tc>
          <w:tcPr/>
          <w:p>
            <w:pPr>
              <w:pStyle w:val="Compact"/>
              <w:spacing w:before="0" w:after="0" w:line="240" w:lineRule="auto"/>
              <w:ind w:firstLine="0" w:left="0"/>
            </w:pPr>
            <w:r>
              <w:rPr>
                <w:sz w:val="20"/>
                <w:szCs w:val="20"/>
              </w:rPr>
              <w:t xml:space="preserve">9.0</w:t>
            </w:r>
          </w:p>
        </w:tc>
      </w:tr>
      <w:tr>
        <w:tc>
          <w:tcPr/>
          <w:p>
            <w:pPr>
              <w:pStyle w:val="Compact"/>
              <w:spacing w:before="0" w:after="0" w:line="240" w:lineRule="auto"/>
              <w:ind w:firstLine="0" w:left="0"/>
            </w:pPr>
            <w:r>
              <w:rPr>
                <w:sz w:val="20"/>
                <w:szCs w:val="20"/>
              </w:rPr>
              <w:t xml:space="preserve">Philippines</w:t>
            </w:r>
          </w:p>
        </w:tc>
        <w:tc>
          <w:tcPr/>
          <w:p>
            <w:pPr>
              <w:pStyle w:val="Compact"/>
              <w:spacing w:before="0" w:after="0" w:line="240" w:lineRule="auto"/>
              <w:ind w:firstLine="0" w:left="0"/>
            </w:pPr>
            <w:r>
              <w:rPr>
                <w:sz w:val="20"/>
                <w:szCs w:val="20"/>
              </w:rPr>
              <w:t xml:space="preserve">16.7</w:t>
            </w:r>
          </w:p>
        </w:tc>
        <w:tc>
          <w:tcPr/>
          <w:p>
            <w:pPr>
              <w:pStyle w:val="Compact"/>
              <w:spacing w:before="0" w:after="0" w:line="240" w:lineRule="auto"/>
              <w:ind w:firstLine="0" w:left="0"/>
            </w:pPr>
            <w:r>
              <w:rPr>
                <w:sz w:val="20"/>
                <w:szCs w:val="20"/>
              </w:rPr>
              <w:t xml:space="preserve">37.7</w:t>
            </w:r>
          </w:p>
        </w:tc>
        <w:tc>
          <w:tcPr/>
          <w:p>
            <w:pPr>
              <w:pStyle w:val="Compact"/>
              <w:spacing w:before="0" w:after="0" w:line="240" w:lineRule="auto"/>
              <w:ind w:firstLine="0" w:left="0"/>
            </w:pPr>
            <w:r>
              <w:rPr>
                <w:sz w:val="20"/>
                <w:szCs w:val="20"/>
              </w:rPr>
              <w:t xml:space="preserve">3.84</w:t>
            </w:r>
          </w:p>
        </w:tc>
        <w:tc>
          <w:tcPr/>
          <w:p>
            <w:pPr>
              <w:pStyle w:val="Compact"/>
              <w:spacing w:before="0" w:after="0" w:line="240" w:lineRule="auto"/>
              <w:ind w:firstLine="0" w:left="0"/>
            </w:pPr>
            <w:r>
              <w:rPr>
                <w:sz w:val="20"/>
                <w:szCs w:val="20"/>
              </w:rPr>
              <w:t xml:space="preserve">4.41</w:t>
            </w:r>
          </w:p>
        </w:tc>
        <w:tc>
          <w:tcPr/>
          <w:p>
            <w:pPr>
              <w:pStyle w:val="Compact"/>
              <w:spacing w:before="0" w:after="0" w:line="240" w:lineRule="auto"/>
              <w:ind w:firstLine="0" w:left="0"/>
            </w:pPr>
            <w:r>
              <w:rPr>
                <w:sz w:val="20"/>
                <w:szCs w:val="20"/>
              </w:rPr>
              <w:t xml:space="preserve">−13.3</w:t>
            </w:r>
          </w:p>
        </w:tc>
        <w:tc>
          <w:tcPr/>
          <w:p>
            <w:pPr>
              <w:pStyle w:val="Compact"/>
              <w:spacing w:before="0" w:after="0" w:line="240" w:lineRule="auto"/>
              <w:ind w:firstLine="0" w:left="0"/>
            </w:pPr>
            <w:r>
              <w:rPr>
                <w:sz w:val="20"/>
                <w:szCs w:val="20"/>
              </w:rPr>
              <w:t xml:space="preserve">8.2</w:t>
            </w:r>
          </w:p>
        </w:tc>
      </w:tr>
    </w:tbl>
    <w:p>
      <w:pPr>
        <w:pStyle w:val="TableNote"/>
      </w:pPr>
      <w:r>
        <w:rPr>
          <w:i/>
          <w:iCs/>
        </w:rPr>
        <w:t xml:space="preserve">Notes:</w:t>
      </w:r>
      <w:r>
        <w:t xml:space="preserve"> </w:t>
      </w:r>
      <w:r>
        <w:t xml:space="preserve">Inflation: average year-on-year rate, 2001–2025. Cumulative gap: change in 100 × ln(CPI all/CPI bottom 30%), December 2000 to December 2025; negative values mean the poor’s prices rose more.</w:t>
      </w:r>
    </w:p>
    <w:bookmarkEnd w:id="59"/>
    <w:bookmarkStart w:id="60" w:name="stationarity"/>
    <w:p>
      <w:pPr>
        <w:pStyle w:val="Heading3"/>
      </w:pPr>
      <w:r>
        <w:t xml:space="preserve">4.1.5 Stationarity</w:t>
      </w:r>
    </w:p>
    <w:p>
      <w:pPr>
        <w:pStyle w:val="FirstParagraph"/>
      </w:pPr>
      <w:r>
        <w:t xml:space="preserve">The log levels of the fuel index, both CPIs and their ratio do not have a stable mean (the smallest p-value is 0.48), while their monthly changes do (p-values of 0.000 or less) (Table 6). This supports estimating the model in monthly changes and reporting effects on the price level as cumulative responses.</w:t>
      </w:r>
    </w:p>
    <w:p>
      <w:pPr>
        <w:pStyle w:val="TableCaption"/>
      </w:pPr>
      <w:r>
        <w:t xml:space="preserve">Table 6. Augmented Dickey–Fuller tests, January 2001–August 2026</w:t>
      </w:r>
    </w:p>
    <w:tbl>
      <w:tblPr>
        <w:tblStyle w:val="Table"/>
        <w:tblW w:type="auto" w:w="0"/>
        <w:tblBorders>
          <w:top w:val="single" w:sz="12" w:space="0" w:color="000000"/>
          <w:left w:val="nil"/>
          <w:bottom w:val="single" w:sz="12" w:space="0" w:color="000000"/>
          <w:right w:val="nil"/>
          <w:insideH w:val="nil"/>
          <w:insideV w:val="nil"/>
        </w:tblBorders>
        <w:tblLook w:firstRow="1" w:lastRow="0" w:firstColumn="0" w:lastColumn="0" w:noHBand="0" w:noVBand="0" w:val="0020"/>
        <w:tblCaption w:val="Table 6. Augmented Dickey–Fuller tests, January 2001–August 2026"/>
      </w:tblPr>
      <w:tblGrid>
        <w:gridCol w:w="1320"/>
        <w:gridCol w:w="1320"/>
        <w:gridCol w:w="1320"/>
        <w:gridCol w:w="1320"/>
        <w:gridCol w:w="1320"/>
        <w:gridCol w:w="1320"/>
      </w:tblGrid>
      <w:tr>
        <w:trPr>
          <w:tblHeader w:val="on"/>
        </w:trPr>
        <w:tc>
          <w:tcPr>
            <w:tcBorders>
              <w:bottom w:val="single" w:sz="6" w:space="0" w:color="000000"/>
            </w:tcBorders>
          </w:tcPr>
          <w:p>
            <w:pPr>
              <w:pStyle w:val="Compact"/>
              <w:spacing w:before="0" w:after="0" w:line="240" w:lineRule="auto"/>
              <w:ind w:firstLine="0" w:left="0"/>
            </w:pPr>
            <w:r>
              <w:rPr>
                <w:sz w:val="20"/>
                <w:szCs w:val="20"/>
              </w:rPr>
              <w:t xml:space="preserve">Series</w:t>
            </w:r>
          </w:p>
        </w:tc>
        <w:tc>
          <w:tcPr>
            <w:tcBorders>
              <w:bottom w:val="single" w:sz="6" w:space="0" w:color="000000"/>
            </w:tcBorders>
          </w:tcPr>
          <w:p>
            <w:pPr>
              <w:pStyle w:val="Compact"/>
              <w:spacing w:before="0" w:after="0" w:line="240" w:lineRule="auto"/>
              <w:ind w:firstLine="0" w:left="0"/>
            </w:pPr>
            <w:r>
              <w:rPr>
                <w:sz w:val="20"/>
                <w:szCs w:val="20"/>
              </w:rPr>
              <w:t xml:space="preserve">Form</w:t>
            </w:r>
          </w:p>
        </w:tc>
        <w:tc>
          <w:tcPr>
            <w:tcBorders>
              <w:bottom w:val="single" w:sz="6" w:space="0" w:color="000000"/>
            </w:tcBorders>
          </w:tcPr>
          <w:p>
            <w:pPr>
              <w:pStyle w:val="Compact"/>
              <w:spacing w:before="0" w:after="0" w:line="240" w:lineRule="auto"/>
              <w:ind w:firstLine="0" w:left="0"/>
            </w:pPr>
            <w:r>
              <w:rPr>
                <w:sz w:val="20"/>
                <w:szCs w:val="20"/>
              </w:rPr>
              <w:t xml:space="preserve">ADF statistic</w:t>
            </w:r>
          </w:p>
        </w:tc>
        <w:tc>
          <w:tcPr>
            <w:tcBorders>
              <w:bottom w:val="single" w:sz="6" w:space="0" w:color="000000"/>
            </w:tcBorders>
          </w:tcPr>
          <w:p>
            <w:pPr>
              <w:pStyle w:val="Compact"/>
              <w:spacing w:before="0" w:after="0" w:line="240" w:lineRule="auto"/>
              <w:ind w:firstLine="0" w:left="0"/>
            </w:pPr>
            <w:r>
              <w:rPr>
                <w:sz w:val="20"/>
                <w:szCs w:val="20"/>
              </w:rPr>
              <w:t xml:space="preserve">p-value</w:t>
            </w:r>
          </w:p>
        </w:tc>
        <w:tc>
          <w:tcPr>
            <w:tcBorders>
              <w:bottom w:val="single" w:sz="6" w:space="0" w:color="000000"/>
            </w:tcBorders>
          </w:tcPr>
          <w:p>
            <w:pPr>
              <w:pStyle w:val="Compact"/>
              <w:spacing w:before="0" w:after="0" w:line="240" w:lineRule="auto"/>
              <w:ind w:firstLine="0" w:left="0"/>
            </w:pPr>
            <w:r>
              <w:rPr>
                <w:sz w:val="20"/>
                <w:szCs w:val="20"/>
              </w:rPr>
              <w:t xml:space="preserve">Lags</w:t>
            </w:r>
          </w:p>
        </w:tc>
        <w:tc>
          <w:tcPr>
            <w:tcBorders>
              <w:bottom w:val="single" w:sz="6" w:space="0" w:color="000000"/>
            </w:tcBorders>
          </w:tcPr>
          <w:p>
            <w:pPr>
              <w:pStyle w:val="Compact"/>
              <w:spacing w:before="0" w:after="0" w:line="240" w:lineRule="auto"/>
              <w:ind w:firstLine="0" w:left="0"/>
            </w:pPr>
            <w:r>
              <w:rPr>
                <w:sz w:val="20"/>
                <w:szCs w:val="20"/>
              </w:rPr>
              <w:t xml:space="preserve">N</w:t>
            </w:r>
          </w:p>
        </w:tc>
      </w:tr>
      <w:tr>
        <w:tc>
          <w:tcPr/>
          <w:p>
            <w:pPr>
              <w:pStyle w:val="Compact"/>
              <w:spacing w:before="0" w:after="0" w:line="240" w:lineRule="auto"/>
              <w:ind w:firstLine="0" w:left="0"/>
            </w:pPr>
            <w:r>
              <w:rPr>
                <w:sz w:val="20"/>
                <w:szCs w:val="20"/>
              </w:rPr>
              <w:t xml:space="preserve">ln fuel index</w:t>
            </w:r>
          </w:p>
        </w:tc>
        <w:tc>
          <w:tcPr/>
          <w:p>
            <w:pPr>
              <w:pStyle w:val="Compact"/>
              <w:spacing w:before="0" w:after="0" w:line="240" w:lineRule="auto"/>
              <w:ind w:firstLine="0" w:left="0"/>
            </w:pPr>
            <w:r>
              <w:rPr>
                <w:sz w:val="20"/>
                <w:szCs w:val="20"/>
              </w:rPr>
              <w:t xml:space="preserve">level</w:t>
            </w:r>
          </w:p>
        </w:tc>
        <w:tc>
          <w:tcPr/>
          <w:p>
            <w:pPr>
              <w:pStyle w:val="Compact"/>
              <w:spacing w:before="0" w:after="0" w:line="240" w:lineRule="auto"/>
              <w:ind w:firstLine="0" w:left="0"/>
            </w:pPr>
            <w:r>
              <w:rPr>
                <w:sz w:val="20"/>
                <w:szCs w:val="20"/>
              </w:rPr>
              <w:t xml:space="preserve">−2.22</w:t>
            </w:r>
          </w:p>
        </w:tc>
        <w:tc>
          <w:tcPr/>
          <w:p>
            <w:pPr>
              <w:pStyle w:val="Compact"/>
              <w:spacing w:before="0" w:after="0" w:line="240" w:lineRule="auto"/>
              <w:ind w:firstLine="0" w:left="0"/>
            </w:pPr>
            <w:r>
              <w:rPr>
                <w:sz w:val="20"/>
                <w:szCs w:val="20"/>
              </w:rPr>
              <w:t xml:space="preserve">0.480</w:t>
            </w:r>
          </w:p>
        </w:tc>
        <w:tc>
          <w:tcPr/>
          <w:p>
            <w:pPr>
              <w:pStyle w:val="Compact"/>
              <w:spacing w:before="0" w:after="0" w:line="240" w:lineRule="auto"/>
              <w:ind w:firstLine="0" w:left="0"/>
            </w:pPr>
            <w:r>
              <w:rPr>
                <w:sz w:val="20"/>
                <w:szCs w:val="20"/>
              </w:rPr>
              <w:t xml:space="preserve">2</w:t>
            </w:r>
          </w:p>
        </w:tc>
        <w:tc>
          <w:tcPr/>
          <w:p>
            <w:pPr>
              <w:pStyle w:val="Compact"/>
              <w:spacing w:before="0" w:after="0" w:line="240" w:lineRule="auto"/>
              <w:ind w:firstLine="0" w:left="0"/>
            </w:pPr>
            <w:r>
              <w:rPr>
                <w:sz w:val="20"/>
                <w:szCs w:val="20"/>
              </w:rPr>
              <w:t xml:space="preserve">305</w:t>
            </w:r>
          </w:p>
        </w:tc>
      </w:tr>
      <w:tr>
        <w:tc>
          <w:tcPr/>
          <w:p>
            <w:pPr>
              <w:pStyle w:val="Compact"/>
              <w:spacing w:before="0" w:after="0" w:line="240" w:lineRule="auto"/>
              <w:ind w:firstLine="0" w:left="0"/>
            </w:pPr>
            <w:r>
              <w:rPr>
                <w:sz w:val="20"/>
                <w:szCs w:val="20"/>
              </w:rPr>
              <w:t xml:space="preserve">ln fuel index</w:t>
            </w:r>
          </w:p>
        </w:tc>
        <w:tc>
          <w:tcPr/>
          <w:p>
            <w:pPr>
              <w:pStyle w:val="Compact"/>
              <w:spacing w:before="0" w:after="0" w:line="240" w:lineRule="auto"/>
              <w:ind w:firstLine="0" w:left="0"/>
            </w:pPr>
            <w:r>
              <w:rPr>
                <w:sz w:val="20"/>
                <w:szCs w:val="20"/>
              </w:rPr>
              <w:t xml:space="preserve">first difference</w:t>
            </w:r>
          </w:p>
        </w:tc>
        <w:tc>
          <w:tcPr/>
          <w:p>
            <w:pPr>
              <w:pStyle w:val="Compact"/>
              <w:spacing w:before="0" w:after="0" w:line="240" w:lineRule="auto"/>
              <w:ind w:firstLine="0" w:left="0"/>
            </w:pPr>
            <w:r>
              <w:rPr>
                <w:sz w:val="20"/>
                <w:szCs w:val="20"/>
              </w:rPr>
              <w:t xml:space="preserve">−13.47</w:t>
            </w:r>
          </w:p>
        </w:tc>
        <w:tc>
          <w:tcPr/>
          <w:p>
            <w:pPr>
              <w:pStyle w:val="Compact"/>
              <w:spacing w:before="0" w:after="0" w:line="240" w:lineRule="auto"/>
              <w:ind w:firstLine="0" w:left="0"/>
            </w:pPr>
            <w:r>
              <w:rPr>
                <w:sz w:val="20"/>
                <w:szCs w:val="20"/>
              </w:rPr>
              <w:t xml:space="preserve">0.000</w:t>
            </w:r>
          </w:p>
        </w:tc>
        <w:tc>
          <w:tcPr/>
          <w:p>
            <w:pPr>
              <w:pStyle w:val="Compact"/>
              <w:spacing w:before="0" w:after="0" w:line="240" w:lineRule="auto"/>
              <w:ind w:firstLine="0" w:left="0"/>
            </w:pPr>
            <w:r>
              <w:rPr>
                <w:sz w:val="20"/>
                <w:szCs w:val="20"/>
              </w:rPr>
              <w:t xml:space="preserve">1</w:t>
            </w:r>
          </w:p>
        </w:tc>
        <w:tc>
          <w:tcPr/>
          <w:p>
            <w:pPr>
              <w:pStyle w:val="Compact"/>
              <w:spacing w:before="0" w:after="0" w:line="240" w:lineRule="auto"/>
              <w:ind w:firstLine="0" w:left="0"/>
            </w:pPr>
            <w:r>
              <w:rPr>
                <w:sz w:val="20"/>
                <w:szCs w:val="20"/>
              </w:rPr>
              <w:t xml:space="preserve">305</w:t>
            </w:r>
          </w:p>
        </w:tc>
      </w:tr>
      <w:tr>
        <w:tc>
          <w:tcPr/>
          <w:p>
            <w:pPr>
              <w:pStyle w:val="Compact"/>
              <w:spacing w:before="0" w:after="0" w:line="240" w:lineRule="auto"/>
              <w:ind w:firstLine="0" w:left="0"/>
            </w:pPr>
            <w:r>
              <w:rPr>
                <w:sz w:val="20"/>
                <w:szCs w:val="20"/>
              </w:rPr>
              <w:t xml:space="preserve">ln CPI all</w:t>
            </w:r>
          </w:p>
        </w:tc>
        <w:tc>
          <w:tcPr/>
          <w:p>
            <w:pPr>
              <w:pStyle w:val="Compact"/>
              <w:spacing w:before="0" w:after="0" w:line="240" w:lineRule="auto"/>
              <w:ind w:firstLine="0" w:left="0"/>
            </w:pPr>
            <w:r>
              <w:rPr>
                <w:sz w:val="20"/>
                <w:szCs w:val="20"/>
              </w:rPr>
              <w:t xml:space="preserve">level</w:t>
            </w:r>
          </w:p>
        </w:tc>
        <w:tc>
          <w:tcPr/>
          <w:p>
            <w:pPr>
              <w:pStyle w:val="Compact"/>
              <w:spacing w:before="0" w:after="0" w:line="240" w:lineRule="auto"/>
              <w:ind w:firstLine="0" w:left="0"/>
            </w:pPr>
            <w:r>
              <w:rPr>
                <w:sz w:val="20"/>
                <w:szCs w:val="20"/>
              </w:rPr>
              <w:t xml:space="preserve">−1.62</w:t>
            </w:r>
          </w:p>
        </w:tc>
        <w:tc>
          <w:tcPr/>
          <w:p>
            <w:pPr>
              <w:pStyle w:val="Compact"/>
              <w:spacing w:before="0" w:after="0" w:line="240" w:lineRule="auto"/>
              <w:ind w:firstLine="0" w:left="0"/>
            </w:pPr>
            <w:r>
              <w:rPr>
                <w:sz w:val="20"/>
                <w:szCs w:val="20"/>
              </w:rPr>
              <w:t xml:space="preserve">0.786</w:t>
            </w:r>
          </w:p>
        </w:tc>
        <w:tc>
          <w:tcPr/>
          <w:p>
            <w:pPr>
              <w:pStyle w:val="Compact"/>
              <w:spacing w:before="0" w:after="0" w:line="240" w:lineRule="auto"/>
              <w:ind w:firstLine="0" w:left="0"/>
            </w:pPr>
            <w:r>
              <w:rPr>
                <w:sz w:val="20"/>
                <w:szCs w:val="20"/>
              </w:rPr>
              <w:t xml:space="preserve">1</w:t>
            </w:r>
          </w:p>
        </w:tc>
        <w:tc>
          <w:tcPr/>
          <w:p>
            <w:pPr>
              <w:pStyle w:val="Compact"/>
              <w:spacing w:before="0" w:after="0" w:line="240" w:lineRule="auto"/>
              <w:ind w:firstLine="0" w:left="0"/>
            </w:pPr>
            <w:r>
              <w:rPr>
                <w:sz w:val="20"/>
                <w:szCs w:val="20"/>
              </w:rPr>
              <w:t xml:space="preserve">306</w:t>
            </w:r>
          </w:p>
        </w:tc>
      </w:tr>
      <w:tr>
        <w:tc>
          <w:tcPr/>
          <w:p>
            <w:pPr>
              <w:pStyle w:val="Compact"/>
              <w:spacing w:before="0" w:after="0" w:line="240" w:lineRule="auto"/>
              <w:ind w:firstLine="0" w:left="0"/>
            </w:pPr>
            <w:r>
              <w:rPr>
                <w:sz w:val="20"/>
                <w:szCs w:val="20"/>
              </w:rPr>
              <w:t xml:space="preserve">ln CPI all</w:t>
            </w:r>
          </w:p>
        </w:tc>
        <w:tc>
          <w:tcPr/>
          <w:p>
            <w:pPr>
              <w:pStyle w:val="Compact"/>
              <w:spacing w:before="0" w:after="0" w:line="240" w:lineRule="auto"/>
              <w:ind w:firstLine="0" w:left="0"/>
            </w:pPr>
            <w:r>
              <w:rPr>
                <w:sz w:val="20"/>
                <w:szCs w:val="20"/>
              </w:rPr>
              <w:t xml:space="preserve">first difference</w:t>
            </w:r>
          </w:p>
        </w:tc>
        <w:tc>
          <w:tcPr/>
          <w:p>
            <w:pPr>
              <w:pStyle w:val="Compact"/>
              <w:spacing w:before="0" w:after="0" w:line="240" w:lineRule="auto"/>
              <w:ind w:firstLine="0" w:left="0"/>
            </w:pPr>
            <w:r>
              <w:rPr>
                <w:sz w:val="20"/>
                <w:szCs w:val="20"/>
              </w:rPr>
              <w:t xml:space="preserve">−12.12</w:t>
            </w:r>
          </w:p>
        </w:tc>
        <w:tc>
          <w:tcPr/>
          <w:p>
            <w:pPr>
              <w:pStyle w:val="Compact"/>
              <w:spacing w:before="0" w:after="0" w:line="240" w:lineRule="auto"/>
              <w:ind w:firstLine="0" w:left="0"/>
            </w:pPr>
            <w:r>
              <w:rPr>
                <w:sz w:val="20"/>
                <w:szCs w:val="20"/>
              </w:rPr>
              <w:t xml:space="preserve">0.000</w:t>
            </w:r>
          </w:p>
        </w:tc>
        <w:tc>
          <w:tcPr/>
          <w:p>
            <w:pPr>
              <w:pStyle w:val="Compact"/>
              <w:spacing w:before="0" w:after="0" w:line="240" w:lineRule="auto"/>
              <w:ind w:firstLine="0" w:left="0"/>
            </w:pPr>
            <w:r>
              <w:rPr>
                <w:sz w:val="20"/>
                <w:szCs w:val="20"/>
              </w:rPr>
              <w:t xml:space="preserve">0</w:t>
            </w:r>
          </w:p>
        </w:tc>
        <w:tc>
          <w:tcPr/>
          <w:p>
            <w:pPr>
              <w:pStyle w:val="Compact"/>
              <w:spacing w:before="0" w:after="0" w:line="240" w:lineRule="auto"/>
              <w:ind w:firstLine="0" w:left="0"/>
            </w:pPr>
            <w:r>
              <w:rPr>
                <w:sz w:val="20"/>
                <w:szCs w:val="20"/>
              </w:rPr>
              <w:t xml:space="preserve">306</w:t>
            </w:r>
          </w:p>
        </w:tc>
      </w:tr>
      <w:tr>
        <w:tc>
          <w:tcPr/>
          <w:p>
            <w:pPr>
              <w:pStyle w:val="Compact"/>
              <w:spacing w:before="0" w:after="0" w:line="240" w:lineRule="auto"/>
              <w:ind w:firstLine="0" w:left="0"/>
            </w:pPr>
            <w:r>
              <w:rPr>
                <w:sz w:val="20"/>
                <w:szCs w:val="20"/>
              </w:rPr>
              <w:t xml:space="preserve">ln CPI b30</w:t>
            </w:r>
          </w:p>
        </w:tc>
        <w:tc>
          <w:tcPr/>
          <w:p>
            <w:pPr>
              <w:pStyle w:val="Compact"/>
              <w:spacing w:before="0" w:after="0" w:line="240" w:lineRule="auto"/>
              <w:ind w:firstLine="0" w:left="0"/>
            </w:pPr>
            <w:r>
              <w:rPr>
                <w:sz w:val="20"/>
                <w:szCs w:val="20"/>
              </w:rPr>
              <w:t xml:space="preserve">level</w:t>
            </w:r>
          </w:p>
        </w:tc>
        <w:tc>
          <w:tcPr/>
          <w:p>
            <w:pPr>
              <w:pStyle w:val="Compact"/>
              <w:spacing w:before="0" w:after="0" w:line="240" w:lineRule="auto"/>
              <w:ind w:firstLine="0" w:left="0"/>
            </w:pPr>
            <w:r>
              <w:rPr>
                <w:sz w:val="20"/>
                <w:szCs w:val="20"/>
              </w:rPr>
              <w:t xml:space="preserve">−1.91</w:t>
            </w:r>
          </w:p>
        </w:tc>
        <w:tc>
          <w:tcPr/>
          <w:p>
            <w:pPr>
              <w:pStyle w:val="Compact"/>
              <w:spacing w:before="0" w:after="0" w:line="240" w:lineRule="auto"/>
              <w:ind w:firstLine="0" w:left="0"/>
            </w:pPr>
            <w:r>
              <w:rPr>
                <w:sz w:val="20"/>
                <w:szCs w:val="20"/>
              </w:rPr>
              <w:t xml:space="preserve">0.649</w:t>
            </w:r>
          </w:p>
        </w:tc>
        <w:tc>
          <w:tcPr/>
          <w:p>
            <w:pPr>
              <w:pStyle w:val="Compact"/>
              <w:spacing w:before="0" w:after="0" w:line="240" w:lineRule="auto"/>
              <w:ind w:firstLine="0" w:left="0"/>
            </w:pPr>
            <w:r>
              <w:rPr>
                <w:sz w:val="20"/>
                <w:szCs w:val="20"/>
              </w:rPr>
              <w:t xml:space="preserve">1</w:t>
            </w:r>
          </w:p>
        </w:tc>
        <w:tc>
          <w:tcPr/>
          <w:p>
            <w:pPr>
              <w:pStyle w:val="Compact"/>
              <w:spacing w:before="0" w:after="0" w:line="240" w:lineRule="auto"/>
              <w:ind w:firstLine="0" w:left="0"/>
            </w:pPr>
            <w:r>
              <w:rPr>
                <w:sz w:val="20"/>
                <w:szCs w:val="20"/>
              </w:rPr>
              <w:t xml:space="preserve">306</w:t>
            </w:r>
          </w:p>
        </w:tc>
      </w:tr>
      <w:tr>
        <w:tc>
          <w:tcPr/>
          <w:p>
            <w:pPr>
              <w:pStyle w:val="Compact"/>
              <w:spacing w:before="0" w:after="0" w:line="240" w:lineRule="auto"/>
              <w:ind w:firstLine="0" w:left="0"/>
            </w:pPr>
            <w:r>
              <w:rPr>
                <w:sz w:val="20"/>
                <w:szCs w:val="20"/>
              </w:rPr>
              <w:t xml:space="preserve">ln CPI b30</w:t>
            </w:r>
          </w:p>
        </w:tc>
        <w:tc>
          <w:tcPr/>
          <w:p>
            <w:pPr>
              <w:pStyle w:val="Compact"/>
              <w:spacing w:before="0" w:after="0" w:line="240" w:lineRule="auto"/>
              <w:ind w:firstLine="0" w:left="0"/>
            </w:pPr>
            <w:r>
              <w:rPr>
                <w:sz w:val="20"/>
                <w:szCs w:val="20"/>
              </w:rPr>
              <w:t xml:space="preserve">first difference</w:t>
            </w:r>
          </w:p>
        </w:tc>
        <w:tc>
          <w:tcPr/>
          <w:p>
            <w:pPr>
              <w:pStyle w:val="Compact"/>
              <w:spacing w:before="0" w:after="0" w:line="240" w:lineRule="auto"/>
              <w:ind w:firstLine="0" w:left="0"/>
            </w:pPr>
            <w:r>
              <w:rPr>
                <w:sz w:val="20"/>
                <w:szCs w:val="20"/>
              </w:rPr>
              <w:t xml:space="preserve">−9.59</w:t>
            </w:r>
          </w:p>
        </w:tc>
        <w:tc>
          <w:tcPr/>
          <w:p>
            <w:pPr>
              <w:pStyle w:val="Compact"/>
              <w:spacing w:before="0" w:after="0" w:line="240" w:lineRule="auto"/>
              <w:ind w:firstLine="0" w:left="0"/>
            </w:pPr>
            <w:r>
              <w:rPr>
                <w:sz w:val="20"/>
                <w:szCs w:val="20"/>
              </w:rPr>
              <w:t xml:space="preserve">0.000</w:t>
            </w:r>
          </w:p>
        </w:tc>
        <w:tc>
          <w:tcPr/>
          <w:p>
            <w:pPr>
              <w:pStyle w:val="Compact"/>
              <w:spacing w:before="0" w:after="0" w:line="240" w:lineRule="auto"/>
              <w:ind w:firstLine="0" w:left="0"/>
            </w:pPr>
            <w:r>
              <w:rPr>
                <w:sz w:val="20"/>
                <w:szCs w:val="20"/>
              </w:rPr>
              <w:t xml:space="preserve">0</w:t>
            </w:r>
          </w:p>
        </w:tc>
        <w:tc>
          <w:tcPr/>
          <w:p>
            <w:pPr>
              <w:pStyle w:val="Compact"/>
              <w:spacing w:before="0" w:after="0" w:line="240" w:lineRule="auto"/>
              <w:ind w:firstLine="0" w:left="0"/>
            </w:pPr>
            <w:r>
              <w:rPr>
                <w:sz w:val="20"/>
                <w:szCs w:val="20"/>
              </w:rPr>
              <w:t xml:space="preserve">306</w:t>
            </w:r>
          </w:p>
        </w:tc>
      </w:tr>
      <w:tr>
        <w:tc>
          <w:tcPr/>
          <w:p>
            <w:pPr>
              <w:pStyle w:val="Compact"/>
              <w:spacing w:before="0" w:after="0" w:line="240" w:lineRule="auto"/>
              <w:ind w:firstLine="0" w:left="0"/>
            </w:pPr>
            <w:r>
              <w:rPr>
                <w:sz w:val="20"/>
                <w:szCs w:val="20"/>
              </w:rPr>
              <w:t xml:space="preserve">ln(CPI all/CPI b30)</w:t>
            </w:r>
          </w:p>
        </w:tc>
        <w:tc>
          <w:tcPr/>
          <w:p>
            <w:pPr>
              <w:pStyle w:val="Compact"/>
              <w:spacing w:before="0" w:after="0" w:line="240" w:lineRule="auto"/>
              <w:ind w:firstLine="0" w:left="0"/>
            </w:pPr>
            <w:r>
              <w:rPr>
                <w:sz w:val="20"/>
                <w:szCs w:val="20"/>
              </w:rPr>
              <w:t xml:space="preserve">level</w:t>
            </w:r>
          </w:p>
        </w:tc>
        <w:tc>
          <w:tcPr/>
          <w:p>
            <w:pPr>
              <w:pStyle w:val="Compact"/>
              <w:spacing w:before="0" w:after="0" w:line="240" w:lineRule="auto"/>
              <w:ind w:firstLine="0" w:left="0"/>
            </w:pPr>
            <w:r>
              <w:rPr>
                <w:sz w:val="20"/>
                <w:szCs w:val="20"/>
              </w:rPr>
              <w:t xml:space="preserve">−1.66</w:t>
            </w:r>
          </w:p>
        </w:tc>
        <w:tc>
          <w:tcPr/>
          <w:p>
            <w:pPr>
              <w:pStyle w:val="Compact"/>
              <w:spacing w:before="0" w:after="0" w:line="240" w:lineRule="auto"/>
              <w:ind w:firstLine="0" w:left="0"/>
            </w:pPr>
            <w:r>
              <w:rPr>
                <w:sz w:val="20"/>
                <w:szCs w:val="20"/>
              </w:rPr>
              <w:t xml:space="preserve">0.770</w:t>
            </w:r>
          </w:p>
        </w:tc>
        <w:tc>
          <w:tcPr/>
          <w:p>
            <w:pPr>
              <w:pStyle w:val="Compact"/>
              <w:spacing w:before="0" w:after="0" w:line="240" w:lineRule="auto"/>
              <w:ind w:firstLine="0" w:left="0"/>
            </w:pPr>
            <w:r>
              <w:rPr>
                <w:sz w:val="20"/>
                <w:szCs w:val="20"/>
              </w:rPr>
              <w:t xml:space="preserve">4</w:t>
            </w:r>
          </w:p>
        </w:tc>
        <w:tc>
          <w:tcPr/>
          <w:p>
            <w:pPr>
              <w:pStyle w:val="Compact"/>
              <w:spacing w:before="0" w:after="0" w:line="240" w:lineRule="auto"/>
              <w:ind w:firstLine="0" w:left="0"/>
            </w:pPr>
            <w:r>
              <w:rPr>
                <w:sz w:val="20"/>
                <w:szCs w:val="20"/>
              </w:rPr>
              <w:t xml:space="preserve">303</w:t>
            </w:r>
          </w:p>
        </w:tc>
      </w:tr>
      <w:tr>
        <w:tc>
          <w:tcPr/>
          <w:p>
            <w:pPr>
              <w:pStyle w:val="Compact"/>
              <w:spacing w:before="0" w:after="0" w:line="240" w:lineRule="auto"/>
              <w:ind w:firstLine="0" w:left="0"/>
            </w:pPr>
            <w:r>
              <w:rPr>
                <w:sz w:val="20"/>
                <w:szCs w:val="20"/>
              </w:rPr>
              <w:t xml:space="preserve">ln(CPI all/CPI b30)</w:t>
            </w:r>
          </w:p>
        </w:tc>
        <w:tc>
          <w:tcPr/>
          <w:p>
            <w:pPr>
              <w:pStyle w:val="Compact"/>
              <w:spacing w:before="0" w:after="0" w:line="240" w:lineRule="auto"/>
              <w:ind w:firstLine="0" w:left="0"/>
            </w:pPr>
            <w:r>
              <w:rPr>
                <w:sz w:val="20"/>
                <w:szCs w:val="20"/>
              </w:rPr>
              <w:t xml:space="preserve">first difference</w:t>
            </w:r>
          </w:p>
        </w:tc>
        <w:tc>
          <w:tcPr/>
          <w:p>
            <w:pPr>
              <w:pStyle w:val="Compact"/>
              <w:spacing w:before="0" w:after="0" w:line="240" w:lineRule="auto"/>
              <w:ind w:firstLine="0" w:left="0"/>
            </w:pPr>
            <w:r>
              <w:rPr>
                <w:sz w:val="20"/>
                <w:szCs w:val="20"/>
              </w:rPr>
              <w:t xml:space="preserve">−9.08</w:t>
            </w:r>
          </w:p>
        </w:tc>
        <w:tc>
          <w:tcPr/>
          <w:p>
            <w:pPr>
              <w:pStyle w:val="Compact"/>
              <w:spacing w:before="0" w:after="0" w:line="240" w:lineRule="auto"/>
              <w:ind w:firstLine="0" w:left="0"/>
            </w:pPr>
            <w:r>
              <w:rPr>
                <w:sz w:val="20"/>
                <w:szCs w:val="20"/>
              </w:rPr>
              <w:t xml:space="preserve">0.000</w:t>
            </w:r>
          </w:p>
        </w:tc>
        <w:tc>
          <w:tcPr/>
          <w:p>
            <w:pPr>
              <w:pStyle w:val="Compact"/>
              <w:spacing w:before="0" w:after="0" w:line="240" w:lineRule="auto"/>
              <w:ind w:firstLine="0" w:left="0"/>
            </w:pPr>
            <w:r>
              <w:rPr>
                <w:sz w:val="20"/>
                <w:szCs w:val="20"/>
              </w:rPr>
              <w:t xml:space="preserve">3</w:t>
            </w:r>
          </w:p>
        </w:tc>
        <w:tc>
          <w:tcPr/>
          <w:p>
            <w:pPr>
              <w:pStyle w:val="Compact"/>
              <w:spacing w:before="0" w:after="0" w:line="240" w:lineRule="auto"/>
              <w:ind w:firstLine="0" w:left="0"/>
            </w:pPr>
            <w:r>
              <w:rPr>
                <w:sz w:val="20"/>
                <w:szCs w:val="20"/>
              </w:rPr>
              <w:t xml:space="preserve">303</w:t>
            </w:r>
          </w:p>
        </w:tc>
      </w:tr>
    </w:tbl>
    <w:p>
      <w:pPr>
        <w:pStyle w:val="BodyText"/>
      </w:pPr>
      <w:r>
        <w:rPr>
          <w:i/>
          <w:iCs/>
        </w:rPr>
        <w:t xml:space="preserve">Discussion.</w:t>
      </w:r>
      <w:r>
        <w:t xml:space="preserve"> </w:t>
      </w:r>
      <w:r>
        <w:t xml:space="preserve">The descriptive record already points against the cross-country finding: the poor’s prices have risen faster than the average over 25 years and in most fuel-shock episodes. But many things change prices at the same time as fuel, such as rice prices, the exchange rate and policy. Whether fuel shocks themselves raise the poor’s prices more is the question for Objective 2.</w:t>
      </w:r>
    </w:p>
    <w:bookmarkEnd w:id="60"/>
    <w:bookmarkEnd w:id="61"/>
    <w:bookmarkStart w:id="65" w:name="rq1-how-much-do-fuel-prices-pass-through"/>
    <w:p>
      <w:pPr>
        <w:pStyle w:val="Heading2"/>
      </w:pPr>
      <w:r>
        <w:t xml:space="preserve">4.2 RQ1: how much do fuel prices pass through?</w:t>
      </w:r>
    </w:p>
    <w:p>
      <w:pPr>
        <w:pStyle w:val="FirstParagraph"/>
      </w:pPr>
      <w:r>
        <w:t xml:space="preserve">A 1% rise in the retail fuel index raises the all-income price level by 0.044 percentage points within the month (standard error 0.006), 0.087 after six months and 0.102 (standard error 0.017) after a year (Table 7, Figure 4). The bottom-30% price level responds by 0.044 within the month, 0.095 after six months and 0.102 after a year. A 10% fuel price rise therefore makes prices about 1.0% higher a year later. H1 is supported; the effect is still building after twelve months.</w:t>
      </w:r>
    </w:p>
    <w:p>
      <w:pPr>
        <w:pStyle w:val="BodyText"/>
      </w:pPr>
      <w:r>
        <w:t xml:space="preserve">The Philippine effect within the month (0.044) equals the reference study’s advanced-economy estimate (0.044) and is more than twice its developing-economy estimate (0.018); the six-month cumulative effect (0.087) is close to the developing-economy total (0.091). Motor fuel is 2.39% of the all-income basket, so the direct effect accounts for about 54% of the effect within the month. For the bottom 30%, whose basket holds only 1.59% motor fuel, it accounts for about 36%: most of what the poor feel comes through the indirect route. With Dubai crude in pesos as the shock, the twelve-month effect is 0.041, about 40% of the retail estimate, confirming that crude prices understate pass-through.</w:t>
      </w:r>
    </w:p>
    <w:p>
      <w:pPr>
        <w:pStyle w:val="CaptionedFigure"/>
      </w:pPr>
      <w:r>
        <w:drawing>
          <wp:inline>
            <wp:extent cx="4391566" cy="2886935"/>
            <wp:effectExtent b="0" l="0" r="0" t="0"/>
            <wp:docPr descr="Figure 4. Cumulative pass-through of a 1% fuel price increase to the price level of each group (90% bands)." title="" id="63" name="Picture"/>
            <a:graphic>
              <a:graphicData uri="http://schemas.openxmlformats.org/drawingml/2006/picture">
                <pic:pic>
                  <pic:nvPicPr>
                    <pic:cNvPr descr="../output/figures/fig04_rq1_passthrough.png" id="64" name="Picture"/>
                    <pic:cNvPicPr>
                      <a:picLocks noChangeArrowheads="1" noChangeAspect="1"/>
                    </pic:cNvPicPr>
                  </pic:nvPicPr>
                  <pic:blipFill>
                    <a:blip r:embed="rId62"/>
                    <a:stretch>
                      <a:fillRect/>
                    </a:stretch>
                  </pic:blipFill>
                  <pic:spPr bwMode="auto">
                    <a:xfrm>
                      <a:off x="0" y="0"/>
                      <a:ext cx="4391566" cy="2886935"/>
                    </a:xfrm>
                    <a:prstGeom prst="rect">
                      <a:avLst/>
                    </a:prstGeom>
                    <a:noFill/>
                    <a:ln w="9525">
                      <a:noFill/>
                      <a:headEnd/>
                      <a:tailEnd/>
                    </a:ln>
                  </pic:spPr>
                </pic:pic>
              </a:graphicData>
            </a:graphic>
          </wp:inline>
        </w:drawing>
      </w:r>
    </w:p>
    <w:p>
      <w:pPr>
        <w:pStyle w:val="ImageCaption"/>
      </w:pPr>
      <w:r>
        <w:t xml:space="preserve">Figure 4. Cumulative pass-through of a 1% fuel price increase to the price level of each group (90% bands).</w:t>
      </w:r>
    </w:p>
    <w:p>
      <w:pPr>
        <w:pStyle w:val="TableCaption"/>
      </w:pPr>
      <w:r>
        <w:t xml:space="preserve">Table 7. Cumulative responses to a 1% fuel price increase</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7. Cumulative responses to a 1% fuel price increase"/>
      </w:tblPr>
      <w:tblGrid>
        <w:gridCol w:w="1584"/>
        <w:gridCol w:w="1584"/>
        <w:gridCol w:w="1584"/>
        <w:gridCol w:w="1584"/>
        <w:gridCol w:w="1584"/>
      </w:tblGrid>
      <w:tr>
        <w:trPr>
          <w:tblHeader w:val="on"/>
        </w:trPr>
        <w:tc>
          <w:tcPr>
            <w:tcBorders>
              <w:bottom w:val="single" w:sz="6" w:space="0" w:color="000000"/>
            </w:tcBorders>
          </w:tcPr>
          <w:p>
            <w:pPr>
              <w:pStyle w:val="Compact"/>
              <w:spacing w:before="0" w:after="0" w:line="240" w:lineRule="auto"/>
              <w:ind w:firstLine="0" w:left="0"/>
            </w:pPr>
            <w:r>
              <w:rPr>
                <w:sz w:val="20"/>
                <w:szCs w:val="20"/>
              </w:rPr>
              <w:t xml:space="preserve">Horizon (months)</w:t>
            </w:r>
          </w:p>
        </w:tc>
        <w:tc>
          <w:tcPr>
            <w:tcBorders>
              <w:bottom w:val="single" w:sz="6" w:space="0" w:color="000000"/>
            </w:tcBorders>
          </w:tcPr>
          <w:p>
            <w:pPr>
              <w:pStyle w:val="Compact"/>
              <w:spacing w:before="0" w:after="0" w:line="240" w:lineRule="auto"/>
              <w:ind w:firstLine="0" w:left="0"/>
            </w:pPr>
            <w:r>
              <w:rPr>
                <w:sz w:val="20"/>
                <w:szCs w:val="20"/>
              </w:rPr>
              <w:t xml:space="preserve">CPI, all income</w:t>
            </w:r>
          </w:p>
        </w:tc>
        <w:tc>
          <w:tcPr>
            <w:tcBorders>
              <w:bottom w:val="single" w:sz="6" w:space="0" w:color="000000"/>
            </w:tcBorders>
          </w:tcPr>
          <w:p>
            <w:pPr>
              <w:pStyle w:val="Compact"/>
              <w:spacing w:before="0" w:after="0" w:line="240" w:lineRule="auto"/>
              <w:ind w:firstLine="0" w:left="0"/>
            </w:pPr>
            <w:r>
              <w:rPr>
                <w:sz w:val="20"/>
                <w:szCs w:val="20"/>
              </w:rPr>
              <w:t xml:space="preserve">CPI, bottom 30%</w:t>
            </w:r>
          </w:p>
        </w:tc>
        <w:tc>
          <w:tcPr>
            <w:tcBorders>
              <w:bottom w:val="single" w:sz="6" w:space="0" w:color="000000"/>
            </w:tcBorders>
          </w:tcPr>
          <w:p>
            <w:pPr>
              <w:pStyle w:val="Compact"/>
              <w:spacing w:before="0" w:after="0" w:line="240" w:lineRule="auto"/>
              <w:ind w:firstLine="0" w:left="0"/>
            </w:pPr>
            <w:r>
              <w:rPr>
                <w:sz w:val="20"/>
                <w:szCs w:val="20"/>
              </w:rPr>
              <w:t xml:space="preserve">Gap, national</w:t>
            </w:r>
          </w:p>
        </w:tc>
        <w:tc>
          <w:tcPr>
            <w:tcBorders>
              <w:bottom w:val="single" w:sz="6" w:space="0" w:color="000000"/>
            </w:tcBorders>
          </w:tcPr>
          <w:p>
            <w:pPr>
              <w:pStyle w:val="Compact"/>
              <w:spacing w:before="0" w:after="0" w:line="240" w:lineRule="auto"/>
              <w:ind w:firstLine="0" w:left="0"/>
            </w:pPr>
            <w:r>
              <w:rPr>
                <w:sz w:val="20"/>
                <w:szCs w:val="20"/>
              </w:rPr>
              <w:t xml:space="preserve">Gap, 17-region panel</w:t>
            </w:r>
          </w:p>
        </w:tc>
      </w:tr>
      <w:tr>
        <w:tc>
          <w:tcPr/>
          <w:p>
            <w:pPr>
              <w:pStyle w:val="Compact"/>
              <w:spacing w:before="0" w:after="0" w:line="240" w:lineRule="auto"/>
              <w:ind w:firstLine="0" w:left="0"/>
            </w:pPr>
            <w:r>
              <w:rPr>
                <w:sz w:val="20"/>
                <w:szCs w:val="20"/>
              </w:rPr>
              <w:t xml:space="preserve">0</w:t>
            </w:r>
          </w:p>
        </w:tc>
        <w:tc>
          <w:tcPr/>
          <w:p>
            <w:pPr>
              <w:pStyle w:val="Compact"/>
              <w:spacing w:before="0" w:after="0" w:line="240" w:lineRule="auto"/>
              <w:ind w:firstLine="0" w:left="0"/>
            </w:pPr>
            <w:r>
              <w:rPr>
                <w:sz w:val="20"/>
                <w:szCs w:val="20"/>
              </w:rPr>
              <w:t xml:space="preserve">0.044*** (0.006)</w:t>
            </w:r>
          </w:p>
        </w:tc>
        <w:tc>
          <w:tcPr/>
          <w:p>
            <w:pPr>
              <w:pStyle w:val="Compact"/>
              <w:spacing w:before="0" w:after="0" w:line="240" w:lineRule="auto"/>
              <w:ind w:firstLine="0" w:left="0"/>
            </w:pPr>
            <w:r>
              <w:rPr>
                <w:sz w:val="20"/>
                <w:szCs w:val="20"/>
              </w:rPr>
              <w:t xml:space="preserve">0.044*** (0.009)</w:t>
            </w:r>
          </w:p>
        </w:tc>
        <w:tc>
          <w:tcPr/>
          <w:p>
            <w:pPr>
              <w:pStyle w:val="Compact"/>
              <w:spacing w:before="0" w:after="0" w:line="240" w:lineRule="auto"/>
              <w:ind w:firstLine="0" w:left="0"/>
            </w:pPr>
            <w:r>
              <w:rPr>
                <w:sz w:val="20"/>
                <w:szCs w:val="20"/>
              </w:rPr>
              <w:t xml:space="preserve">−0.0000 (0.0040)</w:t>
            </w:r>
          </w:p>
        </w:tc>
        <w:tc>
          <w:tcPr/>
          <w:p>
            <w:pPr>
              <w:pStyle w:val="Compact"/>
              <w:spacing w:before="0" w:after="0" w:line="240" w:lineRule="auto"/>
              <w:ind w:firstLine="0" w:left="0"/>
            </w:pPr>
            <w:r>
              <w:rPr>
                <w:sz w:val="20"/>
                <w:szCs w:val="20"/>
              </w:rPr>
              <w:t xml:space="preserve">−0.0006 (0.0032)</w:t>
            </w:r>
          </w:p>
        </w:tc>
      </w:tr>
      <w:tr>
        <w:tc>
          <w:tcPr/>
          <w:p>
            <w:pPr>
              <w:pStyle w:val="Compact"/>
              <w:spacing w:before="0" w:after="0" w:line="240" w:lineRule="auto"/>
              <w:ind w:firstLine="0" w:left="0"/>
            </w:pPr>
            <w:r>
              <w:rPr>
                <w:sz w:val="20"/>
                <w:szCs w:val="20"/>
              </w:rPr>
              <w:t xml:space="preserve">3</w:t>
            </w:r>
          </w:p>
        </w:tc>
        <w:tc>
          <w:tcPr/>
          <w:p>
            <w:pPr>
              <w:pStyle w:val="Compact"/>
              <w:spacing w:before="0" w:after="0" w:line="240" w:lineRule="auto"/>
              <w:ind w:firstLine="0" w:left="0"/>
            </w:pPr>
            <w:r>
              <w:rPr>
                <w:sz w:val="20"/>
                <w:szCs w:val="20"/>
              </w:rPr>
              <w:t xml:space="preserve">0.077*** (0.015)</w:t>
            </w:r>
          </w:p>
        </w:tc>
        <w:tc>
          <w:tcPr/>
          <w:p>
            <w:pPr>
              <w:pStyle w:val="Compact"/>
              <w:spacing w:before="0" w:after="0" w:line="240" w:lineRule="auto"/>
              <w:ind w:firstLine="0" w:left="0"/>
            </w:pPr>
            <w:r>
              <w:rPr>
                <w:sz w:val="20"/>
                <w:szCs w:val="20"/>
              </w:rPr>
              <w:t xml:space="preserve">0.097*** (0.026)</w:t>
            </w:r>
          </w:p>
        </w:tc>
        <w:tc>
          <w:tcPr/>
          <w:p>
            <w:pPr>
              <w:pStyle w:val="Compact"/>
              <w:spacing w:before="0" w:after="0" w:line="240" w:lineRule="auto"/>
              <w:ind w:firstLine="0" w:left="0"/>
            </w:pPr>
            <w:r>
              <w:rPr>
                <w:sz w:val="20"/>
                <w:szCs w:val="20"/>
              </w:rPr>
              <w:t xml:space="preserve">−0.0185* (0.0110)</w:t>
            </w:r>
          </w:p>
        </w:tc>
        <w:tc>
          <w:tcPr/>
          <w:p>
            <w:pPr>
              <w:pStyle w:val="Compact"/>
              <w:spacing w:before="0" w:after="0" w:line="240" w:lineRule="auto"/>
              <w:ind w:firstLine="0" w:left="0"/>
            </w:pPr>
            <w:r>
              <w:rPr>
                <w:sz w:val="20"/>
                <w:szCs w:val="20"/>
              </w:rPr>
              <w:t xml:space="preserve">−0.0149** (0.0075)</w:t>
            </w:r>
          </w:p>
        </w:tc>
      </w:tr>
      <w:tr>
        <w:tc>
          <w:tcPr/>
          <w:p>
            <w:pPr>
              <w:pStyle w:val="Compact"/>
              <w:spacing w:before="0" w:after="0" w:line="240" w:lineRule="auto"/>
              <w:ind w:firstLine="0" w:left="0"/>
            </w:pPr>
            <w:r>
              <w:rPr>
                <w:sz w:val="20"/>
                <w:szCs w:val="20"/>
              </w:rPr>
              <w:t xml:space="preserve">6</w:t>
            </w:r>
          </w:p>
        </w:tc>
        <w:tc>
          <w:tcPr/>
          <w:p>
            <w:pPr>
              <w:pStyle w:val="Compact"/>
              <w:spacing w:before="0" w:after="0" w:line="240" w:lineRule="auto"/>
              <w:ind w:firstLine="0" w:left="0"/>
            </w:pPr>
            <w:r>
              <w:rPr>
                <w:sz w:val="20"/>
                <w:szCs w:val="20"/>
              </w:rPr>
              <w:t xml:space="preserve">0.087*** (0.015)</w:t>
            </w:r>
          </w:p>
        </w:tc>
        <w:tc>
          <w:tcPr/>
          <w:p>
            <w:pPr>
              <w:pStyle w:val="Compact"/>
              <w:spacing w:before="0" w:after="0" w:line="240" w:lineRule="auto"/>
              <w:ind w:firstLine="0" w:left="0"/>
            </w:pPr>
            <w:r>
              <w:rPr>
                <w:sz w:val="20"/>
                <w:szCs w:val="20"/>
              </w:rPr>
              <w:t xml:space="preserve">0.095*** (0.023)</w:t>
            </w:r>
          </w:p>
        </w:tc>
        <w:tc>
          <w:tcPr/>
          <w:p>
            <w:pPr>
              <w:pStyle w:val="Compact"/>
              <w:spacing w:before="0" w:after="0" w:line="240" w:lineRule="auto"/>
              <w:ind w:firstLine="0" w:left="0"/>
            </w:pPr>
            <w:r>
              <w:rPr>
                <w:sz w:val="20"/>
                <w:szCs w:val="20"/>
              </w:rPr>
              <w:t xml:space="preserve">−0.0155 (0.0103)</w:t>
            </w:r>
          </w:p>
        </w:tc>
        <w:tc>
          <w:tcPr/>
          <w:p>
            <w:pPr>
              <w:pStyle w:val="Compact"/>
              <w:spacing w:before="0" w:after="0" w:line="240" w:lineRule="auto"/>
              <w:ind w:firstLine="0" w:left="0"/>
            </w:pPr>
            <w:r>
              <w:rPr>
                <w:sz w:val="20"/>
                <w:szCs w:val="20"/>
              </w:rPr>
              <w:t xml:space="preserve">−0.0214** (0.0084)</w:t>
            </w:r>
          </w:p>
        </w:tc>
      </w:tr>
      <w:tr>
        <w:tc>
          <w:tcPr/>
          <w:p>
            <w:pPr>
              <w:pStyle w:val="Compact"/>
              <w:spacing w:before="0" w:after="0" w:line="240" w:lineRule="auto"/>
              <w:ind w:firstLine="0" w:left="0"/>
            </w:pPr>
            <w:r>
              <w:rPr>
                <w:sz w:val="20"/>
                <w:szCs w:val="20"/>
              </w:rPr>
              <w:t xml:space="preserve">9</w:t>
            </w:r>
          </w:p>
        </w:tc>
        <w:tc>
          <w:tcPr/>
          <w:p>
            <w:pPr>
              <w:pStyle w:val="Compact"/>
              <w:spacing w:before="0" w:after="0" w:line="240" w:lineRule="auto"/>
              <w:ind w:firstLine="0" w:left="0"/>
            </w:pPr>
            <w:r>
              <w:rPr>
                <w:sz w:val="20"/>
                <w:szCs w:val="20"/>
              </w:rPr>
              <w:t xml:space="preserve">0.093*** (0.018)</w:t>
            </w:r>
          </w:p>
        </w:tc>
        <w:tc>
          <w:tcPr/>
          <w:p>
            <w:pPr>
              <w:pStyle w:val="Compact"/>
              <w:spacing w:before="0" w:after="0" w:line="240" w:lineRule="auto"/>
              <w:ind w:firstLine="0" w:left="0"/>
            </w:pPr>
            <w:r>
              <w:rPr>
                <w:sz w:val="20"/>
                <w:szCs w:val="20"/>
              </w:rPr>
              <w:t xml:space="preserve">0.103*** (0.026)</w:t>
            </w:r>
          </w:p>
        </w:tc>
        <w:tc>
          <w:tcPr/>
          <w:p>
            <w:pPr>
              <w:pStyle w:val="Compact"/>
              <w:spacing w:before="0" w:after="0" w:line="240" w:lineRule="auto"/>
              <w:ind w:firstLine="0" w:left="0"/>
            </w:pPr>
            <w:r>
              <w:rPr>
                <w:sz w:val="20"/>
                <w:szCs w:val="20"/>
              </w:rPr>
              <w:t xml:space="preserve">−0.0137 (0.0101)</w:t>
            </w:r>
          </w:p>
        </w:tc>
        <w:tc>
          <w:tcPr/>
          <w:p>
            <w:pPr>
              <w:pStyle w:val="Compact"/>
              <w:spacing w:before="0" w:after="0" w:line="240" w:lineRule="auto"/>
              <w:ind w:firstLine="0" w:left="0"/>
            </w:pPr>
            <w:r>
              <w:rPr>
                <w:sz w:val="20"/>
                <w:szCs w:val="20"/>
              </w:rPr>
              <w:t xml:space="preserve">−0.0187** (0.0086)</w:t>
            </w:r>
          </w:p>
        </w:tc>
      </w:tr>
      <w:tr>
        <w:tc>
          <w:tcPr/>
          <w:p>
            <w:pPr>
              <w:pStyle w:val="Compact"/>
              <w:spacing w:before="0" w:after="0" w:line="240" w:lineRule="auto"/>
              <w:ind w:firstLine="0" w:left="0"/>
            </w:pPr>
            <w:r>
              <w:rPr>
                <w:sz w:val="20"/>
                <w:szCs w:val="20"/>
              </w:rPr>
              <w:t xml:space="preserve">12</w:t>
            </w:r>
          </w:p>
        </w:tc>
        <w:tc>
          <w:tcPr/>
          <w:p>
            <w:pPr>
              <w:pStyle w:val="Compact"/>
              <w:spacing w:before="0" w:after="0" w:line="240" w:lineRule="auto"/>
              <w:ind w:firstLine="0" w:left="0"/>
            </w:pPr>
            <w:r>
              <w:rPr>
                <w:sz w:val="20"/>
                <w:szCs w:val="20"/>
              </w:rPr>
              <w:t xml:space="preserve">0.102*** (0.017)</w:t>
            </w:r>
          </w:p>
        </w:tc>
        <w:tc>
          <w:tcPr/>
          <w:p>
            <w:pPr>
              <w:pStyle w:val="Compact"/>
              <w:spacing w:before="0" w:after="0" w:line="240" w:lineRule="auto"/>
              <w:ind w:firstLine="0" w:left="0"/>
            </w:pPr>
            <w:r>
              <w:rPr>
                <w:sz w:val="20"/>
                <w:szCs w:val="20"/>
              </w:rPr>
              <w:t xml:space="preserve">0.102*** (0.026)</w:t>
            </w:r>
          </w:p>
        </w:tc>
        <w:tc>
          <w:tcPr/>
          <w:p>
            <w:pPr>
              <w:pStyle w:val="Compact"/>
              <w:spacing w:before="0" w:after="0" w:line="240" w:lineRule="auto"/>
              <w:ind w:firstLine="0" w:left="0"/>
            </w:pPr>
            <w:r>
              <w:rPr>
                <w:sz w:val="20"/>
                <w:szCs w:val="20"/>
              </w:rPr>
              <w:t xml:space="preserve">−0.0097 (0.0113)</w:t>
            </w:r>
          </w:p>
        </w:tc>
        <w:tc>
          <w:tcPr/>
          <w:p>
            <w:pPr>
              <w:pStyle w:val="Compact"/>
              <w:spacing w:before="0" w:after="0" w:line="240" w:lineRule="auto"/>
              <w:ind w:firstLine="0" w:left="0"/>
            </w:pPr>
            <w:r>
              <w:rPr>
                <w:sz w:val="20"/>
                <w:szCs w:val="20"/>
              </w:rPr>
              <w:t xml:space="preserve">−0.0173** (0.0085)</w:t>
            </w:r>
          </w:p>
        </w:tc>
      </w:tr>
    </w:tbl>
    <w:p>
      <w:pPr>
        <w:pStyle w:val="TableNote"/>
      </w:pPr>
      <w:r>
        <w:rPr>
          <w:i/>
          <w:iCs/>
        </w:rPr>
        <w:t xml:space="preserve">Notes:</w:t>
      </w:r>
      <w:r>
        <w:t xml:space="preserve"> </w:t>
      </w:r>
      <w:r>
        <w:t xml:space="preserve">Cumulative response (percentage points) of 100 × ln of each index. Gap = 100 × ln(CPI all/CPI bottom 30%); negative values mean bottom-30% prices rise more. National: Newey–West standard errors; panel: region fixed effects and Driscoll–Kraay standard errors. Standard errors in parentheses. *</w:t>
      </w:r>
      <w:r>
        <w:t xml:space="preserve"> </w:t>
      </w:r>
      <w:r>
        <w:rPr>
          <w:i/>
          <w:iCs/>
        </w:rPr>
        <w:t xml:space="preserve">p</w:t>
      </w:r>
      <w:r>
        <w:t xml:space="preserve"> </w:t>
      </w:r>
      <w:r>
        <w:t xml:space="preserve">&lt; 0.10, **</w:t>
      </w:r>
      <w:r>
        <w:t xml:space="preserve"> </w:t>
      </w:r>
      <w:r>
        <w:rPr>
          <w:i/>
          <w:iCs/>
        </w:rPr>
        <w:t xml:space="preserve">p</w:t>
      </w:r>
      <w:r>
        <w:t xml:space="preserve"> </w:t>
      </w:r>
      <w:r>
        <w:t xml:space="preserve">&lt; 0.05, ***</w:t>
      </w:r>
      <w:r>
        <w:t xml:space="preserve"> </w:t>
      </w:r>
      <w:r>
        <w:rPr>
          <w:i/>
          <w:iCs/>
        </w:rPr>
        <w:t xml:space="preserve">p</w:t>
      </w:r>
      <w:r>
        <w:t xml:space="preserve"> </w:t>
      </w:r>
      <w:r>
        <w:t xml:space="preserve">&lt; 0.01.</w:t>
      </w:r>
    </w:p>
    <w:bookmarkEnd w:id="65"/>
    <w:bookmarkStart w:id="71" w:name="rq2-do-the-poor-pay-more"/>
    <w:p>
      <w:pPr>
        <w:pStyle w:val="Heading2"/>
      </w:pPr>
      <w:r>
        <w:t xml:space="preserve">4.3 RQ2: do the poor pay more?</w:t>
      </w:r>
    </w:p>
    <w:bookmarkStart w:id="69" w:name="the-gap"/>
    <w:p>
      <w:pPr>
        <w:pStyle w:val="Heading3"/>
      </w:pPr>
      <w:r>
        <w:t xml:space="preserve">4.3.1 The gap</w:t>
      </w:r>
    </w:p>
    <w:p>
      <w:pPr>
        <w:pStyle w:val="FirstParagraph"/>
      </w:pPr>
      <w:r>
        <w:t xml:space="preserve">The cumulative response of the gap is negative at every horizon after the first month (Table 7, Figure 5). Nationally it is −0.0185 after three months, −0.0155 (standard error 0.0103) after six and −0.0097 after twelve, significant at the 10% level at horizons 3, 4, 7, 8. In the regional panel, which uses each region’s own fuel prices and has far more observations, it is −0.0214 (standard error 0.0084) after six months and −0.0173 (standard error 0.0085) after twelve, both significant. H2a (progressive) is rejected; H2b (regressive) is supported in the panel and in sign nationally. In size, a 10% fuel price rise raises the bottom-30% price level about 0.2 percentage points more than the all-income level after six months, against a total rise of about 0.9%.</w:t>
      </w:r>
    </w:p>
    <w:p>
      <w:pPr>
        <w:pStyle w:val="CaptionedFigure"/>
      </w:pPr>
      <w:r>
        <w:drawing>
          <wp:inline>
            <wp:extent cx="5646420" cy="2397613"/>
            <wp:effectExtent b="0" l="0" r="0" t="0"/>
            <wp:docPr descr="Figure 5. Cumulative response of the gap 100 × ln(CPI all/CPI bottom 30%) to a 1% fuel price increase: (a) national; (b) 17-region panel (90% bands). Negative values mean the poor’s prices rise more." title="" id="67" name="Picture"/>
            <a:graphic>
              <a:graphicData uri="http://schemas.openxmlformats.org/drawingml/2006/picture">
                <pic:pic>
                  <pic:nvPicPr>
                    <pic:cNvPr descr="../output/figures/fig05_rq2_gap.png" id="68" name="Picture"/>
                    <pic:cNvPicPr>
                      <a:picLocks noChangeArrowheads="1" noChangeAspect="1"/>
                    </pic:cNvPicPr>
                  </pic:nvPicPr>
                  <pic:blipFill>
                    <a:blip r:embed="rId66"/>
                    <a:stretch>
                      <a:fillRect/>
                    </a:stretch>
                  </pic:blipFill>
                  <pic:spPr bwMode="auto">
                    <a:xfrm>
                      <a:off x="0" y="0"/>
                      <a:ext cx="5646420" cy="2397613"/>
                    </a:xfrm>
                    <a:prstGeom prst="rect">
                      <a:avLst/>
                    </a:prstGeom>
                    <a:noFill/>
                    <a:ln w="9525">
                      <a:noFill/>
                      <a:headEnd/>
                      <a:tailEnd/>
                    </a:ln>
                  </pic:spPr>
                </pic:pic>
              </a:graphicData>
            </a:graphic>
          </wp:inline>
        </w:drawing>
      </w:r>
    </w:p>
    <w:p>
      <w:pPr>
        <w:pStyle w:val="ImageCaption"/>
      </w:pPr>
      <w:r>
        <w:t xml:space="preserve">Figure 5. Cumulative response of the gap 100 × ln(CPI all/CPI bottom 30%) to a 1% fuel price increase: (a) national; (b) 17-region panel (90% bands). Negative values mean the poor’s prices rise more.</w:t>
      </w:r>
    </w:p>
    <w:bookmarkEnd w:id="69"/>
    <w:bookmarkStart w:id="70" w:name="why-the-poor-pay-more"/>
    <w:p>
      <w:pPr>
        <w:pStyle w:val="Heading3"/>
      </w:pPr>
      <w:r>
        <w:t xml:space="preserve">4.3.2 Why the poor pay more</w:t>
      </w:r>
    </w:p>
    <w:p>
      <w:pPr>
        <w:pStyle w:val="FirstParagraph"/>
      </w:pPr>
      <w:r>
        <w:t xml:space="preserve">The budget shares alone cannot explain the regressive gap. The bottom-30% basket gives food 54.9% against 37.7%, but transport only 6.1% against 9.0%, and transport is the division whose prices respond most (0.370 after a year, against 0.158 for housing, water, electricity and gas and 0.072 for food; Table B1 in Appendix B). If both groups faced the same price change within each division, the gap after a year would be</w:t>
      </w:r>
      <w:r>
        <w:t xml:space="preserve"> </w:t>
      </w:r>
      <w:r>
        <w:rPr>
          <w:i/>
          <w:iCs/>
        </w:rPr>
        <w:t xml:space="preserve">progressive</w:t>
      </w:r>
      <w:r>
        <w:t xml:space="preserve"> </w:t>
      </w:r>
      <w:r>
        <w:t xml:space="preserve">(+0.0101): the cross-country result. Since the estimated gap is regressive, the poor must face larger price increases</w:t>
      </w:r>
      <w:r>
        <w:t xml:space="preserve"> </w:t>
      </w:r>
      <w:r>
        <w:rPr>
          <w:i/>
          <w:iCs/>
        </w:rPr>
        <w:t xml:space="preserve">within</w:t>
      </w:r>
      <w:r>
        <w:t xml:space="preserve"> </w:t>
      </w:r>
      <w:r>
        <w:t xml:space="preserve">divisions, the second term of equation (5).</w:t>
      </w:r>
    </w:p>
    <w:p>
      <w:pPr>
        <w:pStyle w:val="BodyText"/>
      </w:pPr>
      <w:r>
        <w:t xml:space="preserve">The bottom-30% division indices, available from 2013, confirm this (Table 8). The poor’s housing and utilities index rises 0.182 per 1% fuel price rise against 0.142 for all households, and their food index 0.067 against 0.055; their transport index rises less (0.196 against 0.300), because it consists mainly of fares rather than fuel.</w:t>
      </w:r>
    </w:p>
    <w:p>
      <w:pPr>
        <w:pStyle w:val="TableCaption"/>
      </w:pPr>
      <w:r>
        <w:t xml:space="preserve">Table 8. Response after 12 months of the same divisions in the two baskets, 2013–2026</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8. Response after 12 months of the same divisions in the two baskets, 2013–2026"/>
      </w:tblPr>
      <w:tblGrid>
        <w:gridCol w:w="2640"/>
        <w:gridCol w:w="2640"/>
        <w:gridCol w:w="2640"/>
      </w:tblGrid>
      <w:tr>
        <w:trPr>
          <w:tblHeader w:val="on"/>
        </w:trPr>
        <w:tc>
          <w:tcPr>
            <w:tcBorders>
              <w:bottom w:val="single" w:sz="6" w:space="0" w:color="000000"/>
            </w:tcBorders>
          </w:tcPr>
          <w:p>
            <w:pPr>
              <w:pStyle w:val="Compact"/>
              <w:spacing w:before="0" w:after="0" w:line="240" w:lineRule="auto"/>
              <w:ind w:firstLine="0" w:left="0"/>
            </w:pPr>
            <w:r>
              <w:rPr>
                <w:sz w:val="20"/>
                <w:szCs w:val="20"/>
              </w:rPr>
              <w:t xml:space="preserve">Division</w:t>
            </w:r>
          </w:p>
        </w:tc>
        <w:tc>
          <w:tcPr>
            <w:tcBorders>
              <w:bottom w:val="single" w:sz="6" w:space="0" w:color="000000"/>
            </w:tcBorders>
          </w:tcPr>
          <w:p>
            <w:pPr>
              <w:pStyle w:val="Compact"/>
              <w:spacing w:before="0" w:after="0" w:line="240" w:lineRule="auto"/>
              <w:ind w:firstLine="0" w:left="0"/>
            </w:pPr>
            <w:r>
              <w:rPr>
                <w:sz w:val="20"/>
                <w:szCs w:val="20"/>
              </w:rPr>
              <w:t xml:space="preserve">All-income index</w:t>
            </w:r>
          </w:p>
        </w:tc>
        <w:tc>
          <w:tcPr>
            <w:tcBorders>
              <w:bottom w:val="single" w:sz="6" w:space="0" w:color="000000"/>
            </w:tcBorders>
          </w:tcPr>
          <w:p>
            <w:pPr>
              <w:pStyle w:val="Compact"/>
              <w:spacing w:before="0" w:after="0" w:line="240" w:lineRule="auto"/>
              <w:ind w:firstLine="0" w:left="0"/>
            </w:pPr>
            <w:r>
              <w:rPr>
                <w:sz w:val="20"/>
                <w:szCs w:val="20"/>
              </w:rPr>
              <w:t xml:space="preserve">Bottom-30% index</w:t>
            </w:r>
          </w:p>
        </w:tc>
      </w:tr>
      <w:tr>
        <w:tc>
          <w:tcPr/>
          <w:p>
            <w:pPr>
              <w:pStyle w:val="Compact"/>
              <w:spacing w:before="0" w:after="0" w:line="240" w:lineRule="auto"/>
              <w:ind w:firstLine="0" w:left="0"/>
            </w:pPr>
            <w:r>
              <w:rPr>
                <w:sz w:val="20"/>
                <w:szCs w:val="20"/>
              </w:rPr>
              <w:t xml:space="preserve">01 Food and non-alcoholic beverages</w:t>
            </w:r>
          </w:p>
        </w:tc>
        <w:tc>
          <w:tcPr/>
          <w:p>
            <w:pPr>
              <w:pStyle w:val="Compact"/>
              <w:spacing w:before="0" w:after="0" w:line="240" w:lineRule="auto"/>
              <w:ind w:firstLine="0" w:left="0"/>
            </w:pPr>
            <w:r>
              <w:rPr>
                <w:sz w:val="20"/>
                <w:szCs w:val="20"/>
              </w:rPr>
              <w:t xml:space="preserve">0.055* (0.033)</w:t>
            </w:r>
          </w:p>
        </w:tc>
        <w:tc>
          <w:tcPr/>
          <w:p>
            <w:pPr>
              <w:pStyle w:val="Compact"/>
              <w:spacing w:before="0" w:after="0" w:line="240" w:lineRule="auto"/>
              <w:ind w:firstLine="0" w:left="0"/>
            </w:pPr>
            <w:r>
              <w:rPr>
                <w:sz w:val="20"/>
                <w:szCs w:val="20"/>
              </w:rPr>
              <w:t xml:space="preserve">0.067* (0.037)</w:t>
            </w:r>
          </w:p>
        </w:tc>
      </w:tr>
      <w:tr>
        <w:tc>
          <w:tcPr/>
          <w:p>
            <w:pPr>
              <w:pStyle w:val="Compact"/>
              <w:spacing w:before="0" w:after="0" w:line="240" w:lineRule="auto"/>
              <w:ind w:firstLine="0" w:left="0"/>
            </w:pPr>
            <w:r>
              <w:rPr>
                <w:sz w:val="20"/>
                <w:szCs w:val="20"/>
              </w:rPr>
              <w:t xml:space="preserve">04 Housing, water, electricity, gas</w:t>
            </w:r>
          </w:p>
        </w:tc>
        <w:tc>
          <w:tcPr/>
          <w:p>
            <w:pPr>
              <w:pStyle w:val="Compact"/>
              <w:spacing w:before="0" w:after="0" w:line="240" w:lineRule="auto"/>
              <w:ind w:firstLine="0" w:left="0"/>
            </w:pPr>
            <w:r>
              <w:rPr>
                <w:sz w:val="20"/>
                <w:szCs w:val="20"/>
              </w:rPr>
              <w:t xml:space="preserve">0.142*** (0.017)</w:t>
            </w:r>
          </w:p>
        </w:tc>
        <w:tc>
          <w:tcPr/>
          <w:p>
            <w:pPr>
              <w:pStyle w:val="Compact"/>
              <w:spacing w:before="0" w:after="0" w:line="240" w:lineRule="auto"/>
              <w:ind w:firstLine="0" w:left="0"/>
            </w:pPr>
            <w:r>
              <w:rPr>
                <w:sz w:val="20"/>
                <w:szCs w:val="20"/>
              </w:rPr>
              <w:t xml:space="preserve">0.182*** (0.038)</w:t>
            </w:r>
          </w:p>
        </w:tc>
      </w:tr>
      <w:tr>
        <w:tc>
          <w:tcPr/>
          <w:p>
            <w:pPr>
              <w:pStyle w:val="Compact"/>
              <w:spacing w:before="0" w:after="0" w:line="240" w:lineRule="auto"/>
              <w:ind w:firstLine="0" w:left="0"/>
            </w:pPr>
            <w:r>
              <w:rPr>
                <w:sz w:val="20"/>
                <w:szCs w:val="20"/>
              </w:rPr>
              <w:t xml:space="preserve">07 Transport</w:t>
            </w:r>
          </w:p>
        </w:tc>
        <w:tc>
          <w:tcPr/>
          <w:p>
            <w:pPr>
              <w:pStyle w:val="Compact"/>
              <w:spacing w:before="0" w:after="0" w:line="240" w:lineRule="auto"/>
              <w:ind w:firstLine="0" w:left="0"/>
            </w:pPr>
            <w:r>
              <w:rPr>
                <w:sz w:val="20"/>
                <w:szCs w:val="20"/>
              </w:rPr>
              <w:t xml:space="preserve">0.300*** (0.051)</w:t>
            </w:r>
          </w:p>
        </w:tc>
        <w:tc>
          <w:tcPr/>
          <w:p>
            <w:pPr>
              <w:pStyle w:val="Compact"/>
              <w:spacing w:before="0" w:after="0" w:line="240" w:lineRule="auto"/>
              <w:ind w:firstLine="0" w:left="0"/>
            </w:pPr>
            <w:r>
              <w:rPr>
                <w:sz w:val="20"/>
                <w:szCs w:val="20"/>
              </w:rPr>
              <w:t xml:space="preserve">0.196** (0.078)</w:t>
            </w:r>
          </w:p>
        </w:tc>
      </w:tr>
      <w:tr>
        <w:tc>
          <w:tcPr/>
          <w:p>
            <w:pPr>
              <w:pStyle w:val="Compact"/>
              <w:spacing w:before="0" w:after="0" w:line="240" w:lineRule="auto"/>
              <w:ind w:firstLine="0" w:left="0"/>
            </w:pPr>
            <w:r>
              <w:rPr>
                <w:sz w:val="20"/>
                <w:szCs w:val="20"/>
              </w:rPr>
              <w:t xml:space="preserve">11 Restaurants and accommodation</w:t>
            </w:r>
          </w:p>
        </w:tc>
        <w:tc>
          <w:tcPr/>
          <w:p>
            <w:pPr>
              <w:pStyle w:val="Compact"/>
              <w:spacing w:before="0" w:after="0" w:line="240" w:lineRule="auto"/>
              <w:ind w:firstLine="0" w:left="0"/>
            </w:pPr>
            <w:r>
              <w:rPr>
                <w:sz w:val="20"/>
                <w:szCs w:val="20"/>
              </w:rPr>
              <w:t xml:space="preserve">0.044*** (0.016)</w:t>
            </w:r>
          </w:p>
        </w:tc>
        <w:tc>
          <w:tcPr/>
          <w:p>
            <w:pPr>
              <w:pStyle w:val="Compact"/>
              <w:spacing w:before="0" w:after="0" w:line="240" w:lineRule="auto"/>
              <w:ind w:firstLine="0" w:left="0"/>
            </w:pPr>
            <w:r>
              <w:rPr>
                <w:sz w:val="20"/>
                <w:szCs w:val="20"/>
              </w:rPr>
              <w:t xml:space="preserve">0.040* (0.021)</w:t>
            </w:r>
          </w:p>
        </w:tc>
      </w:tr>
    </w:tbl>
    <w:p>
      <w:pPr>
        <w:pStyle w:val="TableNote"/>
      </w:pPr>
      <w:r>
        <w:rPr>
          <w:i/>
          <w:iCs/>
        </w:rPr>
        <w:t xml:space="preserve">Notes:</w:t>
      </w:r>
      <w:r>
        <w:t xml:space="preserve"> </w:t>
      </w:r>
      <w:r>
        <w:t xml:space="preserve">Cumulative response (percentage points) per 1% fuel price increase; national; Newey–West standard errors in parentheses. Exploratory analysis, added after the first results. *</w:t>
      </w:r>
      <w:r>
        <w:t xml:space="preserve"> </w:t>
      </w:r>
      <w:r>
        <w:rPr>
          <w:i/>
          <w:iCs/>
        </w:rPr>
        <w:t xml:space="preserve">p</w:t>
      </w:r>
      <w:r>
        <w:t xml:space="preserve"> </w:t>
      </w:r>
      <w:r>
        <w:t xml:space="preserve">&lt; 0.10, **</w:t>
      </w:r>
      <w:r>
        <w:t xml:space="preserve"> </w:t>
      </w:r>
      <w:r>
        <w:rPr>
          <w:i/>
          <w:iCs/>
        </w:rPr>
        <w:t xml:space="preserve">p</w:t>
      </w:r>
      <w:r>
        <w:t xml:space="preserve"> </w:t>
      </w:r>
      <w:r>
        <w:t xml:space="preserve">&lt; 0.05, ***</w:t>
      </w:r>
      <w:r>
        <w:t xml:space="preserve"> </w:t>
      </w:r>
      <w:r>
        <w:rPr>
          <w:i/>
          <w:iCs/>
        </w:rPr>
        <w:t xml:space="preserve">p</w:t>
      </w:r>
      <w:r>
        <w:t xml:space="preserve"> </w:t>
      </w:r>
      <w:r>
        <w:t xml:space="preserve">&lt; 0.01.</w:t>
      </w:r>
    </w:p>
    <w:bookmarkEnd w:id="70"/>
    <w:bookmarkEnd w:id="71"/>
    <w:bookmarkStart w:id="75" w:name="robustness"/>
    <w:p>
      <w:pPr>
        <w:pStyle w:val="Heading2"/>
      </w:pPr>
      <w:r>
        <w:t xml:space="preserve">4.4 Robustness</w:t>
      </w:r>
    </w:p>
    <w:p>
      <w:pPr>
        <w:pStyle w:val="FirstParagraph"/>
      </w:pPr>
      <w:r>
        <w:t xml:space="preserve">The negative gap survives the five core checks in sign (Table 9, Figure 6), and two of them weaken it. With Dubai crude in pesos as the shock, the six-month gap is −0.0093; excluding 2020 it is −0.0186; leaving out one region at a time it stays between −0.0227 and −0.0203. With controls for the exchange rate, the policy rate and world food prices, it shrinks to −0.0046 and is no longer significant. Splitting the panel shows why: the six-month gap is −0.0541 (standard error 0.0197) over 2001–2012 but −0.0091 (standard error 0.0064) over 2013–2026. The regressive effect was strongest in the 2000s, the period of the 2008 rice crisis, and has weakened since. The twelve further checks in Appendix B tell the same story.</w:t>
      </w:r>
    </w:p>
    <w:p>
      <w:pPr>
        <w:pStyle w:val="CaptionedFigure"/>
      </w:pPr>
      <w:r>
        <w:drawing>
          <wp:inline>
            <wp:extent cx="5052060" cy="2471544"/>
            <wp:effectExtent b="0" l="0" r="0" t="0"/>
            <wp:docPr descr="Figure 6. Robustness of the six-month gap (90% CI). Open squares: split of the panel sample, specified after the first results." title="" id="73" name="Picture"/>
            <a:graphic>
              <a:graphicData uri="http://schemas.openxmlformats.org/drawingml/2006/picture">
                <pic:pic>
                  <pic:nvPicPr>
                    <pic:cNvPr descr="../output/figures/fig06_robustness.png" id="74" name="Picture"/>
                    <pic:cNvPicPr>
                      <a:picLocks noChangeArrowheads="1" noChangeAspect="1"/>
                    </pic:cNvPicPr>
                  </pic:nvPicPr>
                  <pic:blipFill>
                    <a:blip r:embed="rId72"/>
                    <a:stretch>
                      <a:fillRect/>
                    </a:stretch>
                  </pic:blipFill>
                  <pic:spPr bwMode="auto">
                    <a:xfrm>
                      <a:off x="0" y="0"/>
                      <a:ext cx="5052060" cy="2471544"/>
                    </a:xfrm>
                    <a:prstGeom prst="rect">
                      <a:avLst/>
                    </a:prstGeom>
                    <a:noFill/>
                    <a:ln w="9525">
                      <a:noFill/>
                      <a:headEnd/>
                      <a:tailEnd/>
                    </a:ln>
                  </pic:spPr>
                </pic:pic>
              </a:graphicData>
            </a:graphic>
          </wp:inline>
        </w:drawing>
      </w:r>
    </w:p>
    <w:p>
      <w:pPr>
        <w:pStyle w:val="ImageCaption"/>
      </w:pPr>
      <w:r>
        <w:t xml:space="preserve">Figure 6. Robustness of the six-month gap (90% CI). Open squares: split of the panel sample, specified after the first results.</w:t>
      </w:r>
    </w:p>
    <w:p>
      <w:pPr>
        <w:pStyle w:val="TableCaption"/>
      </w:pPr>
      <w:r>
        <w:t xml:space="preserve">Table 9. Robustness of the gap</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9. Robustness of the gap"/>
      </w:tblPr>
      <w:tblGrid>
        <w:gridCol w:w="2640"/>
        <w:gridCol w:w="2640"/>
        <w:gridCol w:w="2640"/>
      </w:tblGrid>
      <w:tr>
        <w:trPr>
          <w:tblHeader w:val="on"/>
        </w:trPr>
        <w:tc>
          <w:tcPr>
            <w:tcBorders>
              <w:bottom w:val="single" w:sz="6" w:space="0" w:color="000000"/>
            </w:tcBorders>
          </w:tcPr>
          <w:p>
            <w:pPr>
              <w:pStyle w:val="Compact"/>
              <w:spacing w:before="0" w:after="0" w:line="240" w:lineRule="auto"/>
              <w:ind w:firstLine="0" w:left="0"/>
            </w:pPr>
            <w:r>
              <w:rPr>
                <w:sz w:val="20"/>
                <w:szCs w:val="20"/>
              </w:rPr>
              <w:t xml:space="preserve">Specification</w:t>
            </w:r>
          </w:p>
        </w:tc>
        <w:tc>
          <w:tcPr>
            <w:tcBorders>
              <w:bottom w:val="single" w:sz="6" w:space="0" w:color="000000"/>
            </w:tcBorders>
          </w:tcPr>
          <w:p>
            <w:pPr>
              <w:pStyle w:val="Compact"/>
              <w:spacing w:before="0" w:after="0" w:line="240" w:lineRule="auto"/>
              <w:ind w:firstLine="0" w:left="0"/>
            </w:pPr>
            <w:r>
              <w:rPr>
                <w:sz w:val="20"/>
                <w:szCs w:val="20"/>
              </w:rPr>
              <w:t xml:space="preserve">Gap, h = 6</w:t>
            </w:r>
          </w:p>
        </w:tc>
        <w:tc>
          <w:tcPr>
            <w:tcBorders>
              <w:bottom w:val="single" w:sz="6" w:space="0" w:color="000000"/>
            </w:tcBorders>
          </w:tcPr>
          <w:p>
            <w:pPr>
              <w:pStyle w:val="Compact"/>
              <w:spacing w:before="0" w:after="0" w:line="240" w:lineRule="auto"/>
              <w:ind w:firstLine="0" w:left="0"/>
            </w:pPr>
            <w:r>
              <w:rPr>
                <w:sz w:val="20"/>
                <w:szCs w:val="20"/>
              </w:rPr>
              <w:t xml:space="preserve">Gap, h = 12</w:t>
            </w:r>
          </w:p>
        </w:tc>
      </w:tr>
      <w:tr>
        <w:tc>
          <w:tcPr/>
          <w:p>
            <w:pPr>
              <w:pStyle w:val="Compact"/>
              <w:spacing w:before="0" w:after="0" w:line="240" w:lineRule="auto"/>
              <w:ind w:firstLine="0" w:left="0"/>
            </w:pPr>
            <w:r>
              <w:rPr>
                <w:sz w:val="20"/>
                <w:szCs w:val="20"/>
              </w:rPr>
              <w:t xml:space="preserve">Baseline, national</w:t>
            </w:r>
          </w:p>
        </w:tc>
        <w:tc>
          <w:tcPr/>
          <w:p>
            <w:pPr>
              <w:pStyle w:val="Compact"/>
              <w:spacing w:before="0" w:after="0" w:line="240" w:lineRule="auto"/>
              <w:ind w:firstLine="0" w:left="0"/>
            </w:pPr>
            <w:r>
              <w:rPr>
                <w:sz w:val="20"/>
                <w:szCs w:val="20"/>
              </w:rPr>
              <w:t xml:space="preserve">−0.0155 (0.0103)</w:t>
            </w:r>
          </w:p>
        </w:tc>
        <w:tc>
          <w:tcPr/>
          <w:p>
            <w:pPr>
              <w:pStyle w:val="Compact"/>
              <w:spacing w:before="0" w:after="0" w:line="240" w:lineRule="auto"/>
              <w:ind w:firstLine="0" w:left="0"/>
            </w:pPr>
            <w:r>
              <w:rPr>
                <w:sz w:val="20"/>
                <w:szCs w:val="20"/>
              </w:rPr>
              <w:t xml:space="preserve">−0.0097 (0.0113)</w:t>
            </w:r>
          </w:p>
        </w:tc>
      </w:tr>
      <w:tr>
        <w:tc>
          <w:tcPr/>
          <w:p>
            <w:pPr>
              <w:pStyle w:val="Compact"/>
              <w:spacing w:before="0" w:after="0" w:line="240" w:lineRule="auto"/>
              <w:ind w:firstLine="0" w:left="0"/>
            </w:pPr>
            <w:r>
              <w:rPr>
                <w:sz w:val="20"/>
                <w:szCs w:val="20"/>
              </w:rPr>
              <w:t xml:space="preserve">Shock: Dubai crude in pesos (national)</w:t>
            </w:r>
          </w:p>
        </w:tc>
        <w:tc>
          <w:tcPr/>
          <w:p>
            <w:pPr>
              <w:pStyle w:val="Compact"/>
              <w:spacing w:before="0" w:after="0" w:line="240" w:lineRule="auto"/>
              <w:ind w:firstLine="0" w:left="0"/>
            </w:pPr>
            <w:r>
              <w:rPr>
                <w:sz w:val="20"/>
                <w:szCs w:val="20"/>
              </w:rPr>
              <w:t xml:space="preserve">−0.0093 (0.0056)</w:t>
            </w:r>
          </w:p>
        </w:tc>
        <w:tc>
          <w:tcPr/>
          <w:p>
            <w:pPr>
              <w:pStyle w:val="Compact"/>
              <w:spacing w:before="0" w:after="0" w:line="240" w:lineRule="auto"/>
              <w:ind w:firstLine="0" w:left="0"/>
            </w:pPr>
            <w:r>
              <w:rPr>
                <w:sz w:val="20"/>
                <w:szCs w:val="20"/>
              </w:rPr>
              <w:t xml:space="preserve">−0.0075 (0.0063)</w:t>
            </w:r>
          </w:p>
        </w:tc>
      </w:tr>
      <w:tr>
        <w:tc>
          <w:tcPr/>
          <w:p>
            <w:pPr>
              <w:pStyle w:val="Compact"/>
              <w:spacing w:before="0" w:after="0" w:line="240" w:lineRule="auto"/>
              <w:ind w:firstLine="0" w:left="0"/>
            </w:pPr>
            <w:r>
              <w:rPr>
                <w:sz w:val="20"/>
                <w:szCs w:val="20"/>
              </w:rPr>
              <w:t xml:space="preserve">Controls: exchange rate, policy rate, world food prices (national)</w:t>
            </w:r>
          </w:p>
        </w:tc>
        <w:tc>
          <w:tcPr/>
          <w:p>
            <w:pPr>
              <w:pStyle w:val="Compact"/>
              <w:spacing w:before="0" w:after="0" w:line="240" w:lineRule="auto"/>
              <w:ind w:firstLine="0" w:left="0"/>
            </w:pPr>
            <w:r>
              <w:rPr>
                <w:sz w:val="20"/>
                <w:szCs w:val="20"/>
              </w:rPr>
              <w:t xml:space="preserve">−0.0046 (0.0156)</w:t>
            </w:r>
          </w:p>
        </w:tc>
        <w:tc>
          <w:tcPr/>
          <w:p>
            <w:pPr>
              <w:pStyle w:val="Compact"/>
              <w:spacing w:before="0" w:after="0" w:line="240" w:lineRule="auto"/>
              <w:ind w:firstLine="0" w:left="0"/>
            </w:pPr>
            <w:r>
              <w:rPr>
                <w:sz w:val="20"/>
                <w:szCs w:val="20"/>
              </w:rPr>
              <w:t xml:space="preserve">0.0086 (0.0160)</w:t>
            </w:r>
          </w:p>
        </w:tc>
      </w:tr>
      <w:tr>
        <w:tc>
          <w:tcPr/>
          <w:p>
            <w:pPr>
              <w:pStyle w:val="Compact"/>
              <w:spacing w:before="0" w:after="0" w:line="240" w:lineRule="auto"/>
              <w:ind w:firstLine="0" w:left="0"/>
            </w:pPr>
            <w:r>
              <w:rPr>
                <w:sz w:val="20"/>
                <w:szCs w:val="20"/>
              </w:rPr>
              <w:t xml:space="preserve">Excluding 2020 (national)</w:t>
            </w:r>
          </w:p>
        </w:tc>
        <w:tc>
          <w:tcPr/>
          <w:p>
            <w:pPr>
              <w:pStyle w:val="Compact"/>
              <w:spacing w:before="0" w:after="0" w:line="240" w:lineRule="auto"/>
              <w:ind w:firstLine="0" w:left="0"/>
            </w:pPr>
            <w:r>
              <w:rPr>
                <w:sz w:val="20"/>
                <w:szCs w:val="20"/>
              </w:rPr>
              <w:t xml:space="preserve">−0.0186 (0.0121)</w:t>
            </w:r>
          </w:p>
        </w:tc>
        <w:tc>
          <w:tcPr/>
          <w:p>
            <w:pPr>
              <w:pStyle w:val="Compact"/>
              <w:spacing w:before="0" w:after="0" w:line="240" w:lineRule="auto"/>
              <w:ind w:firstLine="0" w:left="0"/>
            </w:pPr>
            <w:r>
              <w:rPr>
                <w:sz w:val="20"/>
                <w:szCs w:val="20"/>
              </w:rPr>
              <w:t xml:space="preserve">−0.0142 (0.0129)</w:t>
            </w:r>
          </w:p>
        </w:tc>
      </w:tr>
      <w:tr>
        <w:tc>
          <w:tcPr/>
          <w:p>
            <w:pPr>
              <w:pStyle w:val="Compact"/>
              <w:spacing w:before="0" w:after="0" w:line="240" w:lineRule="auto"/>
              <w:ind w:firstLine="0" w:left="0"/>
            </w:pPr>
            <w:r>
              <w:rPr>
                <w:sz w:val="20"/>
                <w:szCs w:val="20"/>
              </w:rPr>
              <w:t xml:space="preserve">Baseline, 17-region panel</w:t>
            </w:r>
          </w:p>
        </w:tc>
        <w:tc>
          <w:tcPr/>
          <w:p>
            <w:pPr>
              <w:pStyle w:val="Compact"/>
              <w:spacing w:before="0" w:after="0" w:line="240" w:lineRule="auto"/>
              <w:ind w:firstLine="0" w:left="0"/>
            </w:pPr>
            <w:r>
              <w:rPr>
                <w:sz w:val="20"/>
                <w:szCs w:val="20"/>
              </w:rPr>
              <w:t xml:space="preserve">−0.0214** (0.0084)</w:t>
            </w:r>
          </w:p>
        </w:tc>
        <w:tc>
          <w:tcPr/>
          <w:p>
            <w:pPr>
              <w:pStyle w:val="Compact"/>
              <w:spacing w:before="0" w:after="0" w:line="240" w:lineRule="auto"/>
              <w:ind w:firstLine="0" w:left="0"/>
            </w:pPr>
            <w:r>
              <w:rPr>
                <w:sz w:val="20"/>
                <w:szCs w:val="20"/>
              </w:rPr>
              <w:t xml:space="preserve">−0.0173** (0.0085)</w:t>
            </w:r>
          </w:p>
        </w:tc>
      </w:tr>
      <w:tr>
        <w:tc>
          <w:tcPr/>
          <w:p>
            <w:pPr>
              <w:pStyle w:val="Compact"/>
              <w:spacing w:before="0" w:after="0" w:line="240" w:lineRule="auto"/>
              <w:ind w:firstLine="0" w:left="0"/>
            </w:pPr>
            <w:r>
              <w:rPr>
                <w:sz w:val="20"/>
                <w:szCs w:val="20"/>
              </w:rPr>
              <w:t xml:space="preserve">Panel, 2001–2012</w:t>
            </w:r>
          </w:p>
        </w:tc>
        <w:tc>
          <w:tcPr/>
          <w:p>
            <w:pPr>
              <w:pStyle w:val="Compact"/>
              <w:spacing w:before="0" w:after="0" w:line="240" w:lineRule="auto"/>
              <w:ind w:firstLine="0" w:left="0"/>
            </w:pPr>
            <w:r>
              <w:rPr>
                <w:sz w:val="20"/>
                <w:szCs w:val="20"/>
              </w:rPr>
              <w:t xml:space="preserve">−0.0541*** (0.0197)</w:t>
            </w:r>
          </w:p>
        </w:tc>
        <w:tc>
          <w:tcPr/>
          <w:p>
            <w:pPr>
              <w:pStyle w:val="Compact"/>
              <w:spacing w:before="0" w:after="0" w:line="240" w:lineRule="auto"/>
              <w:ind w:firstLine="0" w:left="0"/>
            </w:pPr>
            <w:r>
              <w:rPr>
                <w:sz w:val="20"/>
                <w:szCs w:val="20"/>
              </w:rPr>
              <w:t xml:space="preserve">−0.0369** (0.0147)</w:t>
            </w:r>
          </w:p>
        </w:tc>
      </w:tr>
      <w:tr>
        <w:tc>
          <w:tcPr/>
          <w:p>
            <w:pPr>
              <w:pStyle w:val="Compact"/>
              <w:spacing w:before="0" w:after="0" w:line="240" w:lineRule="auto"/>
              <w:ind w:firstLine="0" w:left="0"/>
            </w:pPr>
            <w:r>
              <w:rPr>
                <w:sz w:val="20"/>
                <w:szCs w:val="20"/>
              </w:rPr>
              <w:t xml:space="preserve">Panel, 2013–2026</w:t>
            </w:r>
          </w:p>
        </w:tc>
        <w:tc>
          <w:tcPr/>
          <w:p>
            <w:pPr>
              <w:pStyle w:val="Compact"/>
              <w:spacing w:before="0" w:after="0" w:line="240" w:lineRule="auto"/>
              <w:ind w:firstLine="0" w:left="0"/>
            </w:pPr>
            <w:r>
              <w:rPr>
                <w:sz w:val="20"/>
                <w:szCs w:val="20"/>
              </w:rPr>
              <w:t xml:space="preserve">−0.0091 (0.0064)</w:t>
            </w:r>
          </w:p>
        </w:tc>
        <w:tc>
          <w:tcPr/>
          <w:p>
            <w:pPr>
              <w:pStyle w:val="Compact"/>
              <w:spacing w:before="0" w:after="0" w:line="240" w:lineRule="auto"/>
              <w:ind w:firstLine="0" w:left="0"/>
            </w:pPr>
            <w:r>
              <w:rPr>
                <w:sz w:val="20"/>
                <w:szCs w:val="20"/>
              </w:rPr>
              <w:t xml:space="preserve">−0.0063 (0.0075)</w:t>
            </w:r>
          </w:p>
        </w:tc>
      </w:tr>
      <w:tr>
        <w:tc>
          <w:tcPr/>
          <w:p>
            <w:pPr>
              <w:pStyle w:val="Compact"/>
              <w:spacing w:before="0" w:after="0" w:line="240" w:lineRule="auto"/>
              <w:ind w:firstLine="0" w:left="0"/>
            </w:pPr>
            <w:r>
              <w:rPr>
                <w:sz w:val="20"/>
                <w:szCs w:val="20"/>
              </w:rPr>
              <w:t xml:space="preserve">Panel, leaving out one region at a time (range)</w:t>
            </w:r>
          </w:p>
        </w:tc>
        <w:tc>
          <w:tcPr/>
          <w:p>
            <w:pPr>
              <w:pStyle w:val="Compact"/>
              <w:spacing w:before="0" w:after="0" w:line="240" w:lineRule="auto"/>
              <w:ind w:firstLine="0" w:left="0"/>
            </w:pPr>
            <w:r>
              <w:rPr>
                <w:sz w:val="20"/>
                <w:szCs w:val="20"/>
              </w:rPr>
              <w:t xml:space="preserve">−0.0227 to −0.0203</w:t>
            </w:r>
          </w:p>
        </w:tc>
        <w:tc>
          <w:tcPr/>
          <w:p>
            <w:pPr>
              <w:pStyle w:val="Compact"/>
              <w:spacing w:before="0" w:after="0" w:line="240" w:lineRule="auto"/>
              <w:ind w:firstLine="0" w:left="0"/>
            </w:pPr>
            <w:r>
              <w:rPr>
                <w:sz w:val="20"/>
                <w:szCs w:val="20"/>
              </w:rPr>
              <w:t xml:space="preserve">−0.0189 to −0.0156</w:t>
            </w:r>
          </w:p>
        </w:tc>
      </w:tr>
    </w:tbl>
    <w:p>
      <w:pPr>
        <w:pStyle w:val="TableNote"/>
      </w:pPr>
      <w:r>
        <w:rPr>
          <w:i/>
          <w:iCs/>
        </w:rPr>
        <w:t xml:space="preserve">Notes:</w:t>
      </w:r>
      <w:r>
        <w:t xml:space="preserve"> </w:t>
      </w:r>
      <w:r>
        <w:t xml:space="preserve">Cumulative response of 100 × ln(CPI all/CPI bottom 30%) per 1% fuel price increase. Standard errors in parentheses. *</w:t>
      </w:r>
      <w:r>
        <w:t xml:space="preserve"> </w:t>
      </w:r>
      <w:r>
        <w:rPr>
          <w:i/>
          <w:iCs/>
        </w:rPr>
        <w:t xml:space="preserve">p</w:t>
      </w:r>
      <w:r>
        <w:t xml:space="preserve"> </w:t>
      </w:r>
      <w:r>
        <w:t xml:space="preserve">&lt; 0.10, **</w:t>
      </w:r>
      <w:r>
        <w:t xml:space="preserve"> </w:t>
      </w:r>
      <w:r>
        <w:rPr>
          <w:i/>
          <w:iCs/>
        </w:rPr>
        <w:t xml:space="preserve">p</w:t>
      </w:r>
      <w:r>
        <w:t xml:space="preserve"> </w:t>
      </w:r>
      <w:r>
        <w:t xml:space="preserve">&lt; 0.05, ***</w:t>
      </w:r>
      <w:r>
        <w:t xml:space="preserve"> </w:t>
      </w:r>
      <w:r>
        <w:rPr>
          <w:i/>
          <w:iCs/>
        </w:rPr>
        <w:t xml:space="preserve">p</w:t>
      </w:r>
      <w:r>
        <w:t xml:space="preserve"> </w:t>
      </w:r>
      <w:r>
        <w:t xml:space="preserve">&lt; 0.01.</w:t>
      </w:r>
    </w:p>
    <w:p>
      <w:pPr>
        <w:pStyle w:val="BodyText"/>
      </w:pPr>
      <w:r>
        <w:rPr>
          <w:i/>
          <w:iCs/>
        </w:rPr>
        <w:t xml:space="preserve">Discussion of Objective 2.</w:t>
      </w:r>
      <w:r>
        <w:t xml:space="preserve"> </w:t>
      </w:r>
      <w:r>
        <w:t xml:space="preserve">Fuel price shocks pass through to Philippine prices quickly and lastingly. Their effect on the distribution is the opposite of the cross-country finding: not progressive but, if anything, regressive. The explanation lies not in how the poor divide their budget, which by itself would make the shock progressive, but in the prices they pay within the same categories, which the price indices rebuilt from surveys in the cross-country study cannot capture. The effect is strongest in 2001–2012 and sensitive to macroeconomic controls, so it should be read as a robust sign and a fragile size.</w:t>
      </w:r>
    </w:p>
    <w:bookmarkEnd w:id="75"/>
    <w:bookmarkStart w:id="86" w:name="X36d8c7a6d9efd02cb8e20fa50cc6c8e446e806a"/>
    <w:p>
      <w:pPr>
        <w:pStyle w:val="Heading2"/>
      </w:pPr>
      <w:r>
        <w:t xml:space="preserve">4.5 RQ3: the 2026 oil shock and the policy response</w:t>
      </w:r>
    </w:p>
    <w:bookmarkStart w:id="79" w:name="Xfa599e2f6f06f978dbec70ac30655863e9e5c4e"/>
    <w:p>
      <w:pPr>
        <w:pStyle w:val="Heading3"/>
      </w:pPr>
      <w:r>
        <w:t xml:space="preserve">4.5.1 How much of the 2026 surge did fuel explain?</w:t>
      </w:r>
    </w:p>
    <w:p>
      <w:pPr>
        <w:pStyle w:val="FirstParagraph"/>
      </w:pPr>
      <w:r>
        <w:t xml:space="preserve">The fuel index rose 53.7 log points between December 2025 and April 2026 and was still 32.5 points higher in August. A model estimated only on data up to December 2025 attributes 2.55 log points (range 1.94 to 3.17) of the 4.81-point rise in the all-income CPI by August to fuel, about 53%, and 3.13 (2.16 to 4.10) of the 5.98-point rise in the bottom-30% CPI, about 52% (Figure 7). It also predicts that the poor would pay more: −0.65 of the −1.18-point actual gap. The historical relationships held in 2026, but explain only about half of what happened. Prices did not fall when fuel prices eased in May and June, as the model predicted they would, consistent with prices being slow to fall and with other shocks, including a 5.1% depreciation of the peso between February and August.</w:t>
      </w:r>
    </w:p>
    <w:p>
      <w:pPr>
        <w:pStyle w:val="CaptionedFigure"/>
      </w:pPr>
      <w:r>
        <w:drawing>
          <wp:inline>
            <wp:extent cx="5646420" cy="2668495"/>
            <wp:effectExtent b="0" l="0" r="0" t="0"/>
            <wp:docPr descr="Figure 7. Actual price changes in 2026 against the fuel-driven changes predicted by a model estimated on 2001–2025 data." title="" id="77" name="Picture"/>
            <a:graphic>
              <a:graphicData uri="http://schemas.openxmlformats.org/drawingml/2006/picture">
                <pic:pic>
                  <pic:nvPicPr>
                    <pic:cNvPr descr="../output/figures/fig07_rq3_2026.png" id="78" name="Picture"/>
                    <pic:cNvPicPr>
                      <a:picLocks noChangeArrowheads="1" noChangeAspect="1"/>
                    </pic:cNvPicPr>
                  </pic:nvPicPr>
                  <pic:blipFill>
                    <a:blip r:embed="rId76"/>
                    <a:stretch>
                      <a:fillRect/>
                    </a:stretch>
                  </pic:blipFill>
                  <pic:spPr bwMode="auto">
                    <a:xfrm>
                      <a:off x="0" y="0"/>
                      <a:ext cx="5646420" cy="2668495"/>
                    </a:xfrm>
                    <a:prstGeom prst="rect">
                      <a:avLst/>
                    </a:prstGeom>
                    <a:noFill/>
                    <a:ln w="9525">
                      <a:noFill/>
                      <a:headEnd/>
                      <a:tailEnd/>
                    </a:ln>
                  </pic:spPr>
                </pic:pic>
              </a:graphicData>
            </a:graphic>
          </wp:inline>
        </w:drawing>
      </w:r>
    </w:p>
    <w:p>
      <w:pPr>
        <w:pStyle w:val="ImageCaption"/>
      </w:pPr>
      <w:r>
        <w:t xml:space="preserve">Figure 7. Actual price changes in 2026 against the fuel-driven changes predicted by a model estimated on 2001–2025 data.</w:t>
      </w:r>
    </w:p>
    <w:bookmarkEnd w:id="79"/>
    <w:bookmarkStart w:id="80" w:name="the-cost-to-poor-families-by-region"/>
    <w:p>
      <w:pPr>
        <w:pStyle w:val="Heading3"/>
      </w:pPr>
      <w:r>
        <w:t xml:space="preserve">4.5.2 The cost to poor families, by region</w:t>
      </w:r>
    </w:p>
    <w:p>
      <w:pPr>
        <w:pStyle w:val="FirstParagraph"/>
      </w:pPr>
      <w:r>
        <w:t xml:space="preserve">For a family of five at the poverty line (about PHP 14,714 a month), the fuel-driven rise in the cost of its basket by August 2026 was about PHP 467 a month nationally, from PHP 390 in XII SOCCSKSARGEN to PHP 633 in the National Capital Region (Table 10). Counting all price increases, not only those driven by fuel, the cost was about PHP 907 a month. The fuel-driven rises were similar across regions because pump prices moved together, but the actual rise in the poor’s prices was much higher in XI Davao, BARMM, VI Western Visayas, XIII Caraga and IX Zamboanga Peninsula than in the National Capital Region. Fuel explains about 72% of the rise in Luzon’s core regions (NCR, CAR and Regions I to IV-A) but only 44% in Mindanao.</w:t>
      </w:r>
    </w:p>
    <w:p>
      <w:pPr>
        <w:pStyle w:val="TableCaption"/>
      </w:pPr>
      <w:r>
        <w:t xml:space="preserve">Table 10. The 2026 shock by region, December 2025 to August 2026</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10. The 2026 shock by region, December 2025 to August 2026"/>
      </w:tblPr>
      <w:tblGrid>
        <w:gridCol w:w="1320"/>
        <w:gridCol w:w="1320"/>
        <w:gridCol w:w="1320"/>
        <w:gridCol w:w="1320"/>
        <w:gridCol w:w="1320"/>
        <w:gridCol w:w="1320"/>
      </w:tblGrid>
      <w:tr>
        <w:trPr>
          <w:tblHeader w:val="on"/>
        </w:trPr>
        <w:tc>
          <w:tcPr>
            <w:tcBorders>
              <w:bottom w:val="single" w:sz="6" w:space="0" w:color="000000"/>
            </w:tcBorders>
          </w:tcPr>
          <w:p>
            <w:pPr>
              <w:pStyle w:val="Compact"/>
              <w:spacing w:before="0" w:after="0" w:line="240" w:lineRule="auto"/>
              <w:ind w:firstLine="0" w:left="0"/>
            </w:pPr>
            <w:r>
              <w:rPr>
                <w:sz w:val="20"/>
                <w:szCs w:val="20"/>
              </w:rPr>
              <w:t xml:space="preserve">Region</w:t>
            </w:r>
          </w:p>
        </w:tc>
        <w:tc>
          <w:tcPr>
            <w:tcBorders>
              <w:bottom w:val="single" w:sz="6" w:space="0" w:color="000000"/>
            </w:tcBorders>
          </w:tcPr>
          <w:p>
            <w:pPr>
              <w:pStyle w:val="Compact"/>
              <w:spacing w:before="0" w:after="0" w:line="240" w:lineRule="auto"/>
              <w:ind w:firstLine="0" w:left="0"/>
            </w:pPr>
            <w:r>
              <w:rPr>
                <w:sz w:val="20"/>
                <w:szCs w:val="20"/>
              </w:rPr>
              <w:t xml:space="preserve">Poverty 2018 (%)</w:t>
            </w:r>
          </w:p>
        </w:tc>
        <w:tc>
          <w:tcPr>
            <w:tcBorders>
              <w:bottom w:val="single" w:sz="6" w:space="0" w:color="000000"/>
            </w:tcBorders>
          </w:tcPr>
          <w:p>
            <w:pPr>
              <w:pStyle w:val="Compact"/>
              <w:spacing w:before="0" w:after="0" w:line="240" w:lineRule="auto"/>
              <w:ind w:firstLine="0" w:left="0"/>
            </w:pPr>
            <w:r>
              <w:rPr>
                <w:sz w:val="20"/>
                <w:szCs w:val="20"/>
              </w:rPr>
              <w:t xml:space="preserve">Fuel price rise (%)</w:t>
            </w:r>
          </w:p>
        </w:tc>
        <w:tc>
          <w:tcPr>
            <w:tcBorders>
              <w:bottom w:val="single" w:sz="6" w:space="0" w:color="000000"/>
            </w:tcBorders>
          </w:tcPr>
          <w:p>
            <w:pPr>
              <w:pStyle w:val="Compact"/>
              <w:spacing w:before="0" w:after="0" w:line="240" w:lineRule="auto"/>
              <w:ind w:firstLine="0" w:left="0"/>
            </w:pPr>
            <w:r>
              <w:rPr>
                <w:sz w:val="20"/>
                <w:szCs w:val="20"/>
              </w:rPr>
              <w:t xml:space="preserve">Fuel-driven rise, bottom-30% CPI</w:t>
            </w:r>
          </w:p>
        </w:tc>
        <w:tc>
          <w:tcPr>
            <w:tcBorders>
              <w:bottom w:val="single" w:sz="6" w:space="0" w:color="000000"/>
            </w:tcBorders>
          </w:tcPr>
          <w:p>
            <w:pPr>
              <w:pStyle w:val="Compact"/>
              <w:spacing w:before="0" w:after="0" w:line="240" w:lineRule="auto"/>
              <w:ind w:firstLine="0" w:left="0"/>
            </w:pPr>
            <w:r>
              <w:rPr>
                <w:sz w:val="20"/>
                <w:szCs w:val="20"/>
              </w:rPr>
              <w:t xml:space="preserve">Actual rise, bottom-30% CPI</w:t>
            </w:r>
          </w:p>
        </w:tc>
        <w:tc>
          <w:tcPr>
            <w:tcBorders>
              <w:bottom w:val="single" w:sz="6" w:space="0" w:color="000000"/>
            </w:tcBorders>
          </w:tcPr>
          <w:p>
            <w:pPr>
              <w:pStyle w:val="Compact"/>
              <w:spacing w:before="0" w:after="0" w:line="240" w:lineRule="auto"/>
              <w:ind w:firstLine="0" w:left="0"/>
            </w:pPr>
            <w:r>
              <w:rPr>
                <w:sz w:val="20"/>
                <w:szCs w:val="20"/>
              </w:rPr>
              <w:t xml:space="preserve">Fuel-driven extra cost (PHP/month)</w:t>
            </w:r>
          </w:p>
        </w:tc>
      </w:tr>
      <w:tr>
        <w:tc>
          <w:tcPr/>
          <w:p>
            <w:pPr>
              <w:pStyle w:val="Compact"/>
              <w:spacing w:before="0" w:after="0" w:line="240" w:lineRule="auto"/>
              <w:ind w:firstLine="0" w:left="0"/>
            </w:pPr>
            <w:r>
              <w:rPr>
                <w:sz w:val="20"/>
                <w:szCs w:val="20"/>
              </w:rPr>
              <w:t xml:space="preserve">National Capital Region</w:t>
            </w:r>
          </w:p>
        </w:tc>
        <w:tc>
          <w:tcPr/>
          <w:p>
            <w:pPr>
              <w:pStyle w:val="Compact"/>
              <w:spacing w:before="0" w:after="0" w:line="240" w:lineRule="auto"/>
              <w:ind w:firstLine="0" w:left="0"/>
            </w:pPr>
            <w:r>
              <w:rPr>
                <w:sz w:val="20"/>
                <w:szCs w:val="20"/>
              </w:rPr>
              <w:t xml:space="preserve">2.2</w:t>
            </w:r>
          </w:p>
        </w:tc>
        <w:tc>
          <w:tcPr/>
          <w:p>
            <w:pPr>
              <w:pStyle w:val="Compact"/>
              <w:spacing w:before="0" w:after="0" w:line="240" w:lineRule="auto"/>
              <w:ind w:firstLine="0" w:left="0"/>
            </w:pPr>
            <w:r>
              <w:rPr>
                <w:sz w:val="20"/>
                <w:szCs w:val="20"/>
              </w:rPr>
              <w:t xml:space="preserve">34.5</w:t>
            </w:r>
          </w:p>
        </w:tc>
        <w:tc>
          <w:tcPr/>
          <w:p>
            <w:pPr>
              <w:pStyle w:val="Compact"/>
              <w:spacing w:before="0" w:after="0" w:line="240" w:lineRule="auto"/>
              <w:ind w:firstLine="0" w:left="0"/>
            </w:pPr>
            <w:r>
              <w:rPr>
                <w:sz w:val="20"/>
                <w:szCs w:val="20"/>
              </w:rPr>
              <w:t xml:space="preserve">3.68 [2.66, 4.70]</w:t>
            </w:r>
          </w:p>
        </w:tc>
        <w:tc>
          <w:tcPr/>
          <w:p>
            <w:pPr>
              <w:pStyle w:val="Compact"/>
              <w:spacing w:before="0" w:after="0" w:line="240" w:lineRule="auto"/>
              <w:ind w:firstLine="0" w:left="0"/>
            </w:pPr>
            <w:r>
              <w:rPr>
                <w:sz w:val="20"/>
                <w:szCs w:val="20"/>
              </w:rPr>
              <w:t xml:space="preserve">3.47</w:t>
            </w:r>
          </w:p>
        </w:tc>
        <w:tc>
          <w:tcPr/>
          <w:p>
            <w:pPr>
              <w:pStyle w:val="Compact"/>
              <w:spacing w:before="0" w:after="0" w:line="240" w:lineRule="auto"/>
              <w:ind w:firstLine="0" w:left="0"/>
            </w:pPr>
            <w:r>
              <w:rPr>
                <w:sz w:val="20"/>
                <w:szCs w:val="20"/>
              </w:rPr>
              <w:t xml:space="preserve">633</w:t>
            </w:r>
          </w:p>
        </w:tc>
      </w:tr>
      <w:tr>
        <w:tc>
          <w:tcPr/>
          <w:p>
            <w:pPr>
              <w:pStyle w:val="Compact"/>
              <w:spacing w:before="0" w:after="0" w:line="240" w:lineRule="auto"/>
              <w:ind w:firstLine="0" w:left="0"/>
            </w:pPr>
            <w:r>
              <w:rPr>
                <w:sz w:val="20"/>
                <w:szCs w:val="20"/>
              </w:rPr>
              <w:t xml:space="preserve">Cordillera (CAR)</w:t>
            </w:r>
          </w:p>
        </w:tc>
        <w:tc>
          <w:tcPr/>
          <w:p>
            <w:pPr>
              <w:pStyle w:val="Compact"/>
              <w:spacing w:before="0" w:after="0" w:line="240" w:lineRule="auto"/>
              <w:ind w:firstLine="0" w:left="0"/>
            </w:pPr>
            <w:r>
              <w:rPr>
                <w:sz w:val="20"/>
                <w:szCs w:val="20"/>
              </w:rPr>
              <w:t xml:space="preserve">12.0</w:t>
            </w:r>
          </w:p>
        </w:tc>
        <w:tc>
          <w:tcPr/>
          <w:p>
            <w:pPr>
              <w:pStyle w:val="Compact"/>
              <w:spacing w:before="0" w:after="0" w:line="240" w:lineRule="auto"/>
              <w:ind w:firstLine="0" w:left="0"/>
            </w:pPr>
            <w:r>
              <w:rPr>
                <w:sz w:val="20"/>
                <w:szCs w:val="20"/>
              </w:rPr>
              <w:t xml:space="preserve">30.7</w:t>
            </w:r>
          </w:p>
        </w:tc>
        <w:tc>
          <w:tcPr/>
          <w:p>
            <w:pPr>
              <w:pStyle w:val="Compact"/>
              <w:spacing w:before="0" w:after="0" w:line="240" w:lineRule="auto"/>
              <w:ind w:firstLine="0" w:left="0"/>
            </w:pPr>
            <w:r>
              <w:rPr>
                <w:sz w:val="20"/>
                <w:szCs w:val="20"/>
              </w:rPr>
              <w:t xml:space="preserve">3.30 [2.41, 4.18]</w:t>
            </w:r>
          </w:p>
        </w:tc>
        <w:tc>
          <w:tcPr/>
          <w:p>
            <w:pPr>
              <w:pStyle w:val="Compact"/>
              <w:spacing w:before="0" w:after="0" w:line="240" w:lineRule="auto"/>
              <w:ind w:firstLine="0" w:left="0"/>
            </w:pPr>
            <w:r>
              <w:rPr>
                <w:sz w:val="20"/>
                <w:szCs w:val="20"/>
              </w:rPr>
              <w:t xml:space="preserve">6.36</w:t>
            </w:r>
          </w:p>
        </w:tc>
        <w:tc>
          <w:tcPr/>
          <w:p>
            <w:pPr>
              <w:pStyle w:val="Compact"/>
              <w:spacing w:before="0" w:after="0" w:line="240" w:lineRule="auto"/>
              <w:ind w:firstLine="0" w:left="0"/>
            </w:pPr>
            <w:r>
              <w:rPr>
                <w:sz w:val="20"/>
                <w:szCs w:val="20"/>
              </w:rPr>
              <w:t xml:space="preserve">470</w:t>
            </w:r>
          </w:p>
        </w:tc>
      </w:tr>
      <w:tr>
        <w:tc>
          <w:tcPr/>
          <w:p>
            <w:pPr>
              <w:pStyle w:val="Compact"/>
              <w:spacing w:before="0" w:after="0" w:line="240" w:lineRule="auto"/>
              <w:ind w:firstLine="0" w:left="0"/>
            </w:pPr>
            <w:r>
              <w:rPr>
                <w:sz w:val="20"/>
                <w:szCs w:val="20"/>
              </w:rPr>
              <w:t xml:space="preserve">I Ilocos</w:t>
            </w:r>
          </w:p>
        </w:tc>
        <w:tc>
          <w:tcPr/>
          <w:p>
            <w:pPr>
              <w:pStyle w:val="Compact"/>
              <w:spacing w:before="0" w:after="0" w:line="240" w:lineRule="auto"/>
              <w:ind w:firstLine="0" w:left="0"/>
            </w:pPr>
            <w:r>
              <w:rPr>
                <w:sz w:val="20"/>
                <w:szCs w:val="20"/>
              </w:rPr>
              <w:t xml:space="preserve">9.9</w:t>
            </w:r>
          </w:p>
        </w:tc>
        <w:tc>
          <w:tcPr/>
          <w:p>
            <w:pPr>
              <w:pStyle w:val="Compact"/>
              <w:spacing w:before="0" w:after="0" w:line="240" w:lineRule="auto"/>
              <w:ind w:firstLine="0" w:left="0"/>
            </w:pPr>
            <w:r>
              <w:rPr>
                <w:sz w:val="20"/>
                <w:szCs w:val="20"/>
              </w:rPr>
              <w:t xml:space="preserve">36.3</w:t>
            </w:r>
          </w:p>
        </w:tc>
        <w:tc>
          <w:tcPr/>
          <w:p>
            <w:pPr>
              <w:pStyle w:val="Compact"/>
              <w:spacing w:before="0" w:after="0" w:line="240" w:lineRule="auto"/>
              <w:ind w:firstLine="0" w:left="0"/>
            </w:pPr>
            <w:r>
              <w:rPr>
                <w:sz w:val="20"/>
                <w:szCs w:val="20"/>
              </w:rPr>
              <w:t xml:space="preserve">3.68 [2.69, 4.68]</w:t>
            </w:r>
          </w:p>
        </w:tc>
        <w:tc>
          <w:tcPr/>
          <w:p>
            <w:pPr>
              <w:pStyle w:val="Compact"/>
              <w:spacing w:before="0" w:after="0" w:line="240" w:lineRule="auto"/>
              <w:ind w:firstLine="0" w:left="0"/>
            </w:pPr>
            <w:r>
              <w:rPr>
                <w:sz w:val="20"/>
                <w:szCs w:val="20"/>
              </w:rPr>
              <w:t xml:space="preserve">3.82</w:t>
            </w:r>
          </w:p>
        </w:tc>
        <w:tc>
          <w:tcPr/>
          <w:p>
            <w:pPr>
              <w:pStyle w:val="Compact"/>
              <w:spacing w:before="0" w:after="0" w:line="240" w:lineRule="auto"/>
              <w:ind w:firstLine="0" w:left="0"/>
            </w:pPr>
            <w:r>
              <w:rPr>
                <w:sz w:val="20"/>
                <w:szCs w:val="20"/>
              </w:rPr>
              <w:t xml:space="preserve">571</w:t>
            </w:r>
          </w:p>
        </w:tc>
      </w:tr>
      <w:tr>
        <w:tc>
          <w:tcPr/>
          <w:p>
            <w:pPr>
              <w:pStyle w:val="Compact"/>
              <w:spacing w:before="0" w:after="0" w:line="240" w:lineRule="auto"/>
              <w:ind w:firstLine="0" w:left="0"/>
            </w:pPr>
            <w:r>
              <w:rPr>
                <w:sz w:val="20"/>
                <w:szCs w:val="20"/>
              </w:rPr>
              <w:t xml:space="preserve">II Cagayan Valley</w:t>
            </w:r>
          </w:p>
        </w:tc>
        <w:tc>
          <w:tcPr/>
          <w:p>
            <w:pPr>
              <w:pStyle w:val="Compact"/>
              <w:spacing w:before="0" w:after="0" w:line="240" w:lineRule="auto"/>
              <w:ind w:firstLine="0" w:left="0"/>
            </w:pPr>
            <w:r>
              <w:rPr>
                <w:sz w:val="20"/>
                <w:szCs w:val="20"/>
              </w:rPr>
              <w:t xml:space="preserve">16.3</w:t>
            </w:r>
          </w:p>
        </w:tc>
        <w:tc>
          <w:tcPr/>
          <w:p>
            <w:pPr>
              <w:pStyle w:val="Compact"/>
              <w:spacing w:before="0" w:after="0" w:line="240" w:lineRule="auto"/>
              <w:ind w:firstLine="0" w:left="0"/>
            </w:pPr>
            <w:r>
              <w:rPr>
                <w:sz w:val="20"/>
                <w:szCs w:val="20"/>
              </w:rPr>
              <w:t xml:space="preserve">34.1</w:t>
            </w:r>
          </w:p>
        </w:tc>
        <w:tc>
          <w:tcPr/>
          <w:p>
            <w:pPr>
              <w:pStyle w:val="Compact"/>
              <w:spacing w:before="0" w:after="0" w:line="240" w:lineRule="auto"/>
              <w:ind w:firstLine="0" w:left="0"/>
            </w:pPr>
            <w:r>
              <w:rPr>
                <w:sz w:val="20"/>
                <w:szCs w:val="20"/>
              </w:rPr>
              <w:t xml:space="preserve">3.47 [2.53, 4.42]</w:t>
            </w:r>
          </w:p>
        </w:tc>
        <w:tc>
          <w:tcPr/>
          <w:p>
            <w:pPr>
              <w:pStyle w:val="Compact"/>
              <w:spacing w:before="0" w:after="0" w:line="240" w:lineRule="auto"/>
              <w:ind w:firstLine="0" w:left="0"/>
            </w:pPr>
            <w:r>
              <w:rPr>
                <w:sz w:val="20"/>
                <w:szCs w:val="20"/>
              </w:rPr>
              <w:t xml:space="preserve">4.64</w:t>
            </w:r>
          </w:p>
        </w:tc>
        <w:tc>
          <w:tcPr/>
          <w:p>
            <w:pPr>
              <w:pStyle w:val="Compact"/>
              <w:spacing w:before="0" w:after="0" w:line="240" w:lineRule="auto"/>
              <w:ind w:firstLine="0" w:left="0"/>
            </w:pPr>
            <w:r>
              <w:rPr>
                <w:sz w:val="20"/>
                <w:szCs w:val="20"/>
              </w:rPr>
              <w:t xml:space="preserve">503</w:t>
            </w:r>
          </w:p>
        </w:tc>
      </w:tr>
      <w:tr>
        <w:tc>
          <w:tcPr/>
          <w:p>
            <w:pPr>
              <w:pStyle w:val="Compact"/>
              <w:spacing w:before="0" w:after="0" w:line="240" w:lineRule="auto"/>
              <w:ind w:firstLine="0" w:left="0"/>
            </w:pPr>
            <w:r>
              <w:rPr>
                <w:sz w:val="20"/>
                <w:szCs w:val="20"/>
              </w:rPr>
              <w:t xml:space="preserve">III Central Luzon</w:t>
            </w:r>
          </w:p>
        </w:tc>
        <w:tc>
          <w:tcPr/>
          <w:p>
            <w:pPr>
              <w:pStyle w:val="Compact"/>
              <w:spacing w:before="0" w:after="0" w:line="240" w:lineRule="auto"/>
              <w:ind w:firstLine="0" w:left="0"/>
            </w:pPr>
            <w:r>
              <w:rPr>
                <w:sz w:val="20"/>
                <w:szCs w:val="20"/>
              </w:rPr>
              <w:t xml:space="preserve">7.0</w:t>
            </w:r>
          </w:p>
        </w:tc>
        <w:tc>
          <w:tcPr/>
          <w:p>
            <w:pPr>
              <w:pStyle w:val="Compact"/>
              <w:spacing w:before="0" w:after="0" w:line="240" w:lineRule="auto"/>
              <w:ind w:firstLine="0" w:left="0"/>
            </w:pPr>
            <w:r>
              <w:rPr>
                <w:sz w:val="20"/>
                <w:szCs w:val="20"/>
              </w:rPr>
              <w:t xml:space="preserve">33.9</w:t>
            </w:r>
          </w:p>
        </w:tc>
        <w:tc>
          <w:tcPr/>
          <w:p>
            <w:pPr>
              <w:pStyle w:val="Compact"/>
              <w:spacing w:before="0" w:after="0" w:line="240" w:lineRule="auto"/>
              <w:ind w:firstLine="0" w:left="0"/>
            </w:pPr>
            <w:r>
              <w:rPr>
                <w:sz w:val="20"/>
                <w:szCs w:val="20"/>
              </w:rPr>
              <w:t xml:space="preserve">3.50 [2.56, 4.45]</w:t>
            </w:r>
          </w:p>
        </w:tc>
        <w:tc>
          <w:tcPr/>
          <w:p>
            <w:pPr>
              <w:pStyle w:val="Compact"/>
              <w:spacing w:before="0" w:after="0" w:line="240" w:lineRule="auto"/>
              <w:ind w:firstLine="0" w:left="0"/>
            </w:pPr>
            <w:r>
              <w:rPr>
                <w:sz w:val="20"/>
                <w:szCs w:val="20"/>
              </w:rPr>
              <w:t xml:space="preserve">6.00</w:t>
            </w:r>
          </w:p>
        </w:tc>
        <w:tc>
          <w:tcPr/>
          <w:p>
            <w:pPr>
              <w:pStyle w:val="Compact"/>
              <w:spacing w:before="0" w:after="0" w:line="240" w:lineRule="auto"/>
              <w:ind w:firstLine="0" w:left="0"/>
            </w:pPr>
            <w:r>
              <w:rPr>
                <w:sz w:val="20"/>
                <w:szCs w:val="20"/>
              </w:rPr>
              <w:t xml:space="preserve">605</w:t>
            </w:r>
          </w:p>
        </w:tc>
      </w:tr>
      <w:tr>
        <w:tc>
          <w:tcPr/>
          <w:p>
            <w:pPr>
              <w:pStyle w:val="Compact"/>
              <w:spacing w:before="0" w:after="0" w:line="240" w:lineRule="auto"/>
              <w:ind w:firstLine="0" w:left="0"/>
            </w:pPr>
            <w:r>
              <w:rPr>
                <w:sz w:val="20"/>
                <w:szCs w:val="20"/>
              </w:rPr>
              <w:t xml:space="preserve">IV-A CALABARZON</w:t>
            </w:r>
          </w:p>
        </w:tc>
        <w:tc>
          <w:tcPr/>
          <w:p>
            <w:pPr>
              <w:pStyle w:val="Compact"/>
              <w:spacing w:before="0" w:after="0" w:line="240" w:lineRule="auto"/>
              <w:ind w:firstLine="0" w:left="0"/>
            </w:pPr>
            <w:r>
              <w:rPr>
                <w:sz w:val="20"/>
                <w:szCs w:val="20"/>
              </w:rPr>
              <w:t xml:space="preserve">7.1</w:t>
            </w:r>
          </w:p>
        </w:tc>
        <w:tc>
          <w:tcPr/>
          <w:p>
            <w:pPr>
              <w:pStyle w:val="Compact"/>
              <w:spacing w:before="0" w:after="0" w:line="240" w:lineRule="auto"/>
              <w:ind w:firstLine="0" w:left="0"/>
            </w:pPr>
            <w:r>
              <w:rPr>
                <w:sz w:val="20"/>
                <w:szCs w:val="20"/>
              </w:rPr>
              <w:t xml:space="preserve">34.6</w:t>
            </w:r>
          </w:p>
        </w:tc>
        <w:tc>
          <w:tcPr/>
          <w:p>
            <w:pPr>
              <w:pStyle w:val="Compact"/>
              <w:spacing w:before="0" w:after="0" w:line="240" w:lineRule="auto"/>
              <w:ind w:firstLine="0" w:left="0"/>
            </w:pPr>
            <w:r>
              <w:rPr>
                <w:sz w:val="20"/>
                <w:szCs w:val="20"/>
              </w:rPr>
              <w:t xml:space="preserve">3.52 [2.57, 4.48]</w:t>
            </w:r>
          </w:p>
        </w:tc>
        <w:tc>
          <w:tcPr/>
          <w:p>
            <w:pPr>
              <w:pStyle w:val="Compact"/>
              <w:spacing w:before="0" w:after="0" w:line="240" w:lineRule="auto"/>
              <w:ind w:firstLine="0" w:left="0"/>
            </w:pPr>
            <w:r>
              <w:rPr>
                <w:sz w:val="20"/>
                <w:szCs w:val="20"/>
              </w:rPr>
              <w:t xml:space="preserve">4.96</w:t>
            </w:r>
          </w:p>
        </w:tc>
        <w:tc>
          <w:tcPr/>
          <w:p>
            <w:pPr>
              <w:pStyle w:val="Compact"/>
              <w:spacing w:before="0" w:after="0" w:line="240" w:lineRule="auto"/>
              <w:ind w:firstLine="0" w:left="0"/>
            </w:pPr>
            <w:r>
              <w:rPr>
                <w:sz w:val="20"/>
                <w:szCs w:val="20"/>
              </w:rPr>
              <w:t xml:space="preserve">596</w:t>
            </w:r>
          </w:p>
        </w:tc>
      </w:tr>
      <w:tr>
        <w:tc>
          <w:tcPr/>
          <w:p>
            <w:pPr>
              <w:pStyle w:val="Compact"/>
              <w:spacing w:before="0" w:after="0" w:line="240" w:lineRule="auto"/>
              <w:ind w:firstLine="0" w:left="0"/>
            </w:pPr>
            <w:r>
              <w:rPr>
                <w:sz w:val="20"/>
                <w:szCs w:val="20"/>
              </w:rPr>
              <w:t xml:space="preserve">MIMAROPA</w:t>
            </w:r>
          </w:p>
        </w:tc>
        <w:tc>
          <w:tcPr/>
          <w:p>
            <w:pPr>
              <w:pStyle w:val="Compact"/>
              <w:spacing w:before="0" w:after="0" w:line="240" w:lineRule="auto"/>
              <w:ind w:firstLine="0" w:left="0"/>
            </w:pPr>
            <w:r>
              <w:rPr>
                <w:sz w:val="20"/>
                <w:szCs w:val="20"/>
              </w:rPr>
              <w:t xml:space="preserve">15.1</w:t>
            </w:r>
          </w:p>
        </w:tc>
        <w:tc>
          <w:tcPr/>
          <w:p>
            <w:pPr>
              <w:pStyle w:val="Compact"/>
              <w:spacing w:before="0" w:after="0" w:line="240" w:lineRule="auto"/>
              <w:ind w:firstLine="0" w:left="0"/>
            </w:pPr>
            <w:r>
              <w:rPr>
                <w:sz w:val="20"/>
                <w:szCs w:val="20"/>
              </w:rPr>
              <w:t xml:space="preserve">30.9</w:t>
            </w:r>
          </w:p>
        </w:tc>
        <w:tc>
          <w:tcPr/>
          <w:p>
            <w:pPr>
              <w:pStyle w:val="Compact"/>
              <w:spacing w:before="0" w:after="0" w:line="240" w:lineRule="auto"/>
              <w:ind w:firstLine="0" w:left="0"/>
            </w:pPr>
            <w:r>
              <w:rPr>
                <w:sz w:val="20"/>
                <w:szCs w:val="20"/>
              </w:rPr>
              <w:t xml:space="preserve">3.13 [2.26, 4.00]</w:t>
            </w:r>
          </w:p>
        </w:tc>
        <w:tc>
          <w:tcPr/>
          <w:p>
            <w:pPr>
              <w:pStyle w:val="Compact"/>
              <w:spacing w:before="0" w:after="0" w:line="240" w:lineRule="auto"/>
              <w:ind w:firstLine="0" w:left="0"/>
            </w:pPr>
            <w:r>
              <w:rPr>
                <w:sz w:val="20"/>
                <w:szCs w:val="20"/>
              </w:rPr>
              <w:t xml:space="preserve">6.44</w:t>
            </w:r>
          </w:p>
        </w:tc>
        <w:tc>
          <w:tcPr/>
          <w:p>
            <w:pPr>
              <w:pStyle w:val="Compact"/>
              <w:spacing w:before="0" w:after="0" w:line="240" w:lineRule="auto"/>
              <w:ind w:firstLine="0" w:left="0"/>
            </w:pPr>
            <w:r>
              <w:rPr>
                <w:sz w:val="20"/>
                <w:szCs w:val="20"/>
              </w:rPr>
              <w:t xml:space="preserve">425</w:t>
            </w:r>
          </w:p>
        </w:tc>
      </w:tr>
      <w:tr>
        <w:tc>
          <w:tcPr/>
          <w:p>
            <w:pPr>
              <w:pStyle w:val="Compact"/>
              <w:spacing w:before="0" w:after="0" w:line="240" w:lineRule="auto"/>
              <w:ind w:firstLine="0" w:left="0"/>
            </w:pPr>
            <w:r>
              <w:rPr>
                <w:sz w:val="20"/>
                <w:szCs w:val="20"/>
              </w:rPr>
              <w:t xml:space="preserve">V Bicol</w:t>
            </w:r>
          </w:p>
        </w:tc>
        <w:tc>
          <w:tcPr/>
          <w:p>
            <w:pPr>
              <w:pStyle w:val="Compact"/>
              <w:spacing w:before="0" w:after="0" w:line="240" w:lineRule="auto"/>
              <w:ind w:firstLine="0" w:left="0"/>
            </w:pPr>
            <w:r>
              <w:rPr>
                <w:sz w:val="20"/>
                <w:szCs w:val="20"/>
              </w:rPr>
              <w:t xml:space="preserve">27.0</w:t>
            </w:r>
          </w:p>
        </w:tc>
        <w:tc>
          <w:tcPr/>
          <w:p>
            <w:pPr>
              <w:pStyle w:val="Compact"/>
              <w:spacing w:before="0" w:after="0" w:line="240" w:lineRule="auto"/>
              <w:ind w:firstLine="0" w:left="0"/>
            </w:pPr>
            <w:r>
              <w:rPr>
                <w:sz w:val="20"/>
                <w:szCs w:val="20"/>
              </w:rPr>
              <w:t xml:space="preserve">33.9</w:t>
            </w:r>
          </w:p>
        </w:tc>
        <w:tc>
          <w:tcPr/>
          <w:p>
            <w:pPr>
              <w:pStyle w:val="Compact"/>
              <w:spacing w:before="0" w:after="0" w:line="240" w:lineRule="auto"/>
              <w:ind w:firstLine="0" w:left="0"/>
            </w:pPr>
            <w:r>
              <w:rPr>
                <w:sz w:val="20"/>
                <w:szCs w:val="20"/>
              </w:rPr>
              <w:t xml:space="preserve">3.30 [2.37, 4.22]</w:t>
            </w:r>
          </w:p>
        </w:tc>
        <w:tc>
          <w:tcPr/>
          <w:p>
            <w:pPr>
              <w:pStyle w:val="Compact"/>
              <w:spacing w:before="0" w:after="0" w:line="240" w:lineRule="auto"/>
              <w:ind w:firstLine="0" w:left="0"/>
            </w:pPr>
            <w:r>
              <w:rPr>
                <w:sz w:val="20"/>
                <w:szCs w:val="20"/>
              </w:rPr>
              <w:t xml:space="preserve">6.21</w:t>
            </w:r>
          </w:p>
        </w:tc>
        <w:tc>
          <w:tcPr/>
          <w:p>
            <w:pPr>
              <w:pStyle w:val="Compact"/>
              <w:spacing w:before="0" w:after="0" w:line="240" w:lineRule="auto"/>
              <w:ind w:firstLine="0" w:left="0"/>
            </w:pPr>
            <w:r>
              <w:rPr>
                <w:sz w:val="20"/>
                <w:szCs w:val="20"/>
              </w:rPr>
              <w:t xml:space="preserve">503</w:t>
            </w:r>
          </w:p>
        </w:tc>
      </w:tr>
      <w:tr>
        <w:tc>
          <w:tcPr/>
          <w:p>
            <w:pPr>
              <w:pStyle w:val="Compact"/>
              <w:spacing w:before="0" w:after="0" w:line="240" w:lineRule="auto"/>
              <w:ind w:firstLine="0" w:left="0"/>
            </w:pPr>
            <w:r>
              <w:rPr>
                <w:sz w:val="20"/>
                <w:szCs w:val="20"/>
              </w:rPr>
              <w:t xml:space="preserve">VI Western Visayas†</w:t>
            </w:r>
          </w:p>
        </w:tc>
        <w:tc>
          <w:tcPr/>
          <w:p>
            <w:pPr>
              <w:pStyle w:val="Compact"/>
              <w:spacing w:before="0" w:after="0" w:line="240" w:lineRule="auto"/>
              <w:ind w:firstLine="0" w:left="0"/>
            </w:pPr>
            <w:r>
              <w:rPr>
                <w:sz w:val="20"/>
                <w:szCs w:val="20"/>
              </w:rPr>
              <w:t xml:space="preserve">14.2</w:t>
            </w:r>
          </w:p>
        </w:tc>
        <w:tc>
          <w:tcPr/>
          <w:p>
            <w:pPr>
              <w:pStyle w:val="Compact"/>
              <w:spacing w:before="0" w:after="0" w:line="240" w:lineRule="auto"/>
              <w:ind w:firstLine="0" w:left="0"/>
            </w:pPr>
            <w:r>
              <w:rPr>
                <w:sz w:val="20"/>
                <w:szCs w:val="20"/>
              </w:rPr>
              <w:t xml:space="preserve">31.6</w:t>
            </w:r>
          </w:p>
        </w:tc>
        <w:tc>
          <w:tcPr/>
          <w:p>
            <w:pPr>
              <w:pStyle w:val="Compact"/>
              <w:spacing w:before="0" w:after="0" w:line="240" w:lineRule="auto"/>
              <w:ind w:firstLine="0" w:left="0"/>
            </w:pPr>
            <w:r>
              <w:rPr>
                <w:sz w:val="20"/>
                <w:szCs w:val="20"/>
              </w:rPr>
              <w:t xml:space="preserve">3.20 [2.31, 4.08]</w:t>
            </w:r>
          </w:p>
        </w:tc>
        <w:tc>
          <w:tcPr/>
          <w:p>
            <w:pPr>
              <w:pStyle w:val="Compact"/>
              <w:spacing w:before="0" w:after="0" w:line="240" w:lineRule="auto"/>
              <w:ind w:firstLine="0" w:left="0"/>
            </w:pPr>
            <w:r>
              <w:rPr>
                <w:sz w:val="20"/>
                <w:szCs w:val="20"/>
              </w:rPr>
              <w:t xml:space="preserve">7.48</w:t>
            </w:r>
          </w:p>
        </w:tc>
        <w:tc>
          <w:tcPr/>
          <w:p>
            <w:pPr>
              <w:pStyle w:val="Compact"/>
              <w:spacing w:before="0" w:after="0" w:line="240" w:lineRule="auto"/>
              <w:ind w:firstLine="0" w:left="0"/>
            </w:pPr>
            <w:r>
              <w:rPr>
                <w:sz w:val="20"/>
                <w:szCs w:val="20"/>
              </w:rPr>
              <w:t xml:space="preserve">478</w:t>
            </w:r>
          </w:p>
        </w:tc>
      </w:tr>
      <w:tr>
        <w:tc>
          <w:tcPr/>
          <w:p>
            <w:pPr>
              <w:pStyle w:val="Compact"/>
              <w:spacing w:before="0" w:after="0" w:line="240" w:lineRule="auto"/>
              <w:ind w:firstLine="0" w:left="0"/>
            </w:pPr>
            <w:r>
              <w:rPr>
                <w:sz w:val="20"/>
                <w:szCs w:val="20"/>
              </w:rPr>
              <w:t xml:space="preserve">VII Central Visayas†</w:t>
            </w:r>
          </w:p>
        </w:tc>
        <w:tc>
          <w:tcPr/>
          <w:p>
            <w:pPr>
              <w:pStyle w:val="Compact"/>
              <w:spacing w:before="0" w:after="0" w:line="240" w:lineRule="auto"/>
              <w:ind w:firstLine="0" w:left="0"/>
            </w:pPr>
            <w:r>
              <w:rPr>
                <w:sz w:val="20"/>
                <w:szCs w:val="20"/>
              </w:rPr>
              <w:t xml:space="preserve">16.1</w:t>
            </w:r>
          </w:p>
        </w:tc>
        <w:tc>
          <w:tcPr/>
          <w:p>
            <w:pPr>
              <w:pStyle w:val="Compact"/>
              <w:spacing w:before="0" w:after="0" w:line="240" w:lineRule="auto"/>
              <w:ind w:firstLine="0" w:left="0"/>
            </w:pPr>
            <w:r>
              <w:rPr>
                <w:sz w:val="20"/>
                <w:szCs w:val="20"/>
              </w:rPr>
              <w:t xml:space="preserve">25.9</w:t>
            </w:r>
          </w:p>
        </w:tc>
        <w:tc>
          <w:tcPr/>
          <w:p>
            <w:pPr>
              <w:pStyle w:val="Compact"/>
              <w:spacing w:before="0" w:after="0" w:line="240" w:lineRule="auto"/>
              <w:ind w:firstLine="0" w:left="0"/>
            </w:pPr>
            <w:r>
              <w:rPr>
                <w:sz w:val="20"/>
                <w:szCs w:val="20"/>
              </w:rPr>
              <w:t xml:space="preserve">2.65 [1.94, 3.36]</w:t>
            </w:r>
          </w:p>
        </w:tc>
        <w:tc>
          <w:tcPr/>
          <w:p>
            <w:pPr>
              <w:pStyle w:val="Compact"/>
              <w:spacing w:before="0" w:after="0" w:line="240" w:lineRule="auto"/>
              <w:ind w:firstLine="0" w:left="0"/>
            </w:pPr>
            <w:r>
              <w:rPr>
                <w:sz w:val="20"/>
                <w:szCs w:val="20"/>
              </w:rPr>
              <w:t xml:space="preserve">5.90</w:t>
            </w:r>
          </w:p>
        </w:tc>
        <w:tc>
          <w:tcPr/>
          <w:p>
            <w:pPr>
              <w:pStyle w:val="Compact"/>
              <w:spacing w:before="0" w:after="0" w:line="240" w:lineRule="auto"/>
              <w:ind w:firstLine="0" w:left="0"/>
            </w:pPr>
            <w:r>
              <w:rPr>
                <w:sz w:val="20"/>
                <w:szCs w:val="20"/>
              </w:rPr>
              <w:t xml:space="preserve">419</w:t>
            </w:r>
          </w:p>
        </w:tc>
      </w:tr>
      <w:tr>
        <w:tc>
          <w:tcPr/>
          <w:p>
            <w:pPr>
              <w:pStyle w:val="Compact"/>
              <w:spacing w:before="0" w:after="0" w:line="240" w:lineRule="auto"/>
              <w:ind w:firstLine="0" w:left="0"/>
            </w:pPr>
            <w:r>
              <w:rPr>
                <w:sz w:val="20"/>
                <w:szCs w:val="20"/>
              </w:rPr>
              <w:t xml:space="preserve">VIII Eastern Visayas</w:t>
            </w:r>
          </w:p>
        </w:tc>
        <w:tc>
          <w:tcPr/>
          <w:p>
            <w:pPr>
              <w:pStyle w:val="Compact"/>
              <w:spacing w:before="0" w:after="0" w:line="240" w:lineRule="auto"/>
              <w:ind w:firstLine="0" w:left="0"/>
            </w:pPr>
            <w:r>
              <w:rPr>
                <w:sz w:val="20"/>
                <w:szCs w:val="20"/>
              </w:rPr>
              <w:t xml:space="preserve">30.7</w:t>
            </w:r>
          </w:p>
        </w:tc>
        <w:tc>
          <w:tcPr/>
          <w:p>
            <w:pPr>
              <w:pStyle w:val="Compact"/>
              <w:spacing w:before="0" w:after="0" w:line="240" w:lineRule="auto"/>
              <w:ind w:firstLine="0" w:left="0"/>
            </w:pPr>
            <w:r>
              <w:rPr>
                <w:sz w:val="20"/>
                <w:szCs w:val="20"/>
              </w:rPr>
              <w:t xml:space="preserve">27.4</w:t>
            </w:r>
          </w:p>
        </w:tc>
        <w:tc>
          <w:tcPr/>
          <w:p>
            <w:pPr>
              <w:pStyle w:val="Compact"/>
              <w:spacing w:before="0" w:after="0" w:line="240" w:lineRule="auto"/>
              <w:ind w:firstLine="0" w:left="0"/>
            </w:pPr>
            <w:r>
              <w:rPr>
                <w:sz w:val="20"/>
                <w:szCs w:val="20"/>
              </w:rPr>
              <w:t xml:space="preserve">2.85 [2.07, 3.62]</w:t>
            </w:r>
          </w:p>
        </w:tc>
        <w:tc>
          <w:tcPr/>
          <w:p>
            <w:pPr>
              <w:pStyle w:val="Compact"/>
              <w:spacing w:before="0" w:after="0" w:line="240" w:lineRule="auto"/>
              <w:ind w:firstLine="0" w:left="0"/>
            </w:pPr>
            <w:r>
              <w:rPr>
                <w:sz w:val="20"/>
                <w:szCs w:val="20"/>
              </w:rPr>
              <w:t xml:space="preserve">6.80</w:t>
            </w:r>
          </w:p>
        </w:tc>
        <w:tc>
          <w:tcPr/>
          <w:p>
            <w:pPr>
              <w:pStyle w:val="Compact"/>
              <w:spacing w:before="0" w:after="0" w:line="240" w:lineRule="auto"/>
              <w:ind w:firstLine="0" w:left="0"/>
            </w:pPr>
            <w:r>
              <w:rPr>
                <w:sz w:val="20"/>
                <w:szCs w:val="20"/>
              </w:rPr>
              <w:t xml:space="preserve">410</w:t>
            </w:r>
          </w:p>
        </w:tc>
      </w:tr>
      <w:tr>
        <w:tc>
          <w:tcPr/>
          <w:p>
            <w:pPr>
              <w:pStyle w:val="Compact"/>
              <w:spacing w:before="0" w:after="0" w:line="240" w:lineRule="auto"/>
              <w:ind w:firstLine="0" w:left="0"/>
            </w:pPr>
            <w:r>
              <w:rPr>
                <w:sz w:val="20"/>
                <w:szCs w:val="20"/>
              </w:rPr>
              <w:t xml:space="preserve">IX Zamboanga Peninsula</w:t>
            </w:r>
          </w:p>
        </w:tc>
        <w:tc>
          <w:tcPr/>
          <w:p>
            <w:pPr>
              <w:pStyle w:val="Compact"/>
              <w:spacing w:before="0" w:after="0" w:line="240" w:lineRule="auto"/>
              <w:ind w:firstLine="0" w:left="0"/>
            </w:pPr>
            <w:r>
              <w:rPr>
                <w:sz w:val="20"/>
                <w:szCs w:val="20"/>
              </w:rPr>
              <w:t xml:space="preserve">32.7</w:t>
            </w:r>
          </w:p>
        </w:tc>
        <w:tc>
          <w:tcPr/>
          <w:p>
            <w:pPr>
              <w:pStyle w:val="Compact"/>
              <w:spacing w:before="0" w:after="0" w:line="240" w:lineRule="auto"/>
              <w:ind w:firstLine="0" w:left="0"/>
            </w:pPr>
            <w:r>
              <w:rPr>
                <w:sz w:val="20"/>
                <w:szCs w:val="20"/>
              </w:rPr>
              <w:t xml:space="preserve">29.4</w:t>
            </w:r>
          </w:p>
        </w:tc>
        <w:tc>
          <w:tcPr/>
          <w:p>
            <w:pPr>
              <w:pStyle w:val="Compact"/>
              <w:spacing w:before="0" w:after="0" w:line="240" w:lineRule="auto"/>
              <w:ind w:firstLine="0" w:left="0"/>
            </w:pPr>
            <w:r>
              <w:rPr>
                <w:sz w:val="20"/>
                <w:szCs w:val="20"/>
              </w:rPr>
              <w:t xml:space="preserve">3.07 [2.23, 3.91]</w:t>
            </w:r>
          </w:p>
        </w:tc>
        <w:tc>
          <w:tcPr/>
          <w:p>
            <w:pPr>
              <w:pStyle w:val="Compact"/>
              <w:spacing w:before="0" w:after="0" w:line="240" w:lineRule="auto"/>
              <w:ind w:firstLine="0" w:left="0"/>
            </w:pPr>
            <w:r>
              <w:rPr>
                <w:sz w:val="20"/>
                <w:szCs w:val="20"/>
              </w:rPr>
              <w:t xml:space="preserve">7.07</w:t>
            </w:r>
          </w:p>
        </w:tc>
        <w:tc>
          <w:tcPr/>
          <w:p>
            <w:pPr>
              <w:pStyle w:val="Compact"/>
              <w:spacing w:before="0" w:after="0" w:line="240" w:lineRule="auto"/>
              <w:ind w:firstLine="0" w:left="0"/>
            </w:pPr>
            <w:r>
              <w:rPr>
                <w:sz w:val="20"/>
                <w:szCs w:val="20"/>
              </w:rPr>
              <w:t xml:space="preserve">457</w:t>
            </w:r>
          </w:p>
        </w:tc>
      </w:tr>
      <w:tr>
        <w:tc>
          <w:tcPr/>
          <w:p>
            <w:pPr>
              <w:pStyle w:val="Compact"/>
              <w:spacing w:before="0" w:after="0" w:line="240" w:lineRule="auto"/>
              <w:ind w:firstLine="0" w:left="0"/>
            </w:pPr>
            <w:r>
              <w:rPr>
                <w:sz w:val="20"/>
                <w:szCs w:val="20"/>
              </w:rPr>
              <w:t xml:space="preserve">X Northern Mindanao</w:t>
            </w:r>
          </w:p>
        </w:tc>
        <w:tc>
          <w:tcPr/>
          <w:p>
            <w:pPr>
              <w:pStyle w:val="Compact"/>
              <w:spacing w:before="0" w:after="0" w:line="240" w:lineRule="auto"/>
              <w:ind w:firstLine="0" w:left="0"/>
            </w:pPr>
            <w:r>
              <w:rPr>
                <w:sz w:val="20"/>
                <w:szCs w:val="20"/>
              </w:rPr>
              <w:t xml:space="preserve">23.1</w:t>
            </w:r>
          </w:p>
        </w:tc>
        <w:tc>
          <w:tcPr/>
          <w:p>
            <w:pPr>
              <w:pStyle w:val="Compact"/>
              <w:spacing w:before="0" w:after="0" w:line="240" w:lineRule="auto"/>
              <w:ind w:firstLine="0" w:left="0"/>
            </w:pPr>
            <w:r>
              <w:rPr>
                <w:sz w:val="20"/>
                <w:szCs w:val="20"/>
              </w:rPr>
              <w:t xml:space="preserve">31.7</w:t>
            </w:r>
          </w:p>
        </w:tc>
        <w:tc>
          <w:tcPr/>
          <w:p>
            <w:pPr>
              <w:pStyle w:val="Compact"/>
              <w:spacing w:before="0" w:after="0" w:line="240" w:lineRule="auto"/>
              <w:ind w:firstLine="0" w:left="0"/>
            </w:pPr>
            <w:r>
              <w:rPr>
                <w:sz w:val="20"/>
                <w:szCs w:val="20"/>
              </w:rPr>
              <w:t xml:space="preserve">3.17 [2.28, 4.06]</w:t>
            </w:r>
          </w:p>
        </w:tc>
        <w:tc>
          <w:tcPr/>
          <w:p>
            <w:pPr>
              <w:pStyle w:val="Compact"/>
              <w:spacing w:before="0" w:after="0" w:line="240" w:lineRule="auto"/>
              <w:ind w:firstLine="0" w:left="0"/>
            </w:pPr>
            <w:r>
              <w:rPr>
                <w:sz w:val="20"/>
                <w:szCs w:val="20"/>
              </w:rPr>
              <w:t xml:space="preserve">5.30</w:t>
            </w:r>
          </w:p>
        </w:tc>
        <w:tc>
          <w:tcPr/>
          <w:p>
            <w:pPr>
              <w:pStyle w:val="Compact"/>
              <w:spacing w:before="0" w:after="0" w:line="240" w:lineRule="auto"/>
              <w:ind w:firstLine="0" w:left="0"/>
            </w:pPr>
            <w:r>
              <w:rPr>
                <w:sz w:val="20"/>
                <w:szCs w:val="20"/>
              </w:rPr>
              <w:t xml:space="preserve">474</w:t>
            </w:r>
          </w:p>
        </w:tc>
      </w:tr>
      <w:tr>
        <w:tc>
          <w:tcPr/>
          <w:p>
            <w:pPr>
              <w:pStyle w:val="Compact"/>
              <w:spacing w:before="0" w:after="0" w:line="240" w:lineRule="auto"/>
              <w:ind w:firstLine="0" w:left="0"/>
            </w:pPr>
            <w:r>
              <w:rPr>
                <w:sz w:val="20"/>
                <w:szCs w:val="20"/>
              </w:rPr>
              <w:t xml:space="preserve">XI Davao</w:t>
            </w:r>
          </w:p>
        </w:tc>
        <w:tc>
          <w:tcPr/>
          <w:p>
            <w:pPr>
              <w:pStyle w:val="Compact"/>
              <w:spacing w:before="0" w:after="0" w:line="240" w:lineRule="auto"/>
              <w:ind w:firstLine="0" w:left="0"/>
            </w:pPr>
            <w:r>
              <w:rPr>
                <w:sz w:val="20"/>
                <w:szCs w:val="20"/>
              </w:rPr>
              <w:t xml:space="preserve">19.1</w:t>
            </w:r>
          </w:p>
        </w:tc>
        <w:tc>
          <w:tcPr/>
          <w:p>
            <w:pPr>
              <w:pStyle w:val="Compact"/>
              <w:spacing w:before="0" w:after="0" w:line="240" w:lineRule="auto"/>
              <w:ind w:firstLine="0" w:left="0"/>
            </w:pPr>
            <w:r>
              <w:rPr>
                <w:sz w:val="20"/>
                <w:szCs w:val="20"/>
              </w:rPr>
              <w:t xml:space="preserve">29.3</w:t>
            </w:r>
          </w:p>
        </w:tc>
        <w:tc>
          <w:tcPr/>
          <w:p>
            <w:pPr>
              <w:pStyle w:val="Compact"/>
              <w:spacing w:before="0" w:after="0" w:line="240" w:lineRule="auto"/>
              <w:ind w:firstLine="0" w:left="0"/>
            </w:pPr>
            <w:r>
              <w:rPr>
                <w:sz w:val="20"/>
                <w:szCs w:val="20"/>
              </w:rPr>
              <w:t xml:space="preserve">2.97 [2.14, 3.79]</w:t>
            </w:r>
          </w:p>
        </w:tc>
        <w:tc>
          <w:tcPr/>
          <w:p>
            <w:pPr>
              <w:pStyle w:val="Compact"/>
              <w:spacing w:before="0" w:after="0" w:line="240" w:lineRule="auto"/>
              <w:ind w:firstLine="0" w:left="0"/>
            </w:pPr>
            <w:r>
              <w:rPr>
                <w:sz w:val="20"/>
                <w:szCs w:val="20"/>
              </w:rPr>
              <w:t xml:space="preserve">8.52</w:t>
            </w:r>
          </w:p>
        </w:tc>
        <w:tc>
          <w:tcPr/>
          <w:p>
            <w:pPr>
              <w:pStyle w:val="Compact"/>
              <w:spacing w:before="0" w:after="0" w:line="240" w:lineRule="auto"/>
              <w:ind w:firstLine="0" w:left="0"/>
            </w:pPr>
            <w:r>
              <w:rPr>
                <w:sz w:val="20"/>
                <w:szCs w:val="20"/>
              </w:rPr>
              <w:t xml:space="preserve">417</w:t>
            </w:r>
          </w:p>
        </w:tc>
      </w:tr>
      <w:tr>
        <w:tc>
          <w:tcPr/>
          <w:p>
            <w:pPr>
              <w:pStyle w:val="Compact"/>
              <w:spacing w:before="0" w:after="0" w:line="240" w:lineRule="auto"/>
              <w:ind w:firstLine="0" w:left="0"/>
            </w:pPr>
            <w:r>
              <w:rPr>
                <w:sz w:val="20"/>
                <w:szCs w:val="20"/>
              </w:rPr>
              <w:t xml:space="preserve">XII SOCCSKSARGEN†</w:t>
            </w:r>
          </w:p>
        </w:tc>
        <w:tc>
          <w:tcPr/>
          <w:p>
            <w:pPr>
              <w:pStyle w:val="Compact"/>
              <w:spacing w:before="0" w:after="0" w:line="240" w:lineRule="auto"/>
              <w:ind w:firstLine="0" w:left="0"/>
            </w:pPr>
            <w:r>
              <w:rPr>
                <w:sz w:val="20"/>
                <w:szCs w:val="20"/>
              </w:rPr>
              <w:t xml:space="preserve">27.3</w:t>
            </w:r>
          </w:p>
        </w:tc>
        <w:tc>
          <w:tcPr/>
          <w:p>
            <w:pPr>
              <w:pStyle w:val="Compact"/>
              <w:spacing w:before="0" w:after="0" w:line="240" w:lineRule="auto"/>
              <w:ind w:firstLine="0" w:left="0"/>
            </w:pPr>
            <w:r>
              <w:rPr>
                <w:sz w:val="20"/>
                <w:szCs w:val="20"/>
              </w:rPr>
              <w:t xml:space="preserve">29.6</w:t>
            </w:r>
          </w:p>
        </w:tc>
        <w:tc>
          <w:tcPr/>
          <w:p>
            <w:pPr>
              <w:pStyle w:val="Compact"/>
              <w:spacing w:before="0" w:after="0" w:line="240" w:lineRule="auto"/>
              <w:ind w:firstLine="0" w:left="0"/>
            </w:pPr>
            <w:r>
              <w:rPr>
                <w:sz w:val="20"/>
                <w:szCs w:val="20"/>
              </w:rPr>
              <w:t xml:space="preserve">3.00 [2.16, 3.84]</w:t>
            </w:r>
          </w:p>
        </w:tc>
        <w:tc>
          <w:tcPr/>
          <w:p>
            <w:pPr>
              <w:pStyle w:val="Compact"/>
              <w:spacing w:before="0" w:after="0" w:line="240" w:lineRule="auto"/>
              <w:ind w:firstLine="0" w:left="0"/>
            </w:pPr>
            <w:r>
              <w:rPr>
                <w:sz w:val="20"/>
                <w:szCs w:val="20"/>
              </w:rPr>
              <w:t xml:space="preserve">6.10</w:t>
            </w:r>
          </w:p>
        </w:tc>
        <w:tc>
          <w:tcPr/>
          <w:p>
            <w:pPr>
              <w:pStyle w:val="Compact"/>
              <w:spacing w:before="0" w:after="0" w:line="240" w:lineRule="auto"/>
              <w:ind w:firstLine="0" w:left="0"/>
            </w:pPr>
            <w:r>
              <w:rPr>
                <w:sz w:val="20"/>
                <w:szCs w:val="20"/>
              </w:rPr>
              <w:t xml:space="preserve">390</w:t>
            </w:r>
          </w:p>
        </w:tc>
      </w:tr>
      <w:tr>
        <w:tc>
          <w:tcPr/>
          <w:p>
            <w:pPr>
              <w:pStyle w:val="Compact"/>
              <w:spacing w:before="0" w:after="0" w:line="240" w:lineRule="auto"/>
              <w:ind w:firstLine="0" w:left="0"/>
            </w:pPr>
            <w:r>
              <w:rPr>
                <w:sz w:val="20"/>
                <w:szCs w:val="20"/>
              </w:rPr>
              <w:t xml:space="preserve">XIII Caraga</w:t>
            </w:r>
          </w:p>
        </w:tc>
        <w:tc>
          <w:tcPr/>
          <w:p>
            <w:pPr>
              <w:pStyle w:val="Compact"/>
              <w:spacing w:before="0" w:after="0" w:line="240" w:lineRule="auto"/>
              <w:ind w:firstLine="0" w:left="0"/>
            </w:pPr>
            <w:r>
              <w:rPr>
                <w:sz w:val="20"/>
                <w:szCs w:val="20"/>
              </w:rPr>
              <w:t xml:space="preserve">30.5</w:t>
            </w:r>
          </w:p>
        </w:tc>
        <w:tc>
          <w:tcPr/>
          <w:p>
            <w:pPr>
              <w:pStyle w:val="Compact"/>
              <w:spacing w:before="0" w:after="0" w:line="240" w:lineRule="auto"/>
              <w:ind w:firstLine="0" w:left="0"/>
            </w:pPr>
            <w:r>
              <w:rPr>
                <w:sz w:val="20"/>
                <w:szCs w:val="20"/>
              </w:rPr>
              <w:t xml:space="preserve">31.1</w:t>
            </w:r>
          </w:p>
        </w:tc>
        <w:tc>
          <w:tcPr/>
          <w:p>
            <w:pPr>
              <w:pStyle w:val="Compact"/>
              <w:spacing w:before="0" w:after="0" w:line="240" w:lineRule="auto"/>
              <w:ind w:firstLine="0" w:left="0"/>
            </w:pPr>
            <w:r>
              <w:rPr>
                <w:sz w:val="20"/>
                <w:szCs w:val="20"/>
              </w:rPr>
              <w:t xml:space="preserve">3.11 [2.25, 3.96]</w:t>
            </w:r>
          </w:p>
        </w:tc>
        <w:tc>
          <w:tcPr/>
          <w:p>
            <w:pPr>
              <w:pStyle w:val="Compact"/>
              <w:spacing w:before="0" w:after="0" w:line="240" w:lineRule="auto"/>
              <w:ind w:firstLine="0" w:left="0"/>
            </w:pPr>
            <w:r>
              <w:rPr>
                <w:sz w:val="20"/>
                <w:szCs w:val="20"/>
              </w:rPr>
              <w:t xml:space="preserve">7.10</w:t>
            </w:r>
          </w:p>
        </w:tc>
        <w:tc>
          <w:tcPr/>
          <w:p>
            <w:pPr>
              <w:pStyle w:val="Compact"/>
              <w:spacing w:before="0" w:after="0" w:line="240" w:lineRule="auto"/>
              <w:ind w:firstLine="0" w:left="0"/>
            </w:pPr>
            <w:r>
              <w:rPr>
                <w:sz w:val="20"/>
                <w:szCs w:val="20"/>
              </w:rPr>
              <w:t xml:space="preserve">409</w:t>
            </w:r>
          </w:p>
        </w:tc>
      </w:tr>
      <w:tr>
        <w:tc>
          <w:tcPr/>
          <w:p>
            <w:pPr>
              <w:pStyle w:val="Compact"/>
              <w:spacing w:before="0" w:after="0" w:line="240" w:lineRule="auto"/>
              <w:ind w:firstLine="0" w:left="0"/>
            </w:pPr>
            <w:r>
              <w:rPr>
                <w:sz w:val="20"/>
                <w:szCs w:val="20"/>
              </w:rPr>
              <w:t xml:space="preserve">BARMM†</w:t>
            </w:r>
          </w:p>
        </w:tc>
        <w:tc>
          <w:tcPr/>
          <w:p>
            <w:pPr>
              <w:pStyle w:val="Compact"/>
              <w:spacing w:before="0" w:after="0" w:line="240" w:lineRule="auto"/>
              <w:ind w:firstLine="0" w:left="0"/>
            </w:pPr>
            <w:r>
              <w:rPr>
                <w:sz w:val="20"/>
                <w:szCs w:val="20"/>
              </w:rPr>
              <w:t xml:space="preserve">60.4</w:t>
            </w:r>
          </w:p>
        </w:tc>
        <w:tc>
          <w:tcPr/>
          <w:p>
            <w:pPr>
              <w:pStyle w:val="Compact"/>
              <w:spacing w:before="0" w:after="0" w:line="240" w:lineRule="auto"/>
              <w:ind w:firstLine="0" w:left="0"/>
            </w:pPr>
            <w:r>
              <w:rPr>
                <w:sz w:val="20"/>
                <w:szCs w:val="20"/>
              </w:rPr>
              <w:t xml:space="preserve">33.5</w:t>
            </w:r>
          </w:p>
        </w:tc>
        <w:tc>
          <w:tcPr/>
          <w:p>
            <w:pPr>
              <w:pStyle w:val="Compact"/>
              <w:spacing w:before="0" w:after="0" w:line="240" w:lineRule="auto"/>
              <w:ind w:firstLine="0" w:left="0"/>
            </w:pPr>
            <w:r>
              <w:rPr>
                <w:sz w:val="20"/>
                <w:szCs w:val="20"/>
              </w:rPr>
              <w:t xml:space="preserve">3.30 [2.38, 4.21]</w:t>
            </w:r>
          </w:p>
        </w:tc>
        <w:tc>
          <w:tcPr/>
          <w:p>
            <w:pPr>
              <w:pStyle w:val="Compact"/>
              <w:spacing w:before="0" w:after="0" w:line="240" w:lineRule="auto"/>
              <w:ind w:firstLine="0" w:left="0"/>
            </w:pPr>
            <w:r>
              <w:rPr>
                <w:sz w:val="20"/>
                <w:szCs w:val="20"/>
              </w:rPr>
              <w:t xml:space="preserve">7.88</w:t>
            </w:r>
          </w:p>
        </w:tc>
        <w:tc>
          <w:tcPr/>
          <w:p>
            <w:pPr>
              <w:pStyle w:val="Compact"/>
              <w:spacing w:before="0" w:after="0" w:line="240" w:lineRule="auto"/>
              <w:ind w:firstLine="0" w:left="0"/>
            </w:pPr>
            <w:r>
              <w:rPr>
                <w:sz w:val="20"/>
                <w:szCs w:val="20"/>
              </w:rPr>
              <w:t xml:space="preserve">444</w:t>
            </w:r>
          </w:p>
        </w:tc>
      </w:tr>
      <w:tr>
        <w:tc>
          <w:tcPr/>
          <w:p>
            <w:pPr>
              <w:pStyle w:val="Compact"/>
              <w:spacing w:before="0" w:after="0" w:line="240" w:lineRule="auto"/>
              <w:ind w:firstLine="0" w:left="0"/>
            </w:pPr>
            <w:r>
              <w:rPr>
                <w:sz w:val="20"/>
                <w:szCs w:val="20"/>
              </w:rPr>
              <w:t xml:space="preserve">Philippines</w:t>
            </w:r>
          </w:p>
        </w:tc>
        <w:tc>
          <w:tcPr/>
          <w:p>
            <w:pPr>
              <w:pStyle w:val="Compact"/>
              <w:spacing w:before="0" w:after="0" w:line="240" w:lineRule="auto"/>
              <w:ind w:firstLine="0" w:left="0"/>
            </w:pPr>
            <w:r>
              <w:rPr>
                <w:sz w:val="20"/>
                <w:szCs w:val="20"/>
              </w:rPr>
              <w:t xml:space="preserve">16.7</w:t>
            </w:r>
          </w:p>
        </w:tc>
        <w:tc>
          <w:tcPr/>
          <w:p>
            <w:pPr>
              <w:pStyle w:val="Compact"/>
              <w:spacing w:before="0" w:after="0" w:line="240" w:lineRule="auto"/>
              <w:ind w:firstLine="0" w:left="0"/>
            </w:pPr>
            <w:r>
              <w:rPr>
                <w:sz w:val="20"/>
                <w:szCs w:val="20"/>
              </w:rPr>
              <w:t xml:space="preserve">32.5</w:t>
            </w:r>
          </w:p>
        </w:tc>
        <w:tc>
          <w:tcPr/>
          <w:p>
            <w:pPr>
              <w:pStyle w:val="Compact"/>
              <w:spacing w:before="0" w:after="0" w:line="240" w:lineRule="auto"/>
              <w:ind w:firstLine="0" w:left="0"/>
            </w:pPr>
            <w:r>
              <w:rPr>
                <w:sz w:val="20"/>
                <w:szCs w:val="20"/>
              </w:rPr>
              <w:t xml:space="preserve">3.13 [2.16, 4.10]</w:t>
            </w:r>
          </w:p>
        </w:tc>
        <w:tc>
          <w:tcPr/>
          <w:p>
            <w:pPr>
              <w:pStyle w:val="Compact"/>
              <w:spacing w:before="0" w:after="0" w:line="240" w:lineRule="auto"/>
              <w:ind w:firstLine="0" w:left="0"/>
            </w:pPr>
            <w:r>
              <w:rPr>
                <w:sz w:val="20"/>
                <w:szCs w:val="20"/>
              </w:rPr>
              <w:t xml:space="preserve">5.98</w:t>
            </w:r>
          </w:p>
        </w:tc>
        <w:tc>
          <w:tcPr/>
          <w:p>
            <w:pPr>
              <w:pStyle w:val="Compact"/>
              <w:spacing w:before="0" w:after="0" w:line="240" w:lineRule="auto"/>
              <w:ind w:firstLine="0" w:left="0"/>
            </w:pPr>
            <w:r>
              <w:rPr>
                <w:sz w:val="20"/>
                <w:szCs w:val="20"/>
              </w:rPr>
              <w:t xml:space="preserve">467</w:t>
            </w:r>
          </w:p>
        </w:tc>
      </w:tr>
    </w:tbl>
    <w:p>
      <w:pPr>
        <w:pStyle w:val="TableNote"/>
      </w:pPr>
      <w:r>
        <w:rPr>
          <w:i/>
          <w:iCs/>
        </w:rPr>
        <w:t xml:space="preserve">Notes:</w:t>
      </w:r>
      <w:r>
        <w:t xml:space="preserve"> </w:t>
      </w:r>
      <w:r>
        <w:t xml:space="preserve">100 × log points. Fuel-driven rise: panel responses estimated to December 2025, applied to each region’s fuel path (national model for the Philippines); indicative range in brackets. Extra cost: for a family of five at the official poverty line. †Boundary changed in 2024.</w:t>
      </w:r>
    </w:p>
    <w:bookmarkEnd w:id="80"/>
    <w:bookmarkStart w:id="84" w:name="what-drove-the-poors-extra-inflation"/>
    <w:p>
      <w:pPr>
        <w:pStyle w:val="Heading3"/>
      </w:pPr>
      <w:r>
        <w:t xml:space="preserve">4.5.3 What drove the poor’s extra inflation?</w:t>
      </w:r>
    </w:p>
    <w:p>
      <w:pPr>
        <w:pStyle w:val="FirstParagraph"/>
      </w:pPr>
      <w:r>
        <w:t xml:space="preserve">Between December 2025 and August 2026, the bottom-30% CPI rose 6.16% and the all-income CPI 4.92%, a gap of +1.24 percentage points (Figure 8). Rice and other cereals contributed +1.67 points: cereal prices rose 18.3% in the poor’s basket against 15.7% in the average, and cereals weigh 19.6% of the poor’s basket against 9.4%. Passenger fares added +0.15 points and household fuels +0.13. Private vehicle fuel (−0.38) and rents (−0.23) worked the other way. Historically, cereal prices barely respond to pump prices within a year (0.012 to 0.019; Table 11), so the 2026 rice increase probably reflects higher fertilizer and freight costs and changes in rice import policy</w:t>
      </w:r>
      <w:r>
        <w:t xml:space="preserve"> </w:t>
      </w:r>
      <w:r>
        <w:t xml:space="preserve">(</w:t>
      </w:r>
      <w:hyperlink w:anchor="ref-usda_fas_2026">
        <w:r>
          <w:rPr>
            <w:rStyle w:val="Hyperlink"/>
          </w:rPr>
          <w:t xml:space="preserve">USDA Foreign Agricultural Service 2026</w:t>
        </w:r>
      </w:hyperlink>
      <w:r>
        <w:t xml:space="preserve">)</w:t>
      </w:r>
      <w:r>
        <w:t xml:space="preserve"> </w:t>
      </w:r>
      <w:r>
        <w:t xml:space="preserve">more than the direct pass-through of fuel; the data cannot separate these causes.</w:t>
      </w:r>
    </w:p>
    <w:p>
      <w:pPr>
        <w:pStyle w:val="CaptionedFigure"/>
      </w:pPr>
      <w:r>
        <w:drawing>
          <wp:inline>
            <wp:extent cx="5052060" cy="2360311"/>
            <wp:effectExtent b="0" l="0" r="0" t="0"/>
            <wp:docPr descr="Figure 8. Contribution of each item group to the difference between bottom-30% and all-income price changes, December 2025 to August 2026." title="" id="82" name="Picture"/>
            <a:graphic>
              <a:graphicData uri="http://schemas.openxmlformats.org/drawingml/2006/picture">
                <pic:pic>
                  <pic:nvPicPr>
                    <pic:cNvPr descr="../output/figures/fig08_rq3_decomposition.png" id="83" name="Picture"/>
                    <pic:cNvPicPr>
                      <a:picLocks noChangeArrowheads="1" noChangeAspect="1"/>
                    </pic:cNvPicPr>
                  </pic:nvPicPr>
                  <pic:blipFill>
                    <a:blip r:embed="rId81"/>
                    <a:stretch>
                      <a:fillRect/>
                    </a:stretch>
                  </pic:blipFill>
                  <pic:spPr bwMode="auto">
                    <a:xfrm>
                      <a:off x="0" y="0"/>
                      <a:ext cx="5052060" cy="2360311"/>
                    </a:xfrm>
                    <a:prstGeom prst="rect">
                      <a:avLst/>
                    </a:prstGeom>
                    <a:noFill/>
                    <a:ln w="9525">
                      <a:noFill/>
                      <a:headEnd/>
                      <a:tailEnd/>
                    </a:ln>
                  </pic:spPr>
                </pic:pic>
              </a:graphicData>
            </a:graphic>
          </wp:inline>
        </w:drawing>
      </w:r>
    </w:p>
    <w:p>
      <w:pPr>
        <w:pStyle w:val="ImageCaption"/>
      </w:pPr>
      <w:r>
        <w:t xml:space="preserve">Figure 8. Contribution of each item group to the difference between bottom-30% and all-income price changes, December 2025 to August 2026.</w:t>
      </w:r>
    </w:p>
    <w:p>
      <w:pPr>
        <w:pStyle w:val="BodyText"/>
      </w:pPr>
      <w:r>
        <w:t xml:space="preserve">Table 11 shows the household fuels, fares and cereals behind these results. LPG prices respond equally in both baskets (0.730 and 0.722), and LPG has the same budget share in both (1.27% and 1.33%). Kerosene responds strongly but is only 0.27% of even the poor’s basket. Charcoal and wood are 4.02% of the poor’s basket against 0.87% of the average, and do not respond to oil prices. The poor’s fares have historically responded little (0.010 against 0.071).</w:t>
      </w:r>
    </w:p>
    <w:p>
      <w:pPr>
        <w:pStyle w:val="TableCaption"/>
      </w:pPr>
      <w:r>
        <w:t xml:space="preserve">Table 11. Household fuels, fares and cereals: budget shares and responses after 12 months, 2013–2026</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11. Household fuels, fares and cereals: budget shares and responses after 12 months, 2013–2026"/>
      </w:tblPr>
      <w:tblGrid>
        <w:gridCol w:w="1584"/>
        <w:gridCol w:w="1584"/>
        <w:gridCol w:w="1584"/>
        <w:gridCol w:w="1584"/>
        <w:gridCol w:w="1584"/>
      </w:tblGrid>
      <w:tr>
        <w:trPr>
          <w:tblHeader w:val="on"/>
        </w:trPr>
        <w:tc>
          <w:tcPr>
            <w:tcBorders>
              <w:bottom w:val="single" w:sz="6" w:space="0" w:color="000000"/>
            </w:tcBorders>
          </w:tcPr>
          <w:p>
            <w:pPr>
              <w:pStyle w:val="Compact"/>
              <w:spacing w:before="0" w:after="0" w:line="240" w:lineRule="auto"/>
              <w:ind w:firstLine="0" w:left="0"/>
            </w:pPr>
            <w:r>
              <w:rPr>
                <w:sz w:val="20"/>
                <w:szCs w:val="20"/>
              </w:rPr>
              <w:t xml:space="preserve">Item</w:t>
            </w:r>
          </w:p>
        </w:tc>
        <w:tc>
          <w:tcPr>
            <w:tcBorders>
              <w:bottom w:val="single" w:sz="6" w:space="0" w:color="000000"/>
            </w:tcBorders>
          </w:tcPr>
          <w:p>
            <w:pPr>
              <w:pStyle w:val="Compact"/>
              <w:spacing w:before="0" w:after="0" w:line="240" w:lineRule="auto"/>
              <w:ind w:firstLine="0" w:left="0"/>
            </w:pPr>
            <w:r>
              <w:rPr>
                <w:sz w:val="20"/>
                <w:szCs w:val="20"/>
              </w:rPr>
              <w:t xml:space="preserve">Weight, all (%)</w:t>
            </w:r>
          </w:p>
        </w:tc>
        <w:tc>
          <w:tcPr>
            <w:tcBorders>
              <w:bottom w:val="single" w:sz="6" w:space="0" w:color="000000"/>
            </w:tcBorders>
          </w:tcPr>
          <w:p>
            <w:pPr>
              <w:pStyle w:val="Compact"/>
              <w:spacing w:before="0" w:after="0" w:line="240" w:lineRule="auto"/>
              <w:ind w:firstLine="0" w:left="0"/>
            </w:pPr>
            <w:r>
              <w:rPr>
                <w:sz w:val="20"/>
                <w:szCs w:val="20"/>
              </w:rPr>
              <w:t xml:space="preserve">Weight, bottom 30% (%)</w:t>
            </w:r>
          </w:p>
        </w:tc>
        <w:tc>
          <w:tcPr>
            <w:tcBorders>
              <w:bottom w:val="single" w:sz="6" w:space="0" w:color="000000"/>
            </w:tcBorders>
          </w:tcPr>
          <w:p>
            <w:pPr>
              <w:pStyle w:val="Compact"/>
              <w:spacing w:before="0" w:after="0" w:line="240" w:lineRule="auto"/>
              <w:ind w:firstLine="0" w:left="0"/>
            </w:pPr>
            <w:r>
              <w:rPr>
                <w:sz w:val="20"/>
                <w:szCs w:val="20"/>
              </w:rPr>
              <w:t xml:space="preserve">Response, all-income index</w:t>
            </w:r>
          </w:p>
        </w:tc>
        <w:tc>
          <w:tcPr>
            <w:tcBorders>
              <w:bottom w:val="single" w:sz="6" w:space="0" w:color="000000"/>
            </w:tcBorders>
          </w:tcPr>
          <w:p>
            <w:pPr>
              <w:pStyle w:val="Compact"/>
              <w:spacing w:before="0" w:after="0" w:line="240" w:lineRule="auto"/>
              <w:ind w:firstLine="0" w:left="0"/>
            </w:pPr>
            <w:r>
              <w:rPr>
                <w:sz w:val="20"/>
                <w:szCs w:val="20"/>
              </w:rPr>
              <w:t xml:space="preserve">Response, bottom-30% index</w:t>
            </w:r>
          </w:p>
        </w:tc>
      </w:tr>
      <w:tr>
        <w:tc>
          <w:tcPr/>
          <w:p>
            <w:pPr>
              <w:pStyle w:val="Compact"/>
              <w:spacing w:before="0" w:after="0" w:line="240" w:lineRule="auto"/>
              <w:ind w:firstLine="0" w:left="0"/>
            </w:pPr>
            <w:r>
              <w:rPr>
                <w:sz w:val="20"/>
                <w:szCs w:val="20"/>
              </w:rPr>
              <w:t xml:space="preserve">04.5.2 Gas (LPG)</w:t>
            </w:r>
          </w:p>
        </w:tc>
        <w:tc>
          <w:tcPr/>
          <w:p>
            <w:pPr>
              <w:pStyle w:val="Compact"/>
              <w:spacing w:before="0" w:after="0" w:line="240" w:lineRule="auto"/>
              <w:ind w:firstLine="0" w:left="0"/>
            </w:pPr>
            <w:r>
              <w:rPr>
                <w:sz w:val="20"/>
                <w:szCs w:val="20"/>
              </w:rPr>
              <w:t xml:space="preserve">1.27</w:t>
            </w:r>
          </w:p>
        </w:tc>
        <w:tc>
          <w:tcPr/>
          <w:p>
            <w:pPr>
              <w:pStyle w:val="Compact"/>
              <w:spacing w:before="0" w:after="0" w:line="240" w:lineRule="auto"/>
              <w:ind w:firstLine="0" w:left="0"/>
            </w:pPr>
            <w:r>
              <w:rPr>
                <w:sz w:val="20"/>
                <w:szCs w:val="20"/>
              </w:rPr>
              <w:t xml:space="preserve">1.33</w:t>
            </w:r>
          </w:p>
        </w:tc>
        <w:tc>
          <w:tcPr/>
          <w:p>
            <w:pPr>
              <w:pStyle w:val="Compact"/>
              <w:spacing w:before="0" w:after="0" w:line="240" w:lineRule="auto"/>
              <w:ind w:firstLine="0" w:left="0"/>
            </w:pPr>
            <w:r>
              <w:rPr>
                <w:sz w:val="20"/>
                <w:szCs w:val="20"/>
              </w:rPr>
              <w:t xml:space="preserve">0.730*** (0.152)</w:t>
            </w:r>
          </w:p>
        </w:tc>
        <w:tc>
          <w:tcPr/>
          <w:p>
            <w:pPr>
              <w:pStyle w:val="Compact"/>
              <w:spacing w:before="0" w:after="0" w:line="240" w:lineRule="auto"/>
              <w:ind w:firstLine="0" w:left="0"/>
            </w:pPr>
            <w:r>
              <w:rPr>
                <w:sz w:val="20"/>
                <w:szCs w:val="20"/>
              </w:rPr>
              <w:t xml:space="preserve">0.722*** (0.148)</w:t>
            </w:r>
          </w:p>
        </w:tc>
      </w:tr>
      <w:tr>
        <w:tc>
          <w:tcPr/>
          <w:p>
            <w:pPr>
              <w:pStyle w:val="Compact"/>
              <w:spacing w:before="0" w:after="0" w:line="240" w:lineRule="auto"/>
              <w:ind w:firstLine="0" w:left="0"/>
            </w:pPr>
            <w:r>
              <w:rPr>
                <w:sz w:val="20"/>
                <w:szCs w:val="20"/>
              </w:rPr>
              <w:t xml:space="preserve">04.5.3 Liquid fuels (kerosene)</w:t>
            </w:r>
          </w:p>
        </w:tc>
        <w:tc>
          <w:tcPr/>
          <w:p>
            <w:pPr>
              <w:pStyle w:val="Compact"/>
              <w:spacing w:before="0" w:after="0" w:line="240" w:lineRule="auto"/>
              <w:ind w:firstLine="0" w:left="0"/>
            </w:pPr>
            <w:r>
              <w:rPr>
                <w:sz w:val="20"/>
                <w:szCs w:val="20"/>
              </w:rPr>
              <w:t xml:space="preserve">0.04</w:t>
            </w:r>
          </w:p>
        </w:tc>
        <w:tc>
          <w:tcPr/>
          <w:p>
            <w:pPr>
              <w:pStyle w:val="Compact"/>
              <w:spacing w:before="0" w:after="0" w:line="240" w:lineRule="auto"/>
              <w:ind w:firstLine="0" w:left="0"/>
            </w:pPr>
            <w:r>
              <w:rPr>
                <w:sz w:val="20"/>
                <w:szCs w:val="20"/>
              </w:rPr>
              <w:t xml:space="preserve">0.27</w:t>
            </w:r>
          </w:p>
        </w:tc>
        <w:tc>
          <w:tcPr/>
          <w:p>
            <w:pPr>
              <w:pStyle w:val="Compact"/>
              <w:spacing w:before="0" w:after="0" w:line="240" w:lineRule="auto"/>
              <w:ind w:firstLine="0" w:left="0"/>
            </w:pPr>
            <w:r>
              <w:rPr>
                <w:sz w:val="20"/>
                <w:szCs w:val="20"/>
              </w:rPr>
              <w:t xml:space="preserve">1.152*** (0.114)</w:t>
            </w:r>
          </w:p>
        </w:tc>
        <w:tc>
          <w:tcPr/>
          <w:p>
            <w:pPr>
              <w:pStyle w:val="Compact"/>
              <w:spacing w:before="0" w:after="0" w:line="240" w:lineRule="auto"/>
              <w:ind w:firstLine="0" w:left="0"/>
            </w:pPr>
            <w:r>
              <w:rPr>
                <w:sz w:val="20"/>
                <w:szCs w:val="20"/>
              </w:rPr>
              <w:t xml:space="preserve">1.111*** (0.107)</w:t>
            </w:r>
          </w:p>
        </w:tc>
      </w:tr>
      <w:tr>
        <w:tc>
          <w:tcPr/>
          <w:p>
            <w:pPr>
              <w:pStyle w:val="Compact"/>
              <w:spacing w:before="0" w:after="0" w:line="240" w:lineRule="auto"/>
              <w:ind w:firstLine="0" w:left="0"/>
            </w:pPr>
            <w:r>
              <w:rPr>
                <w:sz w:val="20"/>
                <w:szCs w:val="20"/>
              </w:rPr>
              <w:t xml:space="preserve">04.5.4 Solid fuels (charcoal, wood)</w:t>
            </w:r>
          </w:p>
        </w:tc>
        <w:tc>
          <w:tcPr/>
          <w:p>
            <w:pPr>
              <w:pStyle w:val="Compact"/>
              <w:spacing w:before="0" w:after="0" w:line="240" w:lineRule="auto"/>
              <w:ind w:firstLine="0" w:left="0"/>
            </w:pPr>
            <w:r>
              <w:rPr>
                <w:sz w:val="20"/>
                <w:szCs w:val="20"/>
              </w:rPr>
              <w:t xml:space="preserve">0.87</w:t>
            </w:r>
          </w:p>
        </w:tc>
        <w:tc>
          <w:tcPr/>
          <w:p>
            <w:pPr>
              <w:pStyle w:val="Compact"/>
              <w:spacing w:before="0" w:after="0" w:line="240" w:lineRule="auto"/>
              <w:ind w:firstLine="0" w:left="0"/>
            </w:pPr>
            <w:r>
              <w:rPr>
                <w:sz w:val="20"/>
                <w:szCs w:val="20"/>
              </w:rPr>
              <w:t xml:space="preserve">4.02</w:t>
            </w:r>
          </w:p>
        </w:tc>
        <w:tc>
          <w:tcPr/>
          <w:p>
            <w:pPr>
              <w:pStyle w:val="Compact"/>
              <w:spacing w:before="0" w:after="0" w:line="240" w:lineRule="auto"/>
              <w:ind w:firstLine="0" w:left="0"/>
            </w:pPr>
            <w:r>
              <w:rPr>
                <w:sz w:val="20"/>
                <w:szCs w:val="20"/>
              </w:rPr>
              <w:t xml:space="preserve">0.013 (0.026)</w:t>
            </w:r>
          </w:p>
        </w:tc>
        <w:tc>
          <w:tcPr/>
          <w:p>
            <w:pPr>
              <w:pStyle w:val="Compact"/>
              <w:spacing w:before="0" w:after="0" w:line="240" w:lineRule="auto"/>
              <w:ind w:firstLine="0" w:left="0"/>
            </w:pPr>
            <w:r>
              <w:rPr>
                <w:sz w:val="20"/>
                <w:szCs w:val="20"/>
              </w:rPr>
              <w:t xml:space="preserve">0.038 (0.024)</w:t>
            </w:r>
          </w:p>
        </w:tc>
      </w:tr>
      <w:tr>
        <w:tc>
          <w:tcPr/>
          <w:p>
            <w:pPr>
              <w:pStyle w:val="Compact"/>
              <w:spacing w:before="0" w:after="0" w:line="240" w:lineRule="auto"/>
              <w:ind w:firstLine="0" w:left="0"/>
            </w:pPr>
            <w:r>
              <w:rPr>
                <w:sz w:val="20"/>
                <w:szCs w:val="20"/>
              </w:rPr>
              <w:t xml:space="preserve">07.3 Passenger transport (fares)</w:t>
            </w:r>
          </w:p>
        </w:tc>
        <w:tc>
          <w:tcPr/>
          <w:p>
            <w:pPr>
              <w:pStyle w:val="Compact"/>
              <w:spacing w:before="0" w:after="0" w:line="240" w:lineRule="auto"/>
              <w:ind w:firstLine="0" w:left="0"/>
            </w:pPr>
            <w:r>
              <w:rPr>
                <w:sz w:val="20"/>
                <w:szCs w:val="20"/>
              </w:rPr>
              <w:t xml:space="preserve">4.54</w:t>
            </w:r>
          </w:p>
        </w:tc>
        <w:tc>
          <w:tcPr/>
          <w:p>
            <w:pPr>
              <w:pStyle w:val="Compact"/>
              <w:spacing w:before="0" w:after="0" w:line="240" w:lineRule="auto"/>
              <w:ind w:firstLine="0" w:left="0"/>
            </w:pPr>
            <w:r>
              <w:rPr>
                <w:sz w:val="20"/>
                <w:szCs w:val="20"/>
              </w:rPr>
              <w:t xml:space="preserve">3.72</w:t>
            </w:r>
          </w:p>
        </w:tc>
        <w:tc>
          <w:tcPr/>
          <w:p>
            <w:pPr>
              <w:pStyle w:val="Compact"/>
              <w:spacing w:before="0" w:after="0" w:line="240" w:lineRule="auto"/>
              <w:ind w:firstLine="0" w:left="0"/>
            </w:pPr>
            <w:r>
              <w:rPr>
                <w:sz w:val="20"/>
                <w:szCs w:val="20"/>
              </w:rPr>
              <w:t xml:space="preserve">0.071 (0.079)</w:t>
            </w:r>
          </w:p>
        </w:tc>
        <w:tc>
          <w:tcPr/>
          <w:p>
            <w:pPr>
              <w:pStyle w:val="Compact"/>
              <w:spacing w:before="0" w:after="0" w:line="240" w:lineRule="auto"/>
              <w:ind w:firstLine="0" w:left="0"/>
            </w:pPr>
            <w:r>
              <w:rPr>
                <w:sz w:val="20"/>
                <w:szCs w:val="20"/>
              </w:rPr>
              <w:t xml:space="preserve">0.010 (0.101)</w:t>
            </w:r>
          </w:p>
        </w:tc>
      </w:tr>
      <w:tr>
        <w:tc>
          <w:tcPr/>
          <w:p>
            <w:pPr>
              <w:pStyle w:val="Compact"/>
              <w:spacing w:before="0" w:after="0" w:line="240" w:lineRule="auto"/>
              <w:ind w:firstLine="0" w:left="0"/>
            </w:pPr>
            <w:r>
              <w:rPr>
                <w:sz w:val="20"/>
                <w:szCs w:val="20"/>
              </w:rPr>
              <w:t xml:space="preserve">01.1.1 Cereals and cereal products</w:t>
            </w:r>
          </w:p>
        </w:tc>
        <w:tc>
          <w:tcPr/>
          <w:p>
            <w:pPr>
              <w:pStyle w:val="Compact"/>
              <w:spacing w:before="0" w:after="0" w:line="240" w:lineRule="auto"/>
              <w:ind w:firstLine="0" w:left="0"/>
            </w:pPr>
            <w:r>
              <w:rPr>
                <w:sz w:val="20"/>
                <w:szCs w:val="20"/>
              </w:rPr>
              <w:t xml:space="preserve">12.32</w:t>
            </w:r>
          </w:p>
        </w:tc>
        <w:tc>
          <w:tcPr/>
          <w:p>
            <w:pPr>
              <w:pStyle w:val="Compact"/>
              <w:spacing w:before="0" w:after="0" w:line="240" w:lineRule="auto"/>
              <w:ind w:firstLine="0" w:left="0"/>
            </w:pPr>
            <w:r>
              <w:rPr>
                <w:sz w:val="20"/>
                <w:szCs w:val="20"/>
              </w:rPr>
              <w:t xml:space="preserve">23.64</w:t>
            </w:r>
          </w:p>
        </w:tc>
        <w:tc>
          <w:tcPr/>
          <w:p>
            <w:pPr>
              <w:pStyle w:val="Compact"/>
              <w:spacing w:before="0" w:after="0" w:line="240" w:lineRule="auto"/>
              <w:ind w:firstLine="0" w:left="0"/>
            </w:pPr>
            <w:r>
              <w:rPr>
                <w:sz w:val="20"/>
                <w:szCs w:val="20"/>
              </w:rPr>
              <w:t xml:space="preserve">0.019 (0.084)</w:t>
            </w:r>
          </w:p>
        </w:tc>
        <w:tc>
          <w:tcPr/>
          <w:p>
            <w:pPr>
              <w:pStyle w:val="Compact"/>
              <w:spacing w:before="0" w:after="0" w:line="240" w:lineRule="auto"/>
              <w:ind w:firstLine="0" w:left="0"/>
            </w:pPr>
            <w:r>
              <w:rPr>
                <w:sz w:val="20"/>
                <w:szCs w:val="20"/>
              </w:rPr>
              <w:t xml:space="preserve">0.012 (0.101)</w:t>
            </w:r>
          </w:p>
        </w:tc>
      </w:tr>
    </w:tbl>
    <w:p>
      <w:pPr>
        <w:pStyle w:val="TableNote"/>
      </w:pPr>
      <w:r>
        <w:rPr>
          <w:i/>
          <w:iCs/>
        </w:rPr>
        <w:t xml:space="preserve">Notes:</w:t>
      </w:r>
      <w:r>
        <w:t xml:space="preserve"> </w:t>
      </w:r>
      <w:r>
        <w:t xml:space="preserve">Cumulative response (percentage points) per 1% fuel price increase, national, Newey–West standard errors in parentheses. Budget shares from the 2018 baskets. *</w:t>
      </w:r>
      <w:r>
        <w:t xml:space="preserve"> </w:t>
      </w:r>
      <w:r>
        <w:rPr>
          <w:i/>
          <w:iCs/>
        </w:rPr>
        <w:t xml:space="preserve">p</w:t>
      </w:r>
      <w:r>
        <w:t xml:space="preserve"> </w:t>
      </w:r>
      <w:r>
        <w:t xml:space="preserve">&lt; 0.10, **</w:t>
      </w:r>
      <w:r>
        <w:t xml:space="preserve"> </w:t>
      </w:r>
      <w:r>
        <w:rPr>
          <w:i/>
          <w:iCs/>
        </w:rPr>
        <w:t xml:space="preserve">p</w:t>
      </w:r>
      <w:r>
        <w:t xml:space="preserve"> </w:t>
      </w:r>
      <w:r>
        <w:t xml:space="preserve">&lt; 0.05, ***</w:t>
      </w:r>
      <w:r>
        <w:t xml:space="preserve"> </w:t>
      </w:r>
      <w:r>
        <w:rPr>
          <w:i/>
          <w:iCs/>
        </w:rPr>
        <w:t xml:space="preserve">p</w:t>
      </w:r>
      <w:r>
        <w:t xml:space="preserve"> </w:t>
      </w:r>
      <w:r>
        <w:t xml:space="preserve">&lt; 0.01.</w:t>
      </w:r>
    </w:p>
    <w:bookmarkEnd w:id="84"/>
    <w:bookmarkStart w:id="85" w:name="X4a000cc45ecb7af4307d3f5fdace7406ee4dd9b"/>
    <w:p>
      <w:pPr>
        <w:pStyle w:val="Heading3"/>
      </w:pPr>
      <w:r>
        <w:t xml:space="preserve">4.5.4 How well were the 2026 instruments targeted?</w:t>
      </w:r>
    </w:p>
    <w:p>
      <w:pPr>
        <w:pStyle w:val="FirstParagraph"/>
      </w:pPr>
      <w:r>
        <w:t xml:space="preserve">Table 12 brings the evidence together.</w:t>
      </w:r>
    </w:p>
    <w:p>
      <w:pPr>
        <w:pStyle w:val="TableCaption"/>
      </w:pPr>
      <w:r>
        <w:t xml:space="preserve">Table 12. Assessment of the 2026 policy instruments against the evidence</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12. Assessment of the 2026 policy instruments against the evidence"/>
      </w:tblPr>
      <w:tblGrid>
        <w:gridCol w:w="2640"/>
        <w:gridCol w:w="2640"/>
        <w:gridCol w:w="2640"/>
      </w:tblGrid>
      <w:tr>
        <w:trPr>
          <w:tblHeader w:val="on"/>
        </w:trPr>
        <w:tc>
          <w:tcPr>
            <w:tcBorders>
              <w:bottom w:val="single" w:sz="6" w:space="0" w:color="000000"/>
            </w:tcBorders>
          </w:tcPr>
          <w:p>
            <w:pPr>
              <w:pStyle w:val="Compact"/>
              <w:spacing w:before="0" w:after="0" w:line="240" w:lineRule="auto"/>
              <w:ind w:firstLine="0" w:left="0"/>
            </w:pPr>
            <w:r>
              <w:rPr>
                <w:sz w:val="20"/>
                <w:szCs w:val="20"/>
              </w:rPr>
              <w:t xml:space="preserve">Instrument (2026)</w:t>
            </w:r>
          </w:p>
        </w:tc>
        <w:tc>
          <w:tcPr>
            <w:tcBorders>
              <w:bottom w:val="single" w:sz="6" w:space="0" w:color="000000"/>
            </w:tcBorders>
          </w:tcPr>
          <w:p>
            <w:pPr>
              <w:pStyle w:val="Compact"/>
              <w:spacing w:before="0" w:after="0" w:line="240" w:lineRule="auto"/>
              <w:ind w:firstLine="0" w:left="0"/>
            </w:pPr>
            <w:r>
              <w:rPr>
                <w:sz w:val="20"/>
                <w:szCs w:val="20"/>
              </w:rPr>
              <w:t xml:space="preserve">Evidence from this study</w:t>
            </w:r>
          </w:p>
        </w:tc>
        <w:tc>
          <w:tcPr>
            <w:tcBorders>
              <w:bottom w:val="single" w:sz="6" w:space="0" w:color="000000"/>
            </w:tcBorders>
          </w:tcPr>
          <w:p>
            <w:pPr>
              <w:pStyle w:val="Compact"/>
              <w:spacing w:before="0" w:after="0" w:line="240" w:lineRule="auto"/>
              <w:ind w:firstLine="0" w:left="0"/>
            </w:pPr>
            <w:r>
              <w:rPr>
                <w:sz w:val="20"/>
                <w:szCs w:val="20"/>
              </w:rPr>
              <w:t xml:space="preserve">Assessment</w:t>
            </w:r>
          </w:p>
        </w:tc>
      </w:tr>
      <w:tr>
        <w:tc>
          <w:tcPr/>
          <w:p>
            <w:pPr>
              <w:pStyle w:val="Compact"/>
              <w:spacing w:before="0" w:after="0" w:line="240" w:lineRule="auto"/>
              <w:ind w:firstLine="0" w:left="0"/>
            </w:pPr>
            <w:r>
              <w:rPr>
                <w:sz w:val="20"/>
                <w:szCs w:val="20"/>
              </w:rPr>
              <w:t xml:space="preserve">Excise relief on gasoline and diesel (allowed by RA 12316, not used)</w:t>
            </w:r>
          </w:p>
        </w:tc>
        <w:tc>
          <w:tcPr/>
          <w:p>
            <w:pPr>
              <w:pStyle w:val="Compact"/>
              <w:spacing w:before="0" w:after="0" w:line="240" w:lineRule="auto"/>
              <w:ind w:firstLine="0" w:left="0"/>
            </w:pPr>
            <w:r>
              <w:rPr>
                <w:sz w:val="20"/>
                <w:szCs w:val="20"/>
              </w:rPr>
              <w:t xml:space="preserve">Motor fuel is 2.39% of the all-income basket and 1.59% of the poor’s; private vehicle fuel lowered the poor’s relative inflation by 0.38 points in 2026</w:t>
            </w:r>
          </w:p>
        </w:tc>
        <w:tc>
          <w:tcPr/>
          <w:p>
            <w:pPr>
              <w:pStyle w:val="Compact"/>
              <w:spacing w:before="0" w:after="0" w:line="240" w:lineRule="auto"/>
              <w:ind w:firstLine="0" w:left="0"/>
            </w:pPr>
            <w:r>
              <w:rPr>
                <w:sz w:val="20"/>
                <w:szCs w:val="20"/>
              </w:rPr>
              <w:t xml:space="preserve">Would mainly benefit better-off households. Leaving it unused is consistent with the evidence.</w:t>
            </w:r>
          </w:p>
        </w:tc>
      </w:tr>
      <w:tr>
        <w:tc>
          <w:tcPr/>
          <w:p>
            <w:pPr>
              <w:pStyle w:val="Compact"/>
              <w:spacing w:before="0" w:after="0" w:line="240" w:lineRule="auto"/>
              <w:ind w:firstLine="0" w:left="0"/>
            </w:pPr>
            <w:r>
              <w:rPr>
                <w:sz w:val="20"/>
                <w:szCs w:val="20"/>
              </w:rPr>
              <w:t xml:space="preserve">Excise suspension on LPG and kerosene (April–July and from late September 2026)</w:t>
            </w:r>
          </w:p>
        </w:tc>
        <w:tc>
          <w:tcPr/>
          <w:p>
            <w:pPr>
              <w:pStyle w:val="Compact"/>
              <w:spacing w:before="0" w:after="0" w:line="240" w:lineRule="auto"/>
              <w:ind w:firstLine="0" w:left="0"/>
            </w:pPr>
            <w:r>
              <w:rPr>
                <w:sz w:val="20"/>
                <w:szCs w:val="20"/>
              </w:rPr>
              <w:t xml:space="preserve">LPG responds equally in both baskets and has the same budget share; kerosene responds strongly but is 0.27% of the poor’s basket; relief of about PHP 37 per 11-kg tank ≈ 8% of the fuel-driven monthly cost of a poverty-line family</w:t>
            </w:r>
          </w:p>
        </w:tc>
        <w:tc>
          <w:tcPr/>
          <w:p>
            <w:pPr>
              <w:pStyle w:val="Compact"/>
              <w:spacing w:before="0" w:after="0" w:line="240" w:lineRule="auto"/>
              <w:ind w:firstLine="0" w:left="0"/>
            </w:pPr>
            <w:r>
              <w:rPr>
                <w:sz w:val="20"/>
                <w:szCs w:val="20"/>
              </w:rPr>
              <w:t xml:space="preserve">Neutral between groups (LPG) or well aimed but small (kerosene); limited protection for the poor. Charcoal and wood users gain nothing.</w:t>
            </w:r>
          </w:p>
        </w:tc>
      </w:tr>
      <w:tr>
        <w:tc>
          <w:tcPr/>
          <w:p>
            <w:pPr>
              <w:pStyle w:val="Compact"/>
              <w:spacing w:before="0" w:after="0" w:line="240" w:lineRule="auto"/>
              <w:ind w:firstLine="0" w:left="0"/>
            </w:pPr>
            <w:r>
              <w:rPr>
                <w:sz w:val="20"/>
                <w:szCs w:val="20"/>
              </w:rPr>
              <w:t xml:space="preserve">Fuel subsidies for public utility vehicle drivers</w:t>
            </w:r>
          </w:p>
        </w:tc>
        <w:tc>
          <w:tcPr/>
          <w:p>
            <w:pPr>
              <w:pStyle w:val="Compact"/>
              <w:spacing w:before="0" w:after="0" w:line="240" w:lineRule="auto"/>
              <w:ind w:firstLine="0" w:left="0"/>
            </w:pPr>
            <w:r>
              <w:rPr>
                <w:sz w:val="20"/>
                <w:szCs w:val="20"/>
              </w:rPr>
              <w:t xml:space="preserve">The poor’s fares historically responded little to fuel (0.010); in 2026 their fares rose 9.1% against 4.7%</w:t>
            </w:r>
          </w:p>
        </w:tc>
        <w:tc>
          <w:tcPr/>
          <w:p>
            <w:pPr>
              <w:pStyle w:val="Compact"/>
              <w:spacing w:before="0" w:after="0" w:line="240" w:lineRule="auto"/>
              <w:ind w:firstLine="0" w:left="0"/>
            </w:pPr>
            <w:r>
              <w:rPr>
                <w:sz w:val="20"/>
                <w:szCs w:val="20"/>
              </w:rPr>
              <w:t xml:space="preserve">Helps the poor indirectly by delaying fare increases; worth continuing if tied to fare restraint.</w:t>
            </w:r>
          </w:p>
        </w:tc>
      </w:tr>
      <w:tr>
        <w:tc>
          <w:tcPr/>
          <w:p>
            <w:pPr>
              <w:pStyle w:val="Compact"/>
              <w:spacing w:before="0" w:after="0" w:line="240" w:lineRule="auto"/>
              <w:ind w:firstLine="0" w:left="0"/>
            </w:pPr>
            <w:r>
              <w:rPr>
                <w:sz w:val="20"/>
                <w:szCs w:val="20"/>
              </w:rPr>
              <w:t xml:space="preserve">Policy rate increases (to 5.00%)</w:t>
            </w:r>
          </w:p>
        </w:tc>
        <w:tc>
          <w:tcPr/>
          <w:p>
            <w:pPr>
              <w:pStyle w:val="Compact"/>
              <w:spacing w:before="0" w:after="0" w:line="240" w:lineRule="auto"/>
              <w:ind w:firstLine="0" w:left="0"/>
            </w:pPr>
            <w:r>
              <w:rPr>
                <w:sz w:val="20"/>
                <w:szCs w:val="20"/>
              </w:rPr>
              <w:t xml:space="preserve">Pass-through builds for at least 12 months; crude-based estimates understate it by more than half</w:t>
            </w:r>
          </w:p>
        </w:tc>
        <w:tc>
          <w:tcPr/>
          <w:p>
            <w:pPr>
              <w:pStyle w:val="Compact"/>
              <w:spacing w:before="0" w:after="0" w:line="240" w:lineRule="auto"/>
              <w:ind w:firstLine="0" w:left="0"/>
            </w:pPr>
            <w:r>
              <w:rPr>
                <w:sz w:val="20"/>
                <w:szCs w:val="20"/>
              </w:rPr>
              <w:t xml:space="preserve">Appropriate against lasting price effects, but does not change who bears the burden.</w:t>
            </w:r>
          </w:p>
        </w:tc>
      </w:tr>
      <w:tr>
        <w:tc>
          <w:tcPr/>
          <w:p>
            <w:pPr>
              <w:pStyle w:val="Compact"/>
              <w:spacing w:before="0" w:after="0" w:line="240" w:lineRule="auto"/>
              <w:ind w:firstLine="0" w:left="0"/>
            </w:pPr>
            <w:r>
              <w:rPr>
                <w:sz w:val="20"/>
                <w:szCs w:val="20"/>
              </w:rPr>
              <w:t xml:space="preserve">Targeted cash transfers</w:t>
            </w:r>
          </w:p>
        </w:tc>
        <w:tc>
          <w:tcPr/>
          <w:p>
            <w:pPr>
              <w:pStyle w:val="Compact"/>
              <w:spacing w:before="0" w:after="0" w:line="240" w:lineRule="auto"/>
              <w:ind w:firstLine="0" w:left="0"/>
            </w:pPr>
            <w:r>
              <w:rPr>
                <w:sz w:val="20"/>
                <w:szCs w:val="20"/>
              </w:rPr>
              <w:t xml:space="preserve">Fuel-driven cost PHP 467 and total price-driven cost PHP 907 a month for a poverty-line family of five by August 2026; regional range PHP 390–633</w:t>
            </w:r>
          </w:p>
        </w:tc>
        <w:tc>
          <w:tcPr/>
          <w:p>
            <w:pPr>
              <w:pStyle w:val="Compact"/>
              <w:spacing w:before="0" w:after="0" w:line="240" w:lineRule="auto"/>
              <w:ind w:firstLine="0" w:left="0"/>
            </w:pPr>
            <w:r>
              <w:rPr>
                <w:sz w:val="20"/>
                <w:szCs w:val="20"/>
              </w:rPr>
              <w:t xml:space="preserve">Best targeted; can be sized and allocated by region with the bottom-30% CPI.</w:t>
            </w:r>
          </w:p>
        </w:tc>
      </w:tr>
      <w:tr>
        <w:tc>
          <w:tcPr/>
          <w:p>
            <w:pPr>
              <w:pStyle w:val="Compact"/>
              <w:spacing w:before="0" w:after="0" w:line="240" w:lineRule="auto"/>
              <w:ind w:firstLine="0" w:left="0"/>
            </w:pPr>
            <w:r>
              <w:rPr>
                <w:sz w:val="20"/>
                <w:szCs w:val="20"/>
              </w:rPr>
              <w:t xml:space="preserve">Rice price and supply measures</w:t>
            </w:r>
          </w:p>
        </w:tc>
        <w:tc>
          <w:tcPr/>
          <w:p>
            <w:pPr>
              <w:pStyle w:val="Compact"/>
              <w:spacing w:before="0" w:after="0" w:line="240" w:lineRule="auto"/>
              <w:ind w:firstLine="0" w:left="0"/>
            </w:pPr>
            <w:r>
              <w:rPr>
                <w:sz w:val="20"/>
                <w:szCs w:val="20"/>
              </w:rPr>
              <w:t xml:space="preserve">Rice and cereals contributed +1.67 of the +1.24-point gap in 2026</w:t>
            </w:r>
          </w:p>
        </w:tc>
        <w:tc>
          <w:tcPr/>
          <w:p>
            <w:pPr>
              <w:pStyle w:val="Compact"/>
              <w:spacing w:before="0" w:after="0" w:line="240" w:lineRule="auto"/>
              <w:ind w:firstLine="0" w:left="0"/>
            </w:pPr>
            <w:r>
              <w:rPr>
                <w:sz w:val="20"/>
                <w:szCs w:val="20"/>
              </w:rPr>
              <w:t xml:space="preserve">The largest channel of the poor’s extra inflation in 2026; should be part of the response to an oil shock.</w:t>
            </w:r>
          </w:p>
        </w:tc>
      </w:tr>
    </w:tbl>
    <w:bookmarkEnd w:id="85"/>
    <w:bookmarkEnd w:id="86"/>
    <w:bookmarkStart w:id="87" w:name="synthesis"/>
    <w:p>
      <w:pPr>
        <w:pStyle w:val="Heading2"/>
      </w:pPr>
      <w:r>
        <w:t xml:space="preserve">4.6 Synthesis</w:t>
      </w:r>
    </w:p>
    <w:p>
      <w:pPr>
        <w:pStyle w:val="FirstParagraph"/>
      </w:pPr>
      <w:r>
        <w:t xml:space="preserve">The three objectives give a consistent picture. The descriptive record (Objective 1) shows that the poor’s prices have risen faster than average over 25 years and in most fuel-shock episodes. The model (Objective 2) shows that fuel shocks themselves contribute to this, the opposite of the cross-country finding, through larger price increases within the categories the poor buy, especially in the 2000s. The 2026 analysis (Objective 3) shows that the historical model still predicts about half of the price surge and the direction of the gap, but that the poor’s extra inflation in 2026 came mostly through rice, a channel that relief at the pump does not reach. Fuel subsidies and excise relief remain poorly targeted, as the cross-country evidence suggests, but not because fuel shocks spare the poor: they reach the poor through food and fares, which fuel tax relief does not touch.</w:t>
      </w:r>
    </w:p>
    <w:bookmarkEnd w:id="87"/>
    <w:bookmarkEnd w:id="88"/>
    <w:bookmarkStart w:id="92" w:name="X4dea4ffd2b9f84f6f46278b0ddda7fea272057c"/>
    <w:p>
      <w:pPr>
        <w:pStyle w:val="Heading1"/>
      </w:pPr>
      <w:r>
        <w:t xml:space="preserve">Chapter 5. Summary, Conclusions and Recommendations</w:t>
      </w:r>
    </w:p>
    <w:bookmarkStart w:id="89" w:name="summary-of-findings"/>
    <w:p>
      <w:pPr>
        <w:pStyle w:val="Heading2"/>
      </w:pPr>
      <w:r>
        <w:t xml:space="preserve">5.1 Summary of findings</w:t>
      </w:r>
    </w:p>
    <w:p>
      <w:pPr>
        <w:pStyle w:val="FirstParagraph"/>
      </w:pPr>
      <w:r>
        <w:rPr>
          <w:b/>
          <w:bCs/>
        </w:rPr>
        <w:t xml:space="preserve">Objective 1.</w:t>
      </w:r>
      <w:r>
        <w:t xml:space="preserve"> </w:t>
      </w:r>
      <w:r>
        <w:t xml:space="preserve">From 2001 to 2025, bottom-30% prices rose faster than all-income prices on average (4.41% against 3.84% a year) and in 18 of 25 years, adding up to a 13.3-log-point difference nationally and a difference in every region. The poor’s inflation was higher in 6 of 9 fuel-shock episodes, most of all in 2008 and 2026. In August 2026 it was 8.2% against 6.1%.</w:t>
      </w:r>
    </w:p>
    <w:p>
      <w:pPr>
        <w:pStyle w:val="BodyText"/>
      </w:pPr>
      <w:r>
        <w:rPr>
          <w:b/>
          <w:bCs/>
        </w:rPr>
        <w:t xml:space="preserve">Objective 2.</w:t>
      </w:r>
      <w:r>
        <w:t xml:space="preserve"> </w:t>
      </w:r>
      <w:r>
        <w:t xml:space="preserve">A 1% fuel price rise raises the price level by 0.044 percentage points within the month and 0.102 within a year; crude oil prices capture only about 40% of this (RQ1). The effect is not progressive: in the regional panel, the poor’s prices rise 0.0214 points more after six months, through larger price increases within food, utilities and other categories, while the budget shares alone would predict the opposite (RQ2). The effect was strongest in 2001–2012 and is sensitive to macroeconomic controls.</w:t>
      </w:r>
    </w:p>
    <w:p>
      <w:pPr>
        <w:pStyle w:val="BodyText"/>
      </w:pPr>
      <w:r>
        <w:rPr>
          <w:b/>
          <w:bCs/>
        </w:rPr>
        <w:t xml:space="preserve">Objective 3.</w:t>
      </w:r>
      <w:r>
        <w:t xml:space="preserve"> </w:t>
      </w:r>
      <w:r>
        <w:t xml:space="preserve">The historical model explains about half of the 2026 price surge and predicts that the poor would pay more. The fuel-driven cost for a poverty-line family of five reached about PHP 467 a month by August 2026, and the total price-driven cost about PHP 907. Rice and cereals accounted for most of the poor’s extra inflation. LPG excise relief is neutral between groups; gasoline and diesel tax relief would mainly help better-off households (RQ3).</w:t>
      </w:r>
    </w:p>
    <w:bookmarkEnd w:id="89"/>
    <w:bookmarkStart w:id="90" w:name="conclusions"/>
    <w:p>
      <w:pPr>
        <w:pStyle w:val="Heading2"/>
      </w:pPr>
      <w:r>
        <w:t xml:space="preserve">5.2 Conclusions</w:t>
      </w:r>
    </w:p>
    <w:p>
      <w:pPr>
        <w:pStyle w:val="FirstParagraph"/>
      </w:pPr>
      <w:r>
        <w:t xml:space="preserve">Fuel price shocks pass through quickly, broadly and lastingly to Philippine consumer prices, and analyses based on crude oil prices understate them. The cross-country finding that fuel shocks are progressive does not hold in the Philippines: the burden is at best neutral and often falls harder on poor households. The reason is not the poor’s budget shares, which by themselves would make the shock progressive, but the price changes they face within categories: their food, their household fuels and, in 2026, their fares. The 2026 shock confirmed the historical relationships but added a large rice-price channel that fuel-focused relief does not reach. Instruments that work through fuel taxes are therefore poorly targeted to the poor, while transfers sized with the bottom-30% CPI, fare policy and rice policy are better targeted.</w:t>
      </w:r>
    </w:p>
    <w:bookmarkEnd w:id="90"/>
    <w:bookmarkStart w:id="91" w:name="recommendations"/>
    <w:p>
      <w:pPr>
        <w:pStyle w:val="Heading2"/>
      </w:pPr>
      <w:r>
        <w:t xml:space="preserve">5.3 Recommendations</w:t>
      </w:r>
    </w:p>
    <w:p>
      <w:pPr>
        <w:pStyle w:val="FirstParagraph"/>
      </w:pPr>
      <w:r>
        <w:rPr>
          <w:i/>
          <w:iCs/>
        </w:rPr>
        <w:t xml:space="preserve">For policy.</w:t>
      </w:r>
      <w:r>
        <w:t xml:space="preserve"> </w:t>
      </w:r>
      <w:r>
        <w:t xml:space="preserve">The Department of Finance should reserve excise relief under RA 12316 for fuels whose budget share is clearly higher for the poor, such as kerosene, avoid broad relief on gasoline and diesel, and use the revenue saved for targeted transfers. The Department of Social Welfare and Development should use existing registries of poor households to release emergency transfers when a fuel shock occurs, sized with the bottom-30% CPI (on the 2026 evidence, PHP 467–907 a month for a poverty-line family of five), allocated by regional bottom-30% inflation rather than regional pump prices, and kept for at least a year, because prices do not fall back when fuel eases. The Department of Transportation and the LTFRB should treat fuel subsidies for public transport operators as protection for poor commuters, tie them to fare restraint, and monitor local fares, such as tricycle fares, that are not set nationally. The Department of Agriculture should include rice in the response to oil shocks by monitoring fertilizer and freight costs and using import and buffer-stock policy in time. The BSP should gauge the inflationary effect of oil shocks with retail fuel prices rather than crude prices, recognising that it builds over at least a year. The PSA should continue and publicise the bottom-30% CPI and its regional and commodity detail, and publish technical notes on its back-calculated series.</w:t>
      </w:r>
    </w:p>
    <w:p>
      <w:pPr>
        <w:pStyle w:val="BodyText"/>
      </w:pPr>
      <w:r>
        <w:rPr>
          <w:i/>
          <w:iCs/>
        </w:rPr>
        <w:t xml:space="preserve">For research.</w:t>
      </w:r>
      <w:r>
        <w:t xml:space="preserve"> </w:t>
      </w:r>
      <w:r>
        <w:t xml:space="preserve">Future work should use a pure world oil supply shock</w:t>
      </w:r>
      <w:r>
        <w:t xml:space="preserve"> </w:t>
      </w:r>
      <w:r>
        <w:t xml:space="preserve">(</w:t>
      </w:r>
      <w:hyperlink w:anchor="ref-kilian_2009">
        <w:r>
          <w:rPr>
            <w:rStyle w:val="Hyperlink"/>
          </w:rPr>
          <w:t xml:space="preserve">Kilian 2009</w:t>
        </w:r>
      </w:hyperlink>
      <w:r>
        <w:t xml:space="preserve">;</w:t>
      </w:r>
      <w:r>
        <w:t xml:space="preserve"> </w:t>
      </w:r>
      <w:hyperlink w:anchor="ref-baumeister_hamilton_2019">
        <w:r>
          <w:rPr>
            <w:rStyle w:val="Hyperlink"/>
          </w:rPr>
          <w:t xml:space="preserve">Baumeister and Hamilton 2019</w:t>
        </w:r>
      </w:hyperlink>
      <w:r>
        <w:t xml:space="preserve">;</w:t>
      </w:r>
      <w:r>
        <w:t xml:space="preserve"> </w:t>
      </w:r>
      <w:hyperlink w:anchor="ref-kanzig_2021">
        <w:r>
          <w:rPr>
            <w:rStyle w:val="Hyperlink"/>
          </w:rPr>
          <w:t xml:space="preserve">Känzig 2021</w:t>
        </w:r>
      </w:hyperlink>
      <w:r>
        <w:t xml:space="preserve">)</w:t>
      </w:r>
      <w:r>
        <w:t xml:space="preserve"> </w:t>
      </w:r>
      <w:r>
        <w:t xml:space="preserve">to instrument retail fuel prices; compare the poorest and the richest households directly with indices for the top of the income distribution; study the fertilizer–rice channel of oil shocks over longer horizons; extend the 2026 analysis as later months are released, including the September 2026 fare increase and the second excise suspension; and examine the income effects of fuel prices on drivers, farmers and fisherfolk alongside their price effects.</w:t>
      </w:r>
    </w:p>
    <w:bookmarkEnd w:id="91"/>
    <w:bookmarkEnd w:id="92"/>
    <w:bookmarkStart w:id="164" w:name="references"/>
    <w:p>
      <w:pPr>
        <w:pStyle w:val="Heading1"/>
      </w:pPr>
      <w:r>
        <w:t xml:space="preserve">References</w:t>
      </w:r>
    </w:p>
    <w:bookmarkStart w:id="163" w:name="refs"/>
    <w:bookmarkStart w:id="94" w:name="ref-allon_pineda_etal_2026"/>
    <w:p>
      <w:pPr>
        <w:pStyle w:val="Bibliography"/>
      </w:pPr>
      <w:r>
        <w:t xml:space="preserve">Allon-Pineda, Joan Christine S., Jan Christopher G. Ocampo, and Eduard Renzo D. Santos. 2026.</w:t>
      </w:r>
      <w:r>
        <w:t xml:space="preserve"> </w:t>
      </w:r>
      <w:r>
        <w:t xml:space="preserve">“Second-Round Effects and Asymmetry in Oil and Food Price Shocks to Inflation.”</w:t>
      </w:r>
      <w:r>
        <w:t xml:space="preserve"> </w:t>
      </w:r>
      <w:r>
        <w:rPr>
          <w:i/>
          <w:iCs/>
        </w:rPr>
        <w:t xml:space="preserve">Latin American Journal of Central Banking</w:t>
      </w:r>
      <w:r>
        <w:t xml:space="preserve"> </w:t>
      </w:r>
      <w:r>
        <w:t xml:space="preserve">7 (3): 100180.</w:t>
      </w:r>
      <w:r>
        <w:t xml:space="preserve"> </w:t>
      </w:r>
      <w:hyperlink r:id="rId93">
        <w:r>
          <w:rPr>
            <w:rStyle w:val="Hyperlink"/>
          </w:rPr>
          <w:t xml:space="preserve">https://doi.org/10.1016/j.latcb.2025.100180</w:t>
        </w:r>
      </w:hyperlink>
      <w:r>
        <w:t xml:space="preserve">.</w:t>
      </w:r>
    </w:p>
    <w:bookmarkEnd w:id="94"/>
    <w:bookmarkStart w:id="96" w:name="ref-arze_etal_2012"/>
    <w:p>
      <w:pPr>
        <w:pStyle w:val="Bibliography"/>
      </w:pPr>
      <w:r>
        <w:t xml:space="preserve">Arze del Granado, Francisco Javier, David Coady, and Robert Gillingham. 2012.</w:t>
      </w:r>
      <w:r>
        <w:t xml:space="preserve"> </w:t>
      </w:r>
      <w:r>
        <w:t xml:space="preserve">“The Unequal Benefits of Fuel Subsidies: A Review of Evidence for Developing Countries.”</w:t>
      </w:r>
      <w:r>
        <w:t xml:space="preserve"> </w:t>
      </w:r>
      <w:r>
        <w:rPr>
          <w:i/>
          <w:iCs/>
        </w:rPr>
        <w:t xml:space="preserve">World Development</w:t>
      </w:r>
      <w:r>
        <w:t xml:space="preserve"> </w:t>
      </w:r>
      <w:r>
        <w:t xml:space="preserve">40 (11): 2234–48.</w:t>
      </w:r>
      <w:r>
        <w:t xml:space="preserve"> </w:t>
      </w:r>
      <w:hyperlink r:id="rId95">
        <w:r>
          <w:rPr>
            <w:rStyle w:val="Hyperlink"/>
          </w:rPr>
          <w:t xml:space="preserve">https://doi.org/10.1016/j.worlddev.2012.05.005</w:t>
        </w:r>
      </w:hyperlink>
      <w:r>
        <w:t xml:space="preserve">.</w:t>
      </w:r>
    </w:p>
    <w:bookmarkEnd w:id="96"/>
    <w:bookmarkStart w:id="98" w:name="ref-balie_etal_2020"/>
    <w:p>
      <w:pPr>
        <w:pStyle w:val="Bibliography"/>
      </w:pPr>
      <w:r>
        <w:t xml:space="preserve">Balié, Jean, Nicholas Minot, and Harold Glenn Valera. 2020.</w:t>
      </w:r>
      <w:r>
        <w:t xml:space="preserve"> </w:t>
      </w:r>
      <w:r>
        <w:rPr>
          <w:i/>
          <w:iCs/>
        </w:rPr>
        <w:t xml:space="preserve">Distributional Impact of the Rice Tariffication Policy in the</w:t>
      </w:r>
      <w:r>
        <w:rPr>
          <w:i/>
          <w:iCs/>
        </w:rPr>
        <w:t xml:space="preserve"> </w:t>
      </w:r>
      <w:r>
        <w:rPr>
          <w:i/>
          <w:iCs/>
        </w:rPr>
        <w:t xml:space="preserve">Philippines</w:t>
      </w:r>
      <w:r>
        <w:t xml:space="preserve">. International Food Policy Research Institute.</w:t>
      </w:r>
      <w:r>
        <w:t xml:space="preserve"> </w:t>
      </w:r>
      <w:hyperlink r:id="rId97">
        <w:r>
          <w:rPr>
            <w:rStyle w:val="Hyperlink"/>
          </w:rPr>
          <w:t xml:space="preserve">https://doi.org/10.2499/p15738coll2.133994</w:t>
        </w:r>
      </w:hyperlink>
      <w:r>
        <w:t xml:space="preserve">.</w:t>
      </w:r>
    </w:p>
    <w:bookmarkEnd w:id="98"/>
    <w:bookmarkStart w:id="100" w:name="ref-baumeister_hamilton_2019"/>
    <w:p>
      <w:pPr>
        <w:pStyle w:val="Bibliography"/>
      </w:pPr>
      <w:r>
        <w:t xml:space="preserve">Baumeister, Christiane, and James D. Hamilton. 2019.</w:t>
      </w:r>
      <w:r>
        <w:t xml:space="preserve"> </w:t>
      </w:r>
      <w:r>
        <w:t xml:space="preserve">“Structural Interpretation of Vector Autoregressions with Incomplete Identification: Revisiting the Role of Oil Supply and Demand Shocks.”</w:t>
      </w:r>
      <w:r>
        <w:t xml:space="preserve"> </w:t>
      </w:r>
      <w:r>
        <w:rPr>
          <w:i/>
          <w:iCs/>
        </w:rPr>
        <w:t xml:space="preserve">American Economic Review</w:t>
      </w:r>
      <w:r>
        <w:t xml:space="preserve"> </w:t>
      </w:r>
      <w:r>
        <w:t xml:space="preserve">109 (5): 1873–910.</w:t>
      </w:r>
      <w:r>
        <w:t xml:space="preserve"> </w:t>
      </w:r>
      <w:hyperlink r:id="rId99">
        <w:r>
          <w:rPr>
            <w:rStyle w:val="Hyperlink"/>
          </w:rPr>
          <w:t xml:space="preserve">https://doi.org/10.1257/aer.20151569</w:t>
        </w:r>
      </w:hyperlink>
      <w:r>
        <w:t xml:space="preserve">.</w:t>
      </w:r>
    </w:p>
    <w:bookmarkEnd w:id="100"/>
    <w:bookmarkStart w:id="101" w:name="ref-blanchard_gali_2010"/>
    <w:p>
      <w:pPr>
        <w:pStyle w:val="Bibliography"/>
      </w:pPr>
      <w:r>
        <w:t xml:space="preserve">Blanchard, Olivier J., and Jordi Galí. 2010.</w:t>
      </w:r>
      <w:r>
        <w:t xml:space="preserve"> </w:t>
      </w:r>
      <w:r>
        <w:t xml:space="preserve">“The Macroeconomic Effects of Oil Price Shocks: Why Are the 2000s so Different from the 1970s?”</w:t>
      </w:r>
      <w:r>
        <w:t xml:space="preserve"> In</w:t>
      </w:r>
      <w:r>
        <w:t xml:space="preserve"> </w:t>
      </w:r>
      <w:r>
        <w:rPr>
          <w:i/>
          <w:iCs/>
        </w:rPr>
        <w:t xml:space="preserve">International Dimensions of Monetary Policy</w:t>
      </w:r>
      <w:r>
        <w:t xml:space="preserve">, edited by Jordi Galí and Mark J. Gertler. University of Chicago Press.</w:t>
      </w:r>
    </w:p>
    <w:bookmarkEnd w:id="101"/>
    <w:bookmarkStart w:id="103" w:name="ref-briones_2021"/>
    <w:p>
      <w:pPr>
        <w:pStyle w:val="Bibliography"/>
      </w:pPr>
      <w:r>
        <w:t xml:space="preserve">Briones, Roehlano. 2021.</w:t>
      </w:r>
      <w:r>
        <w:t xml:space="preserve"> </w:t>
      </w:r>
      <w:r>
        <w:rPr>
          <w:i/>
          <w:iCs/>
        </w:rPr>
        <w:t xml:space="preserve">Does Rice Tariffication in the</w:t>
      </w:r>
      <w:r>
        <w:rPr>
          <w:i/>
          <w:iCs/>
        </w:rPr>
        <w:t xml:space="preserve"> </w:t>
      </w:r>
      <w:r>
        <w:rPr>
          <w:i/>
          <w:iCs/>
        </w:rPr>
        <w:t xml:space="preserve">Philippines</w:t>
      </w:r>
      <w:r>
        <w:rPr>
          <w:i/>
          <w:iCs/>
        </w:rPr>
        <w:t xml:space="preserve"> </w:t>
      </w:r>
      <w:r>
        <w:rPr>
          <w:i/>
          <w:iCs/>
        </w:rPr>
        <w:t xml:space="preserve">Worsen Income Poverty and Inequality?</w:t>
      </w:r>
      <w:r>
        <w:t xml:space="preserve"> PIDS Policy Note Nos. 2021-02. Philippine Institute for Development Studies.</w:t>
      </w:r>
      <w:r>
        <w:t xml:space="preserve"> </w:t>
      </w:r>
      <w:hyperlink r:id="rId102">
        <w:r>
          <w:rPr>
            <w:rStyle w:val="Hyperlink"/>
          </w:rPr>
          <w:t xml:space="preserve">https://doi.org/10.62986/pn2021.02</w:t>
        </w:r>
      </w:hyperlink>
      <w:r>
        <w:t xml:space="preserve">.</w:t>
      </w:r>
    </w:p>
    <w:bookmarkEnd w:id="103"/>
    <w:bookmarkStart w:id="105" w:name="ref-choi_etal_2018"/>
    <w:p>
      <w:pPr>
        <w:pStyle w:val="Bibliography"/>
      </w:pPr>
      <w:r>
        <w:t xml:space="preserve">Choi, Sangyup, Davide Furceri, Prakash Loungani, Saurabh Mishra, and Marcos Poplawski-Ribeiro. 2018.</w:t>
      </w:r>
      <w:r>
        <w:t xml:space="preserve"> </w:t>
      </w:r>
      <w:r>
        <w:t xml:space="preserve">“Oil Prices and Inflation Dynamics: Evidence from Advanced and Developing Economies.”</w:t>
      </w:r>
      <w:r>
        <w:t xml:space="preserve"> </w:t>
      </w:r>
      <w:r>
        <w:rPr>
          <w:i/>
          <w:iCs/>
        </w:rPr>
        <w:t xml:space="preserve">Journal of International Money and Finance</w:t>
      </w:r>
      <w:r>
        <w:t xml:space="preserve"> </w:t>
      </w:r>
      <w:r>
        <w:t xml:space="preserve">82: 71–96.</w:t>
      </w:r>
      <w:r>
        <w:t xml:space="preserve"> </w:t>
      </w:r>
      <w:hyperlink r:id="rId104">
        <w:r>
          <w:rPr>
            <w:rStyle w:val="Hyperlink"/>
          </w:rPr>
          <w:t xml:space="preserve">https://doi.org/10.1016/j.jimonfin.2017.12.004</w:t>
        </w:r>
      </w:hyperlink>
      <w:r>
        <w:t xml:space="preserve">.</w:t>
      </w:r>
    </w:p>
    <w:bookmarkEnd w:id="105"/>
    <w:bookmarkStart w:id="107" w:name="ref-coady_etal_2015"/>
    <w:p>
      <w:pPr>
        <w:pStyle w:val="Bibliography"/>
      </w:pPr>
      <w:r>
        <w:t xml:space="preserve">Coady, David, Valentina Flamini, and Louis Sears. 2015.</w:t>
      </w:r>
      <w:r>
        <w:t xml:space="preserve"> </w:t>
      </w:r>
      <w:r>
        <w:rPr>
          <w:i/>
          <w:iCs/>
        </w:rPr>
        <w:t xml:space="preserve">The Unequal Benefits of Fuel Subsidies Revisited: Evidence for Developing Countries</w:t>
      </w:r>
      <w:r>
        <w:t xml:space="preserve">. IMF Working Paper 15/250. International Monetary Fund.</w:t>
      </w:r>
      <w:r>
        <w:t xml:space="preserve"> </w:t>
      </w:r>
      <w:hyperlink r:id="rId106">
        <w:r>
          <w:rPr>
            <w:rStyle w:val="Hyperlink"/>
          </w:rPr>
          <w:t xml:space="preserve">https://doi.org/10.5089/9781513501390.001</w:t>
        </w:r>
      </w:hyperlink>
      <w:r>
        <w:t xml:space="preserve">.</w:t>
      </w:r>
    </w:p>
    <w:bookmarkEnd w:id="107"/>
    <w:bookmarkStart w:id="109" w:name="ref-deaton_1989"/>
    <w:p>
      <w:pPr>
        <w:pStyle w:val="Bibliography"/>
      </w:pPr>
      <w:r>
        <w:t xml:space="preserve">Deaton, Angus. 1989.</w:t>
      </w:r>
      <w:r>
        <w:t xml:space="preserve"> </w:t>
      </w:r>
      <w:r>
        <w:t xml:space="preserve">“Rice Prices and Income Distribution in</w:t>
      </w:r>
      <w:r>
        <w:t xml:space="preserve"> </w:t>
      </w:r>
      <w:r>
        <w:t xml:space="preserve">Thailand</w:t>
      </w:r>
      <w:r>
        <w:t xml:space="preserve">: A Non-Parametric Analysis.”</w:t>
      </w:r>
      <w:r>
        <w:t xml:space="preserve"> </w:t>
      </w:r>
      <w:r>
        <w:rPr>
          <w:i/>
          <w:iCs/>
        </w:rPr>
        <w:t xml:space="preserve">The Economic Journal</w:t>
      </w:r>
      <w:r>
        <w:t xml:space="preserve"> </w:t>
      </w:r>
      <w:r>
        <w:t xml:space="preserve">99 (395): 1–37.</w:t>
      </w:r>
      <w:r>
        <w:t xml:space="preserve"> </w:t>
      </w:r>
      <w:hyperlink r:id="rId108">
        <w:r>
          <w:rPr>
            <w:rStyle w:val="Hyperlink"/>
          </w:rPr>
          <w:t xml:space="preserve">https://doi.org/10.2307/2234068</w:t>
        </w:r>
      </w:hyperlink>
      <w:r>
        <w:t xml:space="preserve">.</w:t>
      </w:r>
    </w:p>
    <w:bookmarkEnd w:id="109"/>
    <w:bookmarkStart w:id="111" w:name="ref-domingo_etal_2009"/>
    <w:p>
      <w:pPr>
        <w:pStyle w:val="Bibliography"/>
      </w:pPr>
      <w:r>
        <w:t xml:space="preserve">Domingo, Sonny, Kathrina Gonzales, Christian Mina, and Celia Reyes. 2009.</w:t>
      </w:r>
      <w:r>
        <w:t xml:space="preserve"> </w:t>
      </w:r>
      <w:r>
        <w:rPr>
          <w:i/>
          <w:iCs/>
        </w:rPr>
        <w:t xml:space="preserve">Analysis of the Impact of Changes in the Prices of Rice and Fuel on Poverty in the</w:t>
      </w:r>
      <w:r>
        <w:rPr>
          <w:i/>
          <w:iCs/>
        </w:rPr>
        <w:t xml:space="preserve"> </w:t>
      </w:r>
      <w:r>
        <w:rPr>
          <w:i/>
          <w:iCs/>
        </w:rPr>
        <w:t xml:space="preserve">Philippines</w:t>
      </w:r>
      <w:r>
        <w:t xml:space="preserve">. PIDS Discussion Paper Nos. 2009-07. Philippine Institute for Development Studies.</w:t>
      </w:r>
      <w:r>
        <w:t xml:space="preserve"> </w:t>
      </w:r>
      <w:hyperlink r:id="rId110">
        <w:r>
          <w:rPr>
            <w:rStyle w:val="Hyperlink"/>
          </w:rPr>
          <w:t xml:space="preserve">https://doi.org/10.62986/dp2009.07</w:t>
        </w:r>
      </w:hyperlink>
      <w:r>
        <w:t xml:space="preserve">.</w:t>
      </w:r>
    </w:p>
    <w:bookmarkEnd w:id="111"/>
    <w:bookmarkStart w:id="113" w:name="ref-dorband_etal_2019"/>
    <w:p>
      <w:pPr>
        <w:pStyle w:val="Bibliography"/>
      </w:pPr>
      <w:r>
        <w:t xml:space="preserve">Dorband, Ira Irina, Michael Jakob, Matthias Kalkuhl, and Jan Christoph Steckel. 2019.</w:t>
      </w:r>
      <w:r>
        <w:t xml:space="preserve"> </w:t>
      </w:r>
      <w:r>
        <w:t xml:space="preserve">“Poverty and Distributional Effects of Carbon Pricing in Low- and Middle-Income Countries – a Global Comparative Analysis.”</w:t>
      </w:r>
      <w:r>
        <w:t xml:space="preserve"> </w:t>
      </w:r>
      <w:r>
        <w:rPr>
          <w:i/>
          <w:iCs/>
        </w:rPr>
        <w:t xml:space="preserve">World Development</w:t>
      </w:r>
      <w:r>
        <w:t xml:space="preserve"> </w:t>
      </w:r>
      <w:r>
        <w:t xml:space="preserve">115: 246–57.</w:t>
      </w:r>
      <w:r>
        <w:t xml:space="preserve"> </w:t>
      </w:r>
      <w:hyperlink r:id="rId112">
        <w:r>
          <w:rPr>
            <w:rStyle w:val="Hyperlink"/>
          </w:rPr>
          <w:t xml:space="preserve">https://doi.org/10.1016/j.worlddev.2018.11.015</w:t>
        </w:r>
      </w:hyperlink>
      <w:r>
        <w:t xml:space="preserve">.</w:t>
      </w:r>
    </w:p>
    <w:bookmarkEnd w:id="113"/>
    <w:bookmarkStart w:id="115" w:name="ref-driscoll_kraay_1998"/>
    <w:p>
      <w:pPr>
        <w:pStyle w:val="Bibliography"/>
      </w:pPr>
      <w:r>
        <w:t xml:space="preserve">Driscoll, John C., and Aart C. Kraay. 1998.</w:t>
      </w:r>
      <w:r>
        <w:t xml:space="preserve"> </w:t>
      </w:r>
      <w:r>
        <w:t xml:space="preserve">“Consistent Covariance Matrix Estimation with Spatially Dependent Panel Data.”</w:t>
      </w:r>
      <w:r>
        <w:t xml:space="preserve"> </w:t>
      </w:r>
      <w:r>
        <w:rPr>
          <w:i/>
          <w:iCs/>
        </w:rPr>
        <w:t xml:space="preserve">Review of Economics and Statistics</w:t>
      </w:r>
      <w:r>
        <w:t xml:space="preserve"> </w:t>
      </w:r>
      <w:r>
        <w:t xml:space="preserve">80 (4): 549–60.</w:t>
      </w:r>
      <w:r>
        <w:t xml:space="preserve"> </w:t>
      </w:r>
      <w:hyperlink r:id="rId114">
        <w:r>
          <w:rPr>
            <w:rStyle w:val="Hyperlink"/>
          </w:rPr>
          <w:t xml:space="preserve">https://doi.org/10.1162/003465398557825</w:t>
        </w:r>
      </w:hyperlink>
      <w:r>
        <w:t xml:space="preserve">.</w:t>
      </w:r>
    </w:p>
    <w:bookmarkEnd w:id="115"/>
    <w:bookmarkStart w:id="117" w:name="ref-easterly_fischer_2001"/>
    <w:p>
      <w:pPr>
        <w:pStyle w:val="Bibliography"/>
      </w:pPr>
      <w:r>
        <w:t xml:space="preserve">Easterly, William, and Stanley Fischer. 2001.</w:t>
      </w:r>
      <w:r>
        <w:t xml:space="preserve"> </w:t>
      </w:r>
      <w:r>
        <w:t xml:space="preserve">“Inflation and the Poor.”</w:t>
      </w:r>
      <w:r>
        <w:t xml:space="preserve"> </w:t>
      </w:r>
      <w:r>
        <w:rPr>
          <w:i/>
          <w:iCs/>
        </w:rPr>
        <w:t xml:space="preserve">Journal of Money, Credit and Banking</w:t>
      </w:r>
      <w:r>
        <w:t xml:space="preserve"> </w:t>
      </w:r>
      <w:r>
        <w:t xml:space="preserve">33 (2): 160–78.</w:t>
      </w:r>
      <w:r>
        <w:t xml:space="preserve"> </w:t>
      </w:r>
      <w:hyperlink r:id="rId116">
        <w:r>
          <w:rPr>
            <w:rStyle w:val="Hyperlink"/>
          </w:rPr>
          <w:t xml:space="preserve">https://doi.org/10.2307/2673879</w:t>
        </w:r>
      </w:hyperlink>
      <w:r>
        <w:t xml:space="preserve">.</w:t>
      </w:r>
    </w:p>
    <w:bookmarkEnd w:id="117"/>
    <w:bookmarkStart w:id="119" w:name="ref-fujii_2013"/>
    <w:p>
      <w:pPr>
        <w:pStyle w:val="Bibliography"/>
      </w:pPr>
      <w:r>
        <w:t xml:space="preserve">Fujii, Tomoki. 2013.</w:t>
      </w:r>
      <w:r>
        <w:t xml:space="preserve"> </w:t>
      </w:r>
      <w:r>
        <w:t xml:space="preserve">“Impact of Food Inflation on Poverty in the</w:t>
      </w:r>
      <w:r>
        <w:t xml:space="preserve"> </w:t>
      </w:r>
      <w:r>
        <w:t xml:space="preserve">Philippines</w:t>
      </w:r>
      <w:r>
        <w:t xml:space="preserve">.”</w:t>
      </w:r>
      <w:r>
        <w:t xml:space="preserve"> </w:t>
      </w:r>
      <w:r>
        <w:rPr>
          <w:i/>
          <w:iCs/>
        </w:rPr>
        <w:t xml:space="preserve">Food Policy</w:t>
      </w:r>
      <w:r>
        <w:t xml:space="preserve"> </w:t>
      </w:r>
      <w:r>
        <w:t xml:space="preserve">39: 13–27.</w:t>
      </w:r>
      <w:r>
        <w:t xml:space="preserve"> </w:t>
      </w:r>
      <w:hyperlink r:id="rId118">
        <w:r>
          <w:rPr>
            <w:rStyle w:val="Hyperlink"/>
          </w:rPr>
          <w:t xml:space="preserve">https://doi.org/10.1016/j.foodpol.2012.11.009</w:t>
        </w:r>
      </w:hyperlink>
      <w:r>
        <w:t xml:space="preserve">.</w:t>
      </w:r>
    </w:p>
    <w:bookmarkEnd w:id="119"/>
    <w:bookmarkStart w:id="121" w:name="ref-gelos_ustyugova_2017"/>
    <w:p>
      <w:pPr>
        <w:pStyle w:val="Bibliography"/>
      </w:pPr>
      <w:r>
        <w:t xml:space="preserve">Gelos, Gaston, and Yulia Ustyugova. 2017.</w:t>
      </w:r>
      <w:r>
        <w:t xml:space="preserve"> </w:t>
      </w:r>
      <w:r>
        <w:t xml:space="preserve">“Inflation Responses to Commodity Price Shocks – How and Why Do Countries Differ?”</w:t>
      </w:r>
      <w:r>
        <w:t xml:space="preserve"> </w:t>
      </w:r>
      <w:r>
        <w:rPr>
          <w:i/>
          <w:iCs/>
        </w:rPr>
        <w:t xml:space="preserve">Journal of International Money and Finance</w:t>
      </w:r>
      <w:r>
        <w:t xml:space="preserve"> </w:t>
      </w:r>
      <w:r>
        <w:t xml:space="preserve">72: 28–47.</w:t>
      </w:r>
      <w:r>
        <w:t xml:space="preserve"> </w:t>
      </w:r>
      <w:hyperlink r:id="rId120">
        <w:r>
          <w:rPr>
            <w:rStyle w:val="Hyperlink"/>
          </w:rPr>
          <w:t xml:space="preserve">https://doi.org/10.1016/j.jimonfin.2016.10.001</w:t>
        </w:r>
      </w:hyperlink>
      <w:r>
        <w:t xml:space="preserve">.</w:t>
      </w:r>
    </w:p>
    <w:bookmarkEnd w:id="121"/>
    <w:bookmarkStart w:id="123" w:name="ref-hobijn_lagakos_2005"/>
    <w:p>
      <w:pPr>
        <w:pStyle w:val="Bibliography"/>
      </w:pPr>
      <w:r>
        <w:t xml:space="preserve">Hobijn, Bart, and David Lagakos. 2005.</w:t>
      </w:r>
      <w:r>
        <w:t xml:space="preserve"> </w:t>
      </w:r>
      <w:r>
        <w:t xml:space="preserve">“Inflation Inequality in the</w:t>
      </w:r>
      <w:r>
        <w:t xml:space="preserve"> </w:t>
      </w:r>
      <w:r>
        <w:t xml:space="preserve">United States</w:t>
      </w:r>
      <w:r>
        <w:t xml:space="preserve">.”</w:t>
      </w:r>
      <w:r>
        <w:t xml:space="preserve"> </w:t>
      </w:r>
      <w:r>
        <w:rPr>
          <w:i/>
          <w:iCs/>
        </w:rPr>
        <w:t xml:space="preserve">Review of Income and Wealth</w:t>
      </w:r>
      <w:r>
        <w:t xml:space="preserve"> </w:t>
      </w:r>
      <w:r>
        <w:t xml:space="preserve">51 (4): 581–606.</w:t>
      </w:r>
      <w:r>
        <w:t xml:space="preserve"> </w:t>
      </w:r>
      <w:hyperlink r:id="rId122">
        <w:r>
          <w:rPr>
            <w:rStyle w:val="Hyperlink"/>
          </w:rPr>
          <w:t xml:space="preserve">https://doi.org/10.1111/j.1475-4991.2005.00170.x</w:t>
        </w:r>
      </w:hyperlink>
      <w:r>
        <w:t xml:space="preserve">.</w:t>
      </w:r>
    </w:p>
    <w:bookmarkEnd w:id="123"/>
    <w:bookmarkStart w:id="125" w:name="ref-jaravel_2021"/>
    <w:p>
      <w:pPr>
        <w:pStyle w:val="Bibliography"/>
      </w:pPr>
      <w:r>
        <w:t xml:space="preserve">Jaravel, Xavier. 2021.</w:t>
      </w:r>
      <w:r>
        <w:t xml:space="preserve"> </w:t>
      </w:r>
      <w:r>
        <w:t xml:space="preserve">“Inflation Inequality: Measurement, Causes, and Policy Implications.”</w:t>
      </w:r>
      <w:r>
        <w:t xml:space="preserve"> </w:t>
      </w:r>
      <w:r>
        <w:rPr>
          <w:i/>
          <w:iCs/>
        </w:rPr>
        <w:t xml:space="preserve">Annual Review of Economics</w:t>
      </w:r>
      <w:r>
        <w:t xml:space="preserve"> </w:t>
      </w:r>
      <w:r>
        <w:t xml:space="preserve">13: 599–629.</w:t>
      </w:r>
      <w:r>
        <w:t xml:space="preserve"> </w:t>
      </w:r>
      <w:hyperlink r:id="rId124">
        <w:r>
          <w:rPr>
            <w:rStyle w:val="Hyperlink"/>
          </w:rPr>
          <w:t xml:space="preserve">https://doi.org/10.1146/annurev-economics-091520-082042</w:t>
        </w:r>
      </w:hyperlink>
      <w:r>
        <w:t xml:space="preserve">.</w:t>
      </w:r>
    </w:p>
    <w:bookmarkEnd w:id="125"/>
    <w:bookmarkStart w:id="127" w:name="ref-jongwanich_park_2011"/>
    <w:p>
      <w:pPr>
        <w:pStyle w:val="Bibliography"/>
      </w:pPr>
      <w:r>
        <w:t xml:space="preserve">Jongwanich, Juthathip, and Donghyun Park. 2011.</w:t>
      </w:r>
      <w:r>
        <w:t xml:space="preserve"> </w:t>
      </w:r>
      <w:r>
        <w:t xml:space="preserve">“Inflation in Developing</w:t>
      </w:r>
      <w:r>
        <w:t xml:space="preserve"> </w:t>
      </w:r>
      <w:r>
        <w:t xml:space="preserve">Asia</w:t>
      </w:r>
      <w:r>
        <w:t xml:space="preserve">: Pass-Through from Global Food and Oil Price Shocks.”</w:t>
      </w:r>
      <w:r>
        <w:t xml:space="preserve"> </w:t>
      </w:r>
      <w:r>
        <w:rPr>
          <w:i/>
          <w:iCs/>
        </w:rPr>
        <w:t xml:space="preserve">Asian-Pacific Economic Literature</w:t>
      </w:r>
      <w:r>
        <w:t xml:space="preserve"> </w:t>
      </w:r>
      <w:r>
        <w:t xml:space="preserve">25 (1): 79–92.</w:t>
      </w:r>
      <w:r>
        <w:t xml:space="preserve"> </w:t>
      </w:r>
      <w:hyperlink r:id="rId126">
        <w:r>
          <w:rPr>
            <w:rStyle w:val="Hyperlink"/>
          </w:rPr>
          <w:t xml:space="preserve">https://doi.org/10.1111/j.1467-8411.2011.01275.x</w:t>
        </w:r>
      </w:hyperlink>
      <w:r>
        <w:t xml:space="preserve">.</w:t>
      </w:r>
    </w:p>
    <w:bookmarkEnd w:id="127"/>
    <w:bookmarkStart w:id="129" w:name="ref-jorda_2005"/>
    <w:p>
      <w:pPr>
        <w:pStyle w:val="Bibliography"/>
      </w:pPr>
      <w:r>
        <w:t xml:space="preserve">Jordà, Òscar. 2005.</w:t>
      </w:r>
      <w:r>
        <w:t xml:space="preserve"> </w:t>
      </w:r>
      <w:r>
        <w:t xml:space="preserve">“Estimation and Inference of Impulse Responses by Local Projections.”</w:t>
      </w:r>
      <w:r>
        <w:t xml:space="preserve"> </w:t>
      </w:r>
      <w:r>
        <w:rPr>
          <w:i/>
          <w:iCs/>
        </w:rPr>
        <w:t xml:space="preserve">American Economic Review</w:t>
      </w:r>
      <w:r>
        <w:t xml:space="preserve"> </w:t>
      </w:r>
      <w:r>
        <w:t xml:space="preserve">95 (1): 161–82.</w:t>
      </w:r>
      <w:r>
        <w:t xml:space="preserve"> </w:t>
      </w:r>
      <w:hyperlink r:id="rId128">
        <w:r>
          <w:rPr>
            <w:rStyle w:val="Hyperlink"/>
          </w:rPr>
          <w:t xml:space="preserve">https://doi.org/10.1257/0002828053828518</w:t>
        </w:r>
      </w:hyperlink>
      <w:r>
        <w:t xml:space="preserve">.</w:t>
      </w:r>
    </w:p>
    <w:bookmarkEnd w:id="129"/>
    <w:bookmarkStart w:id="131" w:name="ref-kanzig_2021"/>
    <w:p>
      <w:pPr>
        <w:pStyle w:val="Bibliography"/>
      </w:pPr>
      <w:r>
        <w:t xml:space="preserve">Känzig, Diego R. 2021.</w:t>
      </w:r>
      <w:r>
        <w:t xml:space="preserve"> </w:t>
      </w:r>
      <w:r>
        <w:t xml:space="preserve">“The Macroeconomic Effects of Oil Supply News: Evidence from</w:t>
      </w:r>
      <w:r>
        <w:t xml:space="preserve"> </w:t>
      </w:r>
      <w:r>
        <w:t xml:space="preserve">OPEC</w:t>
      </w:r>
      <w:r>
        <w:t xml:space="preserve"> </w:t>
      </w:r>
      <w:r>
        <w:t xml:space="preserve">Announcements.”</w:t>
      </w:r>
      <w:r>
        <w:t xml:space="preserve"> </w:t>
      </w:r>
      <w:r>
        <w:rPr>
          <w:i/>
          <w:iCs/>
        </w:rPr>
        <w:t xml:space="preserve">American Economic Review</w:t>
      </w:r>
      <w:r>
        <w:t xml:space="preserve"> </w:t>
      </w:r>
      <w:r>
        <w:t xml:space="preserve">111 (4): 1092–125.</w:t>
      </w:r>
      <w:r>
        <w:t xml:space="preserve"> </w:t>
      </w:r>
      <w:hyperlink r:id="rId130">
        <w:r>
          <w:rPr>
            <w:rStyle w:val="Hyperlink"/>
          </w:rPr>
          <w:t xml:space="preserve">https://doi.org/10.1257/aer.20190964</w:t>
        </w:r>
      </w:hyperlink>
      <w:r>
        <w:t xml:space="preserve">.</w:t>
      </w:r>
    </w:p>
    <w:bookmarkEnd w:id="131"/>
    <w:bookmarkStart w:id="133" w:name="ref-kaplan_schulhofer_2017"/>
    <w:p>
      <w:pPr>
        <w:pStyle w:val="Bibliography"/>
      </w:pPr>
      <w:r>
        <w:t xml:space="preserve">Kaplan, Greg, and Sam Schulhofer-Wohl. 2017.</w:t>
      </w:r>
      <w:r>
        <w:t xml:space="preserve"> </w:t>
      </w:r>
      <w:r>
        <w:t xml:space="preserve">“Inflation at the Household Level.”</w:t>
      </w:r>
      <w:r>
        <w:t xml:space="preserve"> </w:t>
      </w:r>
      <w:r>
        <w:rPr>
          <w:i/>
          <w:iCs/>
        </w:rPr>
        <w:t xml:space="preserve">Journal of Monetary Economics</w:t>
      </w:r>
      <w:r>
        <w:t xml:space="preserve"> </w:t>
      </w:r>
      <w:r>
        <w:t xml:space="preserve">91: 19–38.</w:t>
      </w:r>
      <w:r>
        <w:t xml:space="preserve"> </w:t>
      </w:r>
      <w:hyperlink r:id="rId132">
        <w:r>
          <w:rPr>
            <w:rStyle w:val="Hyperlink"/>
          </w:rPr>
          <w:t xml:space="preserve">https://doi.org/10.1016/j.jmoneco.2017.08.002</w:t>
        </w:r>
      </w:hyperlink>
      <w:r>
        <w:t xml:space="preserve">.</w:t>
      </w:r>
    </w:p>
    <w:bookmarkEnd w:id="133"/>
    <w:bookmarkStart w:id="135" w:name="ref-kilian_2008"/>
    <w:p>
      <w:pPr>
        <w:pStyle w:val="Bibliography"/>
      </w:pPr>
      <w:r>
        <w:t xml:space="preserve">Kilian, Lutz. 2008.</w:t>
      </w:r>
      <w:r>
        <w:t xml:space="preserve"> </w:t>
      </w:r>
      <w:r>
        <w:t xml:space="preserve">“The Economic Effects of Energy Price Shocks.”</w:t>
      </w:r>
      <w:r>
        <w:t xml:space="preserve"> </w:t>
      </w:r>
      <w:r>
        <w:rPr>
          <w:i/>
          <w:iCs/>
        </w:rPr>
        <w:t xml:space="preserve">Journal of Economic Literature</w:t>
      </w:r>
      <w:r>
        <w:t xml:space="preserve"> </w:t>
      </w:r>
      <w:r>
        <w:t xml:space="preserve">46 (4): 871–909.</w:t>
      </w:r>
      <w:r>
        <w:t xml:space="preserve"> </w:t>
      </w:r>
      <w:hyperlink r:id="rId134">
        <w:r>
          <w:rPr>
            <w:rStyle w:val="Hyperlink"/>
          </w:rPr>
          <w:t xml:space="preserve">https://doi.org/10.1257/jel.46.4.871</w:t>
        </w:r>
      </w:hyperlink>
      <w:r>
        <w:t xml:space="preserve">.</w:t>
      </w:r>
    </w:p>
    <w:bookmarkEnd w:id="135"/>
    <w:bookmarkStart w:id="137" w:name="ref-kilian_2009"/>
    <w:p>
      <w:pPr>
        <w:pStyle w:val="Bibliography"/>
      </w:pPr>
      <w:r>
        <w:t xml:space="preserve">Kilian, Lutz. 2009.</w:t>
      </w:r>
      <w:r>
        <w:t xml:space="preserve"> </w:t>
      </w:r>
      <w:r>
        <w:t xml:space="preserve">“Not All Oil Price Shocks Are Alike: Disentangling Demand and Supply Shocks in the Crude Oil Market.”</w:t>
      </w:r>
      <w:r>
        <w:t xml:space="preserve"> </w:t>
      </w:r>
      <w:r>
        <w:rPr>
          <w:i/>
          <w:iCs/>
        </w:rPr>
        <w:t xml:space="preserve">American Economic Review</w:t>
      </w:r>
      <w:r>
        <w:t xml:space="preserve"> </w:t>
      </w:r>
      <w:r>
        <w:t xml:space="preserve">99 (3): 1053–69.</w:t>
      </w:r>
      <w:r>
        <w:t xml:space="preserve"> </w:t>
      </w:r>
      <w:hyperlink r:id="rId136">
        <w:r>
          <w:rPr>
            <w:rStyle w:val="Hyperlink"/>
          </w:rPr>
          <w:t xml:space="preserve">https://doi.org/10.1257/aer.99.3.1053</w:t>
        </w:r>
      </w:hyperlink>
      <w:r>
        <w:t xml:space="preserve">.</w:t>
      </w:r>
    </w:p>
    <w:bookmarkEnd w:id="137"/>
    <w:bookmarkStart w:id="139" w:name="ref-kpodar_abdallah_2017"/>
    <w:p>
      <w:pPr>
        <w:pStyle w:val="Bibliography"/>
      </w:pPr>
      <w:r>
        <w:t xml:space="preserve">Kpodar, Kangni, and Chadi Abdallah. 2017.</w:t>
      </w:r>
      <w:r>
        <w:t xml:space="preserve"> </w:t>
      </w:r>
      <w:r>
        <w:t xml:space="preserve">“Dynamic Fuel Price Pass-Through: Evidence from a New Global Retail Fuel Price Database.”</w:t>
      </w:r>
      <w:r>
        <w:t xml:space="preserve"> </w:t>
      </w:r>
      <w:r>
        <w:rPr>
          <w:i/>
          <w:iCs/>
        </w:rPr>
        <w:t xml:space="preserve">Energy Economics</w:t>
      </w:r>
      <w:r>
        <w:t xml:space="preserve"> </w:t>
      </w:r>
      <w:r>
        <w:t xml:space="preserve">66: 303–12.</w:t>
      </w:r>
      <w:r>
        <w:t xml:space="preserve"> </w:t>
      </w:r>
      <w:hyperlink r:id="rId138">
        <w:r>
          <w:rPr>
            <w:rStyle w:val="Hyperlink"/>
          </w:rPr>
          <w:t xml:space="preserve">https://doi.org/10.1016/j.eneco.2017.06.017</w:t>
        </w:r>
      </w:hyperlink>
      <w:r>
        <w:t xml:space="preserve">.</w:t>
      </w:r>
    </w:p>
    <w:bookmarkEnd w:id="139"/>
    <w:bookmarkStart w:id="141" w:name="ref-kpodar_imam_2021"/>
    <w:p>
      <w:pPr>
        <w:pStyle w:val="Bibliography"/>
      </w:pPr>
      <w:r>
        <w:t xml:space="preserve">Kpodar, Kangni, and Patrick A. Imam. 2021.</w:t>
      </w:r>
      <w:r>
        <w:t xml:space="preserve"> </w:t>
      </w:r>
      <w:r>
        <w:t xml:space="preserve">“To Pass (or Not to Pass) Through International Fuel Price Changes to Domestic Fuel Prices in Developing Countries: What Are the Drivers?”</w:t>
      </w:r>
      <w:r>
        <w:t xml:space="preserve"> </w:t>
      </w:r>
      <w:r>
        <w:rPr>
          <w:i/>
          <w:iCs/>
        </w:rPr>
        <w:t xml:space="preserve">Energy Policy</w:t>
      </w:r>
      <w:r>
        <w:t xml:space="preserve"> </w:t>
      </w:r>
      <w:r>
        <w:t xml:space="preserve">149: 111999.</w:t>
      </w:r>
      <w:r>
        <w:t xml:space="preserve"> </w:t>
      </w:r>
      <w:hyperlink r:id="rId140">
        <w:r>
          <w:rPr>
            <w:rStyle w:val="Hyperlink"/>
          </w:rPr>
          <w:t xml:space="preserve">https://doi.org/10.1016/j.enpol.2020.111999</w:t>
        </w:r>
      </w:hyperlink>
      <w:r>
        <w:t xml:space="preserve">.</w:t>
      </w:r>
    </w:p>
    <w:bookmarkEnd w:id="141"/>
    <w:bookmarkStart w:id="143" w:name="ref-kpodar_liu_2022"/>
    <w:p>
      <w:pPr>
        <w:pStyle w:val="Bibliography"/>
      </w:pPr>
      <w:r>
        <w:t xml:space="preserve">Kpodar, Kangni, and Boya Liu. 2022.</w:t>
      </w:r>
      <w:r>
        <w:t xml:space="preserve"> </w:t>
      </w:r>
      <w:r>
        <w:t xml:space="preserve">“The Distributional Implications of the Impact of Fuel Price Increases on Inflation.”</w:t>
      </w:r>
      <w:r>
        <w:t xml:space="preserve"> </w:t>
      </w:r>
      <w:r>
        <w:rPr>
          <w:i/>
          <w:iCs/>
        </w:rPr>
        <w:t xml:space="preserve">Energy Economics</w:t>
      </w:r>
      <w:r>
        <w:t xml:space="preserve"> </w:t>
      </w:r>
      <w:r>
        <w:t xml:space="preserve">108: 105909.</w:t>
      </w:r>
      <w:r>
        <w:t xml:space="preserve"> </w:t>
      </w:r>
      <w:hyperlink r:id="rId142">
        <w:r>
          <w:rPr>
            <w:rStyle w:val="Hyperlink"/>
          </w:rPr>
          <w:t xml:space="preserve">https://doi.org/10.1016/j.eneco.2022.105909</w:t>
        </w:r>
      </w:hyperlink>
      <w:r>
        <w:t xml:space="preserve">.</w:t>
      </w:r>
    </w:p>
    <w:bookmarkEnd w:id="143"/>
    <w:bookmarkStart w:id="144" w:name="ref-miller_blair_2009"/>
    <w:p>
      <w:pPr>
        <w:pStyle w:val="Bibliography"/>
      </w:pPr>
      <w:r>
        <w:t xml:space="preserve">Miller, Ronald E., and Peter D. Blair. 2009.</w:t>
      </w:r>
      <w:r>
        <w:t xml:space="preserve"> </w:t>
      </w:r>
      <w:r>
        <w:rPr>
          <w:i/>
          <w:iCs/>
        </w:rPr>
        <w:t xml:space="preserve">Input–Output Analysis: Foundations and Extensions</w:t>
      </w:r>
      <w:r>
        <w:t xml:space="preserve">. 2nd ed. Cambridge University Press.</w:t>
      </w:r>
    </w:p>
    <w:bookmarkEnd w:id="144"/>
    <w:bookmarkStart w:id="146" w:name="ref-newey_west_1987"/>
    <w:p>
      <w:pPr>
        <w:pStyle w:val="Bibliography"/>
      </w:pPr>
      <w:r>
        <w:t xml:space="preserve">Newey, Whitney K., and Kenneth 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w:t>
      </w:r>
      <w:r>
        <w:t xml:space="preserve">55 (3): 703–8.</w:t>
      </w:r>
      <w:r>
        <w:t xml:space="preserve"> </w:t>
      </w:r>
      <w:hyperlink r:id="rId145">
        <w:r>
          <w:rPr>
            <w:rStyle w:val="Hyperlink"/>
          </w:rPr>
          <w:t xml:space="preserve">https://doi.org/10.2307/1913610</w:t>
        </w:r>
      </w:hyperlink>
      <w:r>
        <w:t xml:space="preserve">.</w:t>
      </w:r>
    </w:p>
    <w:bookmarkEnd w:id="146"/>
    <w:bookmarkStart w:id="148" w:name="ref-psa_openstat_2026"/>
    <w:p>
      <w:pPr>
        <w:pStyle w:val="Bibliography"/>
      </w:pPr>
      <w:r>
        <w:t xml:space="preserve">Philippine Statistics Authority. 2026.</w:t>
      </w:r>
      <w:r>
        <w:t xml:space="preserve"> </w:t>
      </w:r>
      <w:r>
        <w:rPr>
          <w:i/>
          <w:iCs/>
        </w:rPr>
        <w:t xml:space="preserve">OpenSTAT</w:t>
      </w:r>
      <w:r>
        <w:rPr>
          <w:i/>
          <w:iCs/>
        </w:rPr>
        <w:t xml:space="preserve">: Consumer Price Index for All Income Households and for the Bottom 30% Income Households (2018=100), and Official Poverty Statistics</w:t>
      </w:r>
      <w:r>
        <w:t xml:space="preserve">.</w:t>
      </w:r>
      <w:r>
        <w:t xml:space="preserve"> </w:t>
      </w:r>
      <w:hyperlink r:id="rId147">
        <w:r>
          <w:rPr>
            <w:rStyle w:val="Hyperlink"/>
          </w:rPr>
          <w:t xml:space="preserve">Https://openstat.psa.gov.ph</w:t>
        </w:r>
      </w:hyperlink>
      <w:r>
        <w:t xml:space="preserve">.</w:t>
      </w:r>
    </w:p>
    <w:bookmarkEnd w:id="148"/>
    <w:bookmarkStart w:id="150" w:name="ref-ra12316_2026"/>
    <w:p>
      <w:pPr>
        <w:pStyle w:val="Bibliography"/>
      </w:pPr>
      <w:r>
        <w:t xml:space="preserve">Republic of the Philippines. 2026.</w:t>
      </w:r>
      <w:r>
        <w:t xml:space="preserve"> </w:t>
      </w:r>
      <w:r>
        <w:rPr>
          <w:i/>
          <w:iCs/>
        </w:rPr>
        <w:t xml:space="preserve">Republic Act No. 12316: An Act Authorizing the President to Suspend or Reduce Excise Tax on Petroleum Products, Amending for the Purpose Section 148 of the National Internal Revenue Code of 1997, as Amended</w:t>
      </w:r>
      <w:r>
        <w:t xml:space="preserve">.</w:t>
      </w:r>
      <w:r>
        <w:t xml:space="preserve"> </w:t>
      </w:r>
      <w:hyperlink r:id="rId149">
        <w:r>
          <w:rPr>
            <w:rStyle w:val="Hyperlink"/>
          </w:rPr>
          <w:t xml:space="preserve">Https://lawphil.net/statutes/repacts/ra2026/ra_12316_2026.html</w:t>
        </w:r>
      </w:hyperlink>
      <w:r>
        <w:t xml:space="preserve">.</w:t>
      </w:r>
    </w:p>
    <w:bookmarkEnd w:id="150"/>
    <w:bookmarkStart w:id="152" w:name="ref-satriawan_shrestha_2018"/>
    <w:p>
      <w:pPr>
        <w:pStyle w:val="Bibliography"/>
      </w:pPr>
      <w:r>
        <w:t xml:space="preserve">Satriawan, Elan, and Ranjan Shrestha. 2018.</w:t>
      </w:r>
      <w:r>
        <w:t xml:space="preserve"> </w:t>
      </w:r>
      <w:r>
        <w:t xml:space="preserve">“Mistargeting and Regressive Take up of the</w:t>
      </w:r>
      <w:r>
        <w:t xml:space="preserve"> </w:t>
      </w:r>
      <w:r>
        <w:t xml:space="preserve">Indonesian</w:t>
      </w:r>
      <w:r>
        <w:t xml:space="preserve"> </w:t>
      </w:r>
      <w:r>
        <w:t xml:space="preserve">Rice Subsidy Program.”</w:t>
      </w:r>
      <w:r>
        <w:t xml:space="preserve"> </w:t>
      </w:r>
      <w:r>
        <w:rPr>
          <w:i/>
          <w:iCs/>
        </w:rPr>
        <w:t xml:space="preserve">Asian Economic Journal</w:t>
      </w:r>
      <w:r>
        <w:t xml:space="preserve"> </w:t>
      </w:r>
      <w:r>
        <w:t xml:space="preserve">32 (4): 387–415.</w:t>
      </w:r>
      <w:r>
        <w:t xml:space="preserve"> </w:t>
      </w:r>
      <w:hyperlink r:id="rId151">
        <w:r>
          <w:rPr>
            <w:rStyle w:val="Hyperlink"/>
          </w:rPr>
          <w:t xml:space="preserve">https://doi.org/10.1111/asej.12164</w:t>
        </w:r>
      </w:hyperlink>
      <w:r>
        <w:t xml:space="preserve">.</w:t>
      </w:r>
    </w:p>
    <w:bookmarkEnd w:id="152"/>
    <w:bookmarkStart w:id="154" w:name="ref-siddig_etal_2014"/>
    <w:p>
      <w:pPr>
        <w:pStyle w:val="Bibliography"/>
      </w:pPr>
      <w:r>
        <w:t xml:space="preserve">Siddig, Khalid, Angel Aguiar, Harald Grethe, Peter Minor, and Terrie Walmsley. 2014.</w:t>
      </w:r>
      <w:r>
        <w:t xml:space="preserve"> </w:t>
      </w:r>
      <w:r>
        <w:t xml:space="preserve">“Impacts of Removing Fuel Import Subsidies in</w:t>
      </w:r>
      <w:r>
        <w:t xml:space="preserve"> </w:t>
      </w:r>
      <w:r>
        <w:t xml:space="preserve">Nigeria</w:t>
      </w:r>
      <w:r>
        <w:t xml:space="preserve"> </w:t>
      </w:r>
      <w:r>
        <w:t xml:space="preserve">on Poverty.”</w:t>
      </w:r>
      <w:r>
        <w:t xml:space="preserve"> </w:t>
      </w:r>
      <w:r>
        <w:rPr>
          <w:i/>
          <w:iCs/>
        </w:rPr>
        <w:t xml:space="preserve">Energy Policy</w:t>
      </w:r>
      <w:r>
        <w:t xml:space="preserve"> </w:t>
      </w:r>
      <w:r>
        <w:t xml:space="preserve">69: 165–78.</w:t>
      </w:r>
      <w:r>
        <w:t xml:space="preserve"> </w:t>
      </w:r>
      <w:hyperlink r:id="rId153">
        <w:r>
          <w:rPr>
            <w:rStyle w:val="Hyperlink"/>
          </w:rPr>
          <w:t xml:space="preserve">https://doi.org/10.1016/j.enpol.2014.02.006</w:t>
        </w:r>
      </w:hyperlink>
      <w:r>
        <w:t xml:space="preserve">.</w:t>
      </w:r>
    </w:p>
    <w:bookmarkEnd w:id="154"/>
    <w:bookmarkStart w:id="156" w:name="ref-soile_mu_2015"/>
    <w:p>
      <w:pPr>
        <w:pStyle w:val="Bibliography"/>
      </w:pPr>
      <w:r>
        <w:t xml:space="preserve">Soile, Ismail, and Xiaoyi Mu. 2015.</w:t>
      </w:r>
      <w:r>
        <w:t xml:space="preserve"> </w:t>
      </w:r>
      <w:r>
        <w:t xml:space="preserve">“Who Benefit Most from Fuel Subsidies? Evidence from</w:t>
      </w:r>
      <w:r>
        <w:t xml:space="preserve"> </w:t>
      </w:r>
      <w:r>
        <w:t xml:space="preserve">Nigeria</w:t>
      </w:r>
      <w:r>
        <w:t xml:space="preserve">.”</w:t>
      </w:r>
      <w:r>
        <w:t xml:space="preserve"> </w:t>
      </w:r>
      <w:r>
        <w:rPr>
          <w:i/>
          <w:iCs/>
        </w:rPr>
        <w:t xml:space="preserve">Energy Policy</w:t>
      </w:r>
      <w:r>
        <w:t xml:space="preserve"> </w:t>
      </w:r>
      <w:r>
        <w:t xml:space="preserve">87: 314–24.</w:t>
      </w:r>
      <w:r>
        <w:t xml:space="preserve"> </w:t>
      </w:r>
      <w:hyperlink r:id="rId155">
        <w:r>
          <w:rPr>
            <w:rStyle w:val="Hyperlink"/>
          </w:rPr>
          <w:t xml:space="preserve">https://doi.org/10.1016/j.enpol.2015.09.018</w:t>
        </w:r>
      </w:hyperlink>
      <w:r>
        <w:t xml:space="preserve">.</w:t>
      </w:r>
    </w:p>
    <w:bookmarkEnd w:id="156"/>
    <w:bookmarkStart w:id="158" w:name="ref-teulings_zubanov_2014"/>
    <w:p>
      <w:pPr>
        <w:pStyle w:val="Bibliography"/>
      </w:pPr>
      <w:r>
        <w:t xml:space="preserve">Teulings, Coen N., and Nikolay Zubanov. 2014.</w:t>
      </w:r>
      <w:r>
        <w:t xml:space="preserve"> </w:t>
      </w:r>
      <w:r>
        <w:t xml:space="preserve">“Is Economic Recovery a Myth? Robust Estimation of Impulse Responses.”</w:t>
      </w:r>
      <w:r>
        <w:t xml:space="preserve"> </w:t>
      </w:r>
      <w:r>
        <w:rPr>
          <w:i/>
          <w:iCs/>
        </w:rPr>
        <w:t xml:space="preserve">Journal of Applied Econometrics</w:t>
      </w:r>
      <w:r>
        <w:t xml:space="preserve"> </w:t>
      </w:r>
      <w:r>
        <w:t xml:space="preserve">29 (3): 497–514.</w:t>
      </w:r>
      <w:r>
        <w:t xml:space="preserve"> </w:t>
      </w:r>
      <w:hyperlink r:id="rId157">
        <w:r>
          <w:rPr>
            <w:rStyle w:val="Hyperlink"/>
          </w:rPr>
          <w:t xml:space="preserve">https://doi.org/10.1002/jae.2333</w:t>
        </w:r>
      </w:hyperlink>
      <w:r>
        <w:t xml:space="preserve">.</w:t>
      </w:r>
    </w:p>
    <w:bookmarkEnd w:id="158"/>
    <w:bookmarkStart w:id="160" w:name="ref-timmer_dawe_2007"/>
    <w:p>
      <w:pPr>
        <w:pStyle w:val="Bibliography"/>
      </w:pPr>
      <w:r>
        <w:t xml:space="preserve">Timmer, C. Peter, and David Dawe. 2007.</w:t>
      </w:r>
      <w:r>
        <w:t xml:space="preserve"> </w:t>
      </w:r>
      <w:r>
        <w:t xml:space="preserve">“Managing Food Price Instability in</w:t>
      </w:r>
      <w:r>
        <w:t xml:space="preserve"> </w:t>
      </w:r>
      <w:r>
        <w:t xml:space="preserve">Asia</w:t>
      </w:r>
      <w:r>
        <w:t xml:space="preserve">: A Macro Food Security Perspective.”</w:t>
      </w:r>
      <w:r>
        <w:t xml:space="preserve"> </w:t>
      </w:r>
      <w:r>
        <w:rPr>
          <w:i/>
          <w:iCs/>
        </w:rPr>
        <w:t xml:space="preserve">Asian Economic Journal</w:t>
      </w:r>
      <w:r>
        <w:t xml:space="preserve"> </w:t>
      </w:r>
      <w:r>
        <w:t xml:space="preserve">21 (1): 1–18.</w:t>
      </w:r>
      <w:r>
        <w:t xml:space="preserve"> </w:t>
      </w:r>
      <w:hyperlink r:id="rId159">
        <w:r>
          <w:rPr>
            <w:rStyle w:val="Hyperlink"/>
          </w:rPr>
          <w:t xml:space="preserve">https://doi.org/10.1111/j.1467-8381.2007.00244.x</w:t>
        </w:r>
      </w:hyperlink>
      <w:r>
        <w:t xml:space="preserve">.</w:t>
      </w:r>
    </w:p>
    <w:bookmarkEnd w:id="160"/>
    <w:bookmarkStart w:id="161" w:name="ref-usda_fas_2026"/>
    <w:p>
      <w:pPr>
        <w:pStyle w:val="Bibliography"/>
      </w:pPr>
      <w:r>
        <w:t xml:space="preserve">USDA Foreign Agricultural Service. 2026.</w:t>
      </w:r>
      <w:r>
        <w:t xml:space="preserve"> </w:t>
      </w:r>
      <w:r>
        <w:rPr>
          <w:i/>
          <w:iCs/>
        </w:rPr>
        <w:t xml:space="preserve">Philippines: Grain and Feed Annual</w:t>
      </w:r>
      <w:r>
        <w:t xml:space="preserve">. Nos. RP2026-0007. GAIN Report RP2026-0007, Manila.</w:t>
      </w:r>
    </w:p>
    <w:bookmarkEnd w:id="161"/>
    <w:bookmarkStart w:id="162" w:name="ref-valera_etal_2025"/>
    <w:p>
      <w:pPr>
        <w:pStyle w:val="Bibliography"/>
      </w:pPr>
      <w:r>
        <w:t xml:space="preserve">Valera, Harold Glenn, Mark Holmes, and Vic Delloro. 2025.</w:t>
      </w:r>
      <w:r>
        <w:t xml:space="preserve"> </w:t>
      </w:r>
      <w:r>
        <w:rPr>
          <w:i/>
          <w:iCs/>
        </w:rPr>
        <w:t xml:space="preserve">The Changing Effect of Energy and Rice Prices and Remittances on Overall Inflation in Emerging Markets: Evidence from the</w:t>
      </w:r>
      <w:r>
        <w:rPr>
          <w:i/>
          <w:iCs/>
        </w:rPr>
        <w:t xml:space="preserve"> </w:t>
      </w:r>
      <w:r>
        <w:rPr>
          <w:i/>
          <w:iCs/>
        </w:rPr>
        <w:t xml:space="preserve">Philippines</w:t>
      </w:r>
      <w:r>
        <w:t xml:space="preserve">. BSP Discussion Paper Nos. 2025-02. Bangko Sentral ng Pilipinas.</w:t>
      </w:r>
    </w:p>
    <w:bookmarkEnd w:id="162"/>
    <w:bookmarkEnd w:id="163"/>
    <w:bookmarkEnd w:id="164"/>
    <w:bookmarkStart w:id="165" w:name="appendix-a.-review-matrix"/>
    <w:p>
      <w:pPr>
        <w:pStyle w:val="Heading1"/>
      </w:pPr>
      <w:r>
        <w:t xml:space="preserve">Appendix A. Review matrix</w:t>
      </w:r>
    </w:p>
    <w:p>
      <w:pPr>
        <w:pStyle w:val="FirstParagraph"/>
      </w:pPr>
      <w:r>
        <w:t xml:space="preserve">The matrix summarises the 30 studies reviewed in Chapter 2, grouped by theme. Methodological references (Jordà 2005; Teulings and Zubanov 2014; Newey and West 1987; Driscoll and Kraay 1998) are cited in Chapter 3.</w:t>
      </w:r>
    </w:p>
    <w:p>
      <w:pPr>
        <w:pStyle w:val="BodyText"/>
      </w:pPr>
      <w:r>
        <w:rPr>
          <w:b/>
          <w:bCs/>
        </w:rPr>
        <w:t xml:space="preserve">A. Theory: how a fuel price becomes a consumer price</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Pr>
      <w:tblGrid>
        <w:gridCol w:w="1980"/>
        <w:gridCol w:w="1980"/>
        <w:gridCol w:w="1980"/>
        <w:gridCol w:w="1980"/>
      </w:tblGrid>
      <w:tr>
        <w:trPr>
          <w:tblHeader w:val="on"/>
        </w:trPr>
        <w:tc>
          <w:tcPr>
            <w:tcBorders>
              <w:bottom w:val="single" w:sz="6" w:space="0" w:color="000000"/>
            </w:tcBorders>
          </w:tcPr>
          <w:p>
            <w:pPr>
              <w:pStyle w:val="Compact"/>
              <w:spacing w:before="0" w:after="0" w:line="240" w:lineRule="auto"/>
              <w:ind w:firstLine="0" w:left="0"/>
            </w:pPr>
            <w:r>
              <w:rPr>
                <w:sz w:val="20"/>
                <w:szCs w:val="20"/>
              </w:rPr>
              <w:t xml:space="preserve">Author (year)</w:t>
            </w:r>
          </w:p>
        </w:tc>
        <w:tc>
          <w:tcPr>
            <w:tcBorders>
              <w:bottom w:val="single" w:sz="6" w:space="0" w:color="000000"/>
            </w:tcBorders>
          </w:tcPr>
          <w:p>
            <w:pPr>
              <w:pStyle w:val="Compact"/>
              <w:spacing w:before="0" w:after="0" w:line="240" w:lineRule="auto"/>
              <w:ind w:firstLine="0" w:left="0"/>
            </w:pPr>
            <w:r>
              <w:rPr>
                <w:sz w:val="20"/>
                <w:szCs w:val="20"/>
              </w:rPr>
              <w:t xml:space="preserve">Country / sample</w:t>
            </w:r>
          </w:p>
        </w:tc>
        <w:tc>
          <w:tcPr>
            <w:tcBorders>
              <w:bottom w:val="single" w:sz="6" w:space="0" w:color="000000"/>
            </w:tcBorders>
          </w:tcPr>
          <w:p>
            <w:pPr>
              <w:pStyle w:val="Compact"/>
              <w:spacing w:before="0" w:after="0" w:line="240" w:lineRule="auto"/>
              <w:ind w:firstLine="0" w:left="0"/>
            </w:pPr>
            <w:r>
              <w:rPr>
                <w:sz w:val="20"/>
                <w:szCs w:val="20"/>
              </w:rPr>
              <w:t xml:space="preserve">Method</w:t>
            </w:r>
          </w:p>
        </w:tc>
        <w:tc>
          <w:tcPr>
            <w:tcBorders>
              <w:bottom w:val="single" w:sz="6" w:space="0" w:color="000000"/>
            </w:tcBorders>
          </w:tcPr>
          <w:p>
            <w:pPr>
              <w:pStyle w:val="Compact"/>
              <w:spacing w:before="0" w:after="0" w:line="240" w:lineRule="auto"/>
              <w:ind w:firstLine="0" w:left="0"/>
            </w:pPr>
            <w:r>
              <w:rPr>
                <w:sz w:val="20"/>
                <w:szCs w:val="20"/>
              </w:rPr>
              <w:t xml:space="preserve">Key findings</w:t>
            </w:r>
          </w:p>
        </w:tc>
      </w:tr>
      <w:tr>
        <w:tc>
          <w:tcPr/>
          <w:p>
            <w:pPr>
              <w:pStyle w:val="Compact"/>
              <w:spacing w:before="0" w:after="0" w:line="240" w:lineRule="auto"/>
              <w:ind w:firstLine="0" w:left="0"/>
            </w:pPr>
            <w:r>
              <w:rPr>
                <w:sz w:val="20"/>
                <w:szCs w:val="20"/>
              </w:rPr>
              <w:t xml:space="preserve">Miller and Blair (2009)</w:t>
            </w:r>
          </w:p>
        </w:tc>
        <w:tc>
          <w:tcPr/>
          <w:p>
            <w:pPr>
              <w:pStyle w:val="Compact"/>
              <w:spacing w:before="0" w:after="0" w:line="240" w:lineRule="auto"/>
              <w:ind w:firstLine="0" w:left="0"/>
            </w:pPr>
            <w:r>
              <w:rPr>
                <w:sz w:val="20"/>
                <w:szCs w:val="20"/>
              </w:rPr>
              <w:t xml:space="preserve">Textbook; general input-output economies</w:t>
            </w:r>
          </w:p>
        </w:tc>
        <w:tc>
          <w:tcPr/>
          <w:p>
            <w:pPr>
              <w:pStyle w:val="Compact"/>
              <w:spacing w:before="0" w:after="0" w:line="240" w:lineRule="auto"/>
              <w:ind w:firstLine="0" w:left="0"/>
            </w:pPr>
            <w:r>
              <w:rPr>
                <w:sz w:val="20"/>
                <w:szCs w:val="20"/>
              </w:rPr>
              <w:t xml:space="preserve">Leontief input-output price model</w:t>
            </w:r>
          </w:p>
        </w:tc>
        <w:tc>
          <w:tcPr/>
          <w:p>
            <w:pPr>
              <w:pStyle w:val="Compact"/>
              <w:spacing w:before="0" w:after="0" w:line="240" w:lineRule="auto"/>
              <w:ind w:firstLine="0" w:left="0"/>
            </w:pPr>
            <w:r>
              <w:rPr>
                <w:sz w:val="20"/>
                <w:szCs w:val="20"/>
              </w:rPr>
              <w:t xml:space="preserve">The price of each good covers the cost of its inputs plus value added, so a rise in the price of one input (such as fuel) raises every price in proportion to the input’s direct and indirect cost share.</w:t>
            </w:r>
          </w:p>
        </w:tc>
      </w:tr>
      <w:tr>
        <w:tc>
          <w:tcPr/>
          <w:p>
            <w:pPr>
              <w:pStyle w:val="Compact"/>
              <w:spacing w:before="0" w:after="0" w:line="240" w:lineRule="auto"/>
              <w:ind w:firstLine="0" w:left="0"/>
            </w:pPr>
            <w:r>
              <w:rPr>
                <w:sz w:val="20"/>
                <w:szCs w:val="20"/>
              </w:rPr>
              <w:t xml:space="preserve">Deaton (1989)</w:t>
            </w:r>
          </w:p>
        </w:tc>
        <w:tc>
          <w:tcPr/>
          <w:p>
            <w:pPr>
              <w:pStyle w:val="Compact"/>
              <w:spacing w:before="0" w:after="0" w:line="240" w:lineRule="auto"/>
              <w:ind w:firstLine="0" w:left="0"/>
            </w:pPr>
            <w:r>
              <w:rPr>
                <w:sz w:val="20"/>
                <w:szCs w:val="20"/>
              </w:rPr>
              <w:t xml:space="preserve">Thailand; 1981-82 Socio-Economic Survey households</w:t>
            </w:r>
          </w:p>
        </w:tc>
        <w:tc>
          <w:tcPr/>
          <w:p>
            <w:pPr>
              <w:pStyle w:val="Compact"/>
              <w:spacing w:before="0" w:after="0" w:line="240" w:lineRule="auto"/>
              <w:ind w:firstLine="0" w:left="0"/>
            </w:pPr>
            <w:r>
              <w:rPr>
                <w:sz w:val="20"/>
                <w:szCs w:val="20"/>
              </w:rPr>
              <w:t xml:space="preserve">Non-parametric regression of net benefit ratios (budget-share approach to welfare effects of price changes)</w:t>
            </w:r>
          </w:p>
        </w:tc>
        <w:tc>
          <w:tcPr/>
          <w:p>
            <w:pPr>
              <w:pStyle w:val="Compact"/>
              <w:spacing w:before="0" w:after="0" w:line="240" w:lineRule="auto"/>
              <w:ind w:firstLine="0" w:left="0"/>
            </w:pPr>
            <w:r>
              <w:rPr>
                <w:sz w:val="20"/>
                <w:szCs w:val="20"/>
              </w:rPr>
              <w:t xml:space="preserve">The first-order welfare effect of a price change equals the household’s net budget share times the price change; higher rice prices help net-selling farm households and hurt net buyers, so the effect depends on what each household buys and sells.</w:t>
            </w:r>
          </w:p>
        </w:tc>
      </w:tr>
      <w:tr>
        <w:tc>
          <w:tcPr/>
          <w:p>
            <w:pPr>
              <w:pStyle w:val="Compact"/>
              <w:spacing w:before="0" w:after="0" w:line="240" w:lineRule="auto"/>
              <w:ind w:firstLine="0" w:left="0"/>
            </w:pPr>
            <w:r>
              <w:rPr>
                <w:sz w:val="20"/>
                <w:szCs w:val="20"/>
              </w:rPr>
              <w:t xml:space="preserve">Kilian (2008)</w:t>
            </w:r>
          </w:p>
        </w:tc>
        <w:tc>
          <w:tcPr/>
          <w:p>
            <w:pPr>
              <w:pStyle w:val="Compact"/>
              <w:spacing w:before="0" w:after="0" w:line="240" w:lineRule="auto"/>
              <w:ind w:firstLine="0" w:left="0"/>
            </w:pPr>
            <w:r>
              <w:rPr>
                <w:sz w:val="20"/>
                <w:szCs w:val="20"/>
              </w:rPr>
              <w:t xml:space="preserve">Review; mainly United States since the 1970s</w:t>
            </w:r>
          </w:p>
        </w:tc>
        <w:tc>
          <w:tcPr/>
          <w:p>
            <w:pPr>
              <w:pStyle w:val="Compact"/>
              <w:spacing w:before="0" w:after="0" w:line="240" w:lineRule="auto"/>
              <w:ind w:firstLine="0" w:left="0"/>
            </w:pPr>
            <w:r>
              <w:rPr>
                <w:sz w:val="20"/>
                <w:szCs w:val="20"/>
              </w:rPr>
              <w:t xml:space="preserve">Survey of theory and evidence</w:t>
            </w:r>
          </w:p>
        </w:tc>
        <w:tc>
          <w:tcPr/>
          <w:p>
            <w:pPr>
              <w:pStyle w:val="Compact"/>
              <w:spacing w:before="0" w:after="0" w:line="240" w:lineRule="auto"/>
              <w:ind w:firstLine="0" w:left="0"/>
            </w:pPr>
            <w:r>
              <w:rPr>
                <w:sz w:val="20"/>
                <w:szCs w:val="20"/>
              </w:rPr>
              <w:t xml:space="preserve">Energy price shocks affect consumers directly, through energy purchases, and indirectly, through costs and spending; their effects on inflation and output depend on whether they come from supply or demand, and have waned since the 1980s.</w:t>
            </w:r>
          </w:p>
        </w:tc>
      </w:tr>
      <w:tr>
        <w:tc>
          <w:tcPr/>
          <w:p>
            <w:pPr>
              <w:pStyle w:val="Compact"/>
              <w:spacing w:before="0" w:after="0" w:line="240" w:lineRule="auto"/>
              <w:ind w:firstLine="0" w:left="0"/>
            </w:pPr>
            <w:r>
              <w:rPr>
                <w:sz w:val="20"/>
                <w:szCs w:val="20"/>
              </w:rPr>
              <w:t xml:space="preserve">Blanchard and Galí (2010)</w:t>
            </w:r>
          </w:p>
        </w:tc>
        <w:tc>
          <w:tcPr/>
          <w:p>
            <w:pPr>
              <w:pStyle w:val="Compact"/>
              <w:spacing w:before="0" w:after="0" w:line="240" w:lineRule="auto"/>
              <w:ind w:firstLine="0" w:left="0"/>
            </w:pPr>
            <w:r>
              <w:rPr>
                <w:sz w:val="20"/>
                <w:szCs w:val="20"/>
              </w:rPr>
              <w:t xml:space="preserve">United States and other industrial economies, 1970s-2000s</w:t>
            </w:r>
          </w:p>
        </w:tc>
        <w:tc>
          <w:tcPr/>
          <w:p>
            <w:pPr>
              <w:pStyle w:val="Compact"/>
              <w:spacing w:before="0" w:after="0" w:line="240" w:lineRule="auto"/>
              <w:ind w:firstLine="0" w:left="0"/>
            </w:pPr>
            <w:r>
              <w:rPr>
                <w:sz w:val="20"/>
                <w:szCs w:val="20"/>
              </w:rPr>
              <w:t xml:space="preserve">Structural VARs and a new-Keynesian model</w:t>
            </w:r>
          </w:p>
        </w:tc>
        <w:tc>
          <w:tcPr/>
          <w:p>
            <w:pPr>
              <w:pStyle w:val="Compact"/>
              <w:spacing w:before="0" w:after="0" w:line="240" w:lineRule="auto"/>
              <w:ind w:firstLine="0" w:left="0"/>
            </w:pPr>
            <w:r>
              <w:rPr>
                <w:sz w:val="20"/>
                <w:szCs w:val="20"/>
              </w:rPr>
              <w:t xml:space="preserve">Oil shocks had much smaller effects on inflation and output in the 2000s than in the 1970s: second-round wage effects were weaker, monetary policy more credible and the oil share of production smaller.</w:t>
            </w:r>
          </w:p>
        </w:tc>
      </w:tr>
      <w:tr>
        <w:tc>
          <w:tcPr/>
          <w:p>
            <w:pPr>
              <w:pStyle w:val="Compact"/>
              <w:spacing w:before="0" w:after="0" w:line="240" w:lineRule="auto"/>
              <w:ind w:firstLine="0" w:left="0"/>
            </w:pPr>
            <w:r>
              <w:rPr>
                <w:sz w:val="20"/>
                <w:szCs w:val="20"/>
              </w:rPr>
              <w:t xml:space="preserve">Kilian (2009)</w:t>
            </w:r>
          </w:p>
        </w:tc>
        <w:tc>
          <w:tcPr/>
          <w:p>
            <w:pPr>
              <w:pStyle w:val="Compact"/>
              <w:spacing w:before="0" w:after="0" w:line="240" w:lineRule="auto"/>
              <w:ind w:firstLine="0" w:left="0"/>
            </w:pPr>
            <w:r>
              <w:rPr>
                <w:sz w:val="20"/>
                <w:szCs w:val="20"/>
              </w:rPr>
              <w:t xml:space="preserve">Global crude oil market; United States, 1973-2007</w:t>
            </w:r>
          </w:p>
        </w:tc>
        <w:tc>
          <w:tcPr/>
          <w:p>
            <w:pPr>
              <w:pStyle w:val="Compact"/>
              <w:spacing w:before="0" w:after="0" w:line="240" w:lineRule="auto"/>
              <w:ind w:firstLine="0" w:left="0"/>
            </w:pPr>
            <w:r>
              <w:rPr>
                <w:sz w:val="20"/>
                <w:szCs w:val="20"/>
              </w:rPr>
              <w:t xml:space="preserve">Structural VAR separating oil supply, aggregate demand and oil-specific demand shocks</w:t>
            </w:r>
          </w:p>
        </w:tc>
        <w:tc>
          <w:tcPr/>
          <w:p>
            <w:pPr>
              <w:pStyle w:val="Compact"/>
              <w:spacing w:before="0" w:after="0" w:line="240" w:lineRule="auto"/>
              <w:ind w:firstLine="0" w:left="0"/>
            </w:pPr>
            <w:r>
              <w:rPr>
                <w:sz w:val="20"/>
                <w:szCs w:val="20"/>
              </w:rPr>
              <w:t xml:space="preserve">Not all oil price shocks are alike: supply, global-demand and oil-specific demand shocks have different effects on prices and activity, which explains why simple regressions on oil prices are unstable.</w:t>
            </w:r>
          </w:p>
        </w:tc>
      </w:tr>
      <w:tr>
        <w:tc>
          <w:tcPr/>
          <w:p>
            <w:pPr>
              <w:pStyle w:val="Compact"/>
              <w:spacing w:before="0" w:after="0" w:line="240" w:lineRule="auto"/>
              <w:ind w:firstLine="0" w:left="0"/>
            </w:pPr>
            <w:r>
              <w:rPr>
                <w:sz w:val="20"/>
                <w:szCs w:val="20"/>
              </w:rPr>
              <w:t xml:space="preserve">Baumeister and Hamilton (2019)</w:t>
            </w:r>
          </w:p>
        </w:tc>
        <w:tc>
          <w:tcPr/>
          <w:p>
            <w:pPr>
              <w:pStyle w:val="Compact"/>
              <w:spacing w:before="0" w:after="0" w:line="240" w:lineRule="auto"/>
              <w:ind w:firstLine="0" w:left="0"/>
            </w:pPr>
            <w:r>
              <w:rPr>
                <w:sz w:val="20"/>
                <w:szCs w:val="20"/>
              </w:rPr>
              <w:t xml:space="preserve">Global oil market, 1970s-2010s</w:t>
            </w:r>
          </w:p>
        </w:tc>
        <w:tc>
          <w:tcPr/>
          <w:p>
            <w:pPr>
              <w:pStyle w:val="Compact"/>
              <w:spacing w:before="0" w:after="0" w:line="240" w:lineRule="auto"/>
              <w:ind w:firstLine="0" w:left="0"/>
            </w:pPr>
            <w:r>
              <w:rPr>
                <w:sz w:val="20"/>
                <w:szCs w:val="20"/>
              </w:rPr>
              <w:t xml:space="preserve">Bayesian structural VAR with uncertain identifying assumptions</w:t>
            </w:r>
          </w:p>
        </w:tc>
        <w:tc>
          <w:tcPr/>
          <w:p>
            <w:pPr>
              <w:pStyle w:val="Compact"/>
              <w:spacing w:before="0" w:after="0" w:line="240" w:lineRule="auto"/>
              <w:ind w:firstLine="0" w:left="0"/>
            </w:pPr>
            <w:r>
              <w:rPr>
                <w:sz w:val="20"/>
                <w:szCs w:val="20"/>
              </w:rPr>
              <w:t xml:space="preserve">Oil supply disruptions explain more of historical oil price movements than earlier estimates; supply shocks reduce world activity after a lag, demand shocks do not.</w:t>
            </w:r>
          </w:p>
        </w:tc>
      </w:tr>
      <w:tr>
        <w:tc>
          <w:tcPr/>
          <w:p>
            <w:pPr>
              <w:pStyle w:val="Compact"/>
              <w:spacing w:before="0" w:after="0" w:line="240" w:lineRule="auto"/>
              <w:ind w:firstLine="0" w:left="0"/>
            </w:pPr>
            <w:r>
              <w:rPr>
                <w:sz w:val="20"/>
                <w:szCs w:val="20"/>
              </w:rPr>
              <w:t xml:space="preserve">Känzig (2021)</w:t>
            </w:r>
          </w:p>
        </w:tc>
        <w:tc>
          <w:tcPr/>
          <w:p>
            <w:pPr>
              <w:pStyle w:val="Compact"/>
              <w:spacing w:before="0" w:after="0" w:line="240" w:lineRule="auto"/>
              <w:ind w:firstLine="0" w:left="0"/>
            </w:pPr>
            <w:r>
              <w:rPr>
                <w:sz w:val="20"/>
                <w:szCs w:val="20"/>
              </w:rPr>
              <w:t xml:space="preserve">Oil market and United States economy, 1970s-2010s</w:t>
            </w:r>
          </w:p>
        </w:tc>
        <w:tc>
          <w:tcPr/>
          <w:p>
            <w:pPr>
              <w:pStyle w:val="Compact"/>
              <w:spacing w:before="0" w:after="0" w:line="240" w:lineRule="auto"/>
              <w:ind w:firstLine="0" w:left="0"/>
            </w:pPr>
            <w:r>
              <w:rPr>
                <w:sz w:val="20"/>
                <w:szCs w:val="20"/>
              </w:rPr>
              <w:t xml:space="preserve">High-frequency identification from OPEC announcements; VARs and local projections</w:t>
            </w:r>
          </w:p>
        </w:tc>
        <w:tc>
          <w:tcPr/>
          <w:p>
            <w:pPr>
              <w:pStyle w:val="Compact"/>
              <w:spacing w:before="0" w:after="0" w:line="240" w:lineRule="auto"/>
              <w:ind w:firstLine="0" w:left="0"/>
            </w:pPr>
            <w:r>
              <w:rPr>
                <w:sz w:val="20"/>
                <w:szCs w:val="20"/>
              </w:rPr>
              <w:t xml:space="preserve">Negative oil supply news raises oil prices immediately and lowers output; prices and inflation expectations rise, showing a strong expectations channel.</w:t>
            </w:r>
          </w:p>
        </w:tc>
      </w:tr>
    </w:tbl>
    <w:p>
      <w:pPr>
        <w:pStyle w:val="BodyText"/>
      </w:pPr>
      <w:r>
        <w:rPr>
          <w:b/>
          <w:bCs/>
        </w:rPr>
        <w:t xml:space="preserve">B. Evidence on pass-through to inflation</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Pr>
      <w:tblGrid>
        <w:gridCol w:w="1980"/>
        <w:gridCol w:w="1980"/>
        <w:gridCol w:w="1980"/>
        <w:gridCol w:w="1980"/>
      </w:tblGrid>
      <w:tr>
        <w:trPr>
          <w:tblHeader w:val="on"/>
        </w:trPr>
        <w:tc>
          <w:tcPr>
            <w:tcBorders>
              <w:bottom w:val="single" w:sz="6" w:space="0" w:color="000000"/>
            </w:tcBorders>
          </w:tcPr>
          <w:p>
            <w:pPr>
              <w:pStyle w:val="Compact"/>
              <w:spacing w:before="0" w:after="0" w:line="240" w:lineRule="auto"/>
              <w:ind w:firstLine="0" w:left="0"/>
            </w:pPr>
            <w:r>
              <w:rPr>
                <w:sz w:val="20"/>
                <w:szCs w:val="20"/>
              </w:rPr>
              <w:t xml:space="preserve">Author (year)</w:t>
            </w:r>
          </w:p>
        </w:tc>
        <w:tc>
          <w:tcPr>
            <w:tcBorders>
              <w:bottom w:val="single" w:sz="6" w:space="0" w:color="000000"/>
            </w:tcBorders>
          </w:tcPr>
          <w:p>
            <w:pPr>
              <w:pStyle w:val="Compact"/>
              <w:spacing w:before="0" w:after="0" w:line="240" w:lineRule="auto"/>
              <w:ind w:firstLine="0" w:left="0"/>
            </w:pPr>
            <w:r>
              <w:rPr>
                <w:sz w:val="20"/>
                <w:szCs w:val="20"/>
              </w:rPr>
              <w:t xml:space="preserve">Country / sample</w:t>
            </w:r>
          </w:p>
        </w:tc>
        <w:tc>
          <w:tcPr>
            <w:tcBorders>
              <w:bottom w:val="single" w:sz="6" w:space="0" w:color="000000"/>
            </w:tcBorders>
          </w:tcPr>
          <w:p>
            <w:pPr>
              <w:pStyle w:val="Compact"/>
              <w:spacing w:before="0" w:after="0" w:line="240" w:lineRule="auto"/>
              <w:ind w:firstLine="0" w:left="0"/>
            </w:pPr>
            <w:r>
              <w:rPr>
                <w:sz w:val="20"/>
                <w:szCs w:val="20"/>
              </w:rPr>
              <w:t xml:space="preserve">Method</w:t>
            </w:r>
          </w:p>
        </w:tc>
        <w:tc>
          <w:tcPr>
            <w:tcBorders>
              <w:bottom w:val="single" w:sz="6" w:space="0" w:color="000000"/>
            </w:tcBorders>
          </w:tcPr>
          <w:p>
            <w:pPr>
              <w:pStyle w:val="Compact"/>
              <w:spacing w:before="0" w:after="0" w:line="240" w:lineRule="auto"/>
              <w:ind w:firstLine="0" w:left="0"/>
            </w:pPr>
            <w:r>
              <w:rPr>
                <w:sz w:val="20"/>
                <w:szCs w:val="20"/>
              </w:rPr>
              <w:t xml:space="preserve">Key findings</w:t>
            </w:r>
          </w:p>
        </w:tc>
      </w:tr>
      <w:tr>
        <w:tc>
          <w:tcPr/>
          <w:p>
            <w:pPr>
              <w:pStyle w:val="Compact"/>
              <w:spacing w:before="0" w:after="0" w:line="240" w:lineRule="auto"/>
              <w:ind w:firstLine="0" w:left="0"/>
            </w:pPr>
            <w:r>
              <w:rPr>
                <w:sz w:val="20"/>
                <w:szCs w:val="20"/>
              </w:rPr>
              <w:t xml:space="preserve">Kpodar and Abdallah (2017)</w:t>
            </w:r>
          </w:p>
        </w:tc>
        <w:tc>
          <w:tcPr/>
          <w:p>
            <w:pPr>
              <w:pStyle w:val="Compact"/>
              <w:spacing w:before="0" w:after="0" w:line="240" w:lineRule="auto"/>
              <w:ind w:firstLine="0" w:left="0"/>
            </w:pPr>
            <w:r>
              <w:rPr>
                <w:sz w:val="20"/>
                <w:szCs w:val="20"/>
              </w:rPr>
              <w:t xml:space="preserve">162 countries; monthly retail fuel prices</w:t>
            </w:r>
          </w:p>
        </w:tc>
        <w:tc>
          <w:tcPr/>
          <w:p>
            <w:pPr>
              <w:pStyle w:val="Compact"/>
              <w:spacing w:before="0" w:after="0" w:line="240" w:lineRule="auto"/>
              <w:ind w:firstLine="0" w:left="0"/>
            </w:pPr>
            <w:r>
              <w:rPr>
                <w:sz w:val="20"/>
                <w:szCs w:val="20"/>
              </w:rPr>
              <w:t xml:space="preserve">Local projections on a new global retail fuel price database</w:t>
            </w:r>
          </w:p>
        </w:tc>
        <w:tc>
          <w:tcPr/>
          <w:p>
            <w:pPr>
              <w:pStyle w:val="Compact"/>
              <w:spacing w:before="0" w:after="0" w:line="240" w:lineRule="auto"/>
              <w:ind w:firstLine="0" w:left="0"/>
            </w:pPr>
            <w:r>
              <w:rPr>
                <w:sz w:val="20"/>
                <w:szCs w:val="20"/>
              </w:rPr>
              <w:t xml:space="preserve">A one-cent rise in crude oil per litre raises retail gasoline prices by about 1.2 cents at peak, after about six months; pass-through varies by region and is larger for increases than decreases.</w:t>
            </w:r>
          </w:p>
        </w:tc>
      </w:tr>
      <w:tr>
        <w:tc>
          <w:tcPr/>
          <w:p>
            <w:pPr>
              <w:pStyle w:val="Compact"/>
              <w:spacing w:before="0" w:after="0" w:line="240" w:lineRule="auto"/>
              <w:ind w:firstLine="0" w:left="0"/>
            </w:pPr>
            <w:r>
              <w:rPr>
                <w:sz w:val="20"/>
                <w:szCs w:val="20"/>
              </w:rPr>
              <w:t xml:space="preserve">Kpodar and Imam (2021)</w:t>
            </w:r>
          </w:p>
        </w:tc>
        <w:tc>
          <w:tcPr/>
          <w:p>
            <w:pPr>
              <w:pStyle w:val="Compact"/>
              <w:spacing w:before="0" w:after="0" w:line="240" w:lineRule="auto"/>
              <w:ind w:firstLine="0" w:left="0"/>
            </w:pPr>
            <w:r>
              <w:rPr>
                <w:sz w:val="20"/>
                <w:szCs w:val="20"/>
              </w:rPr>
              <w:t xml:space="preserve">109 developing countries, 2000-2014</w:t>
            </w:r>
          </w:p>
        </w:tc>
        <w:tc>
          <w:tcPr/>
          <w:p>
            <w:pPr>
              <w:pStyle w:val="Compact"/>
              <w:spacing w:before="0" w:after="0" w:line="240" w:lineRule="auto"/>
              <w:ind w:firstLine="0" w:left="0"/>
            </w:pPr>
            <w:r>
              <w:rPr>
                <w:sz w:val="20"/>
                <w:szCs w:val="20"/>
              </w:rPr>
              <w:t xml:space="preserve">Panel data analysis of the pass-through of international to domestic fuel prices</w:t>
            </w:r>
          </w:p>
        </w:tc>
        <w:tc>
          <w:tcPr/>
          <w:p>
            <w:pPr>
              <w:pStyle w:val="Compact"/>
              <w:spacing w:before="0" w:after="0" w:line="240" w:lineRule="auto"/>
              <w:ind w:firstLine="0" w:left="0"/>
            </w:pPr>
            <w:r>
              <w:rPr>
                <w:sz w:val="20"/>
                <w:szCs w:val="20"/>
              </w:rPr>
              <w:t xml:space="preserve">Pass-through is higher when world price changes are moderate and less volatile and when pricing rules are flexible; depreciation and cheaper fuel in neighbouring countries reduce it.</w:t>
            </w:r>
          </w:p>
        </w:tc>
      </w:tr>
      <w:tr>
        <w:tc>
          <w:tcPr/>
          <w:p>
            <w:pPr>
              <w:pStyle w:val="Compact"/>
              <w:spacing w:before="0" w:after="0" w:line="240" w:lineRule="auto"/>
              <w:ind w:firstLine="0" w:left="0"/>
            </w:pPr>
            <w:r>
              <w:rPr>
                <w:sz w:val="20"/>
                <w:szCs w:val="20"/>
              </w:rPr>
              <w:t xml:space="preserve">Choi et al. (2018)</w:t>
            </w:r>
          </w:p>
        </w:tc>
        <w:tc>
          <w:tcPr/>
          <w:p>
            <w:pPr>
              <w:pStyle w:val="Compact"/>
              <w:spacing w:before="0" w:after="0" w:line="240" w:lineRule="auto"/>
              <w:ind w:firstLine="0" w:left="0"/>
            </w:pPr>
            <w:r>
              <w:rPr>
                <w:sz w:val="20"/>
                <w:szCs w:val="20"/>
              </w:rPr>
              <w:t xml:space="preserve">72 advanced and developing economies, 1970-2015</w:t>
            </w:r>
          </w:p>
        </w:tc>
        <w:tc>
          <w:tcPr/>
          <w:p>
            <w:pPr>
              <w:pStyle w:val="Compact"/>
              <w:spacing w:before="0" w:after="0" w:line="240" w:lineRule="auto"/>
              <w:ind w:firstLine="0" w:left="0"/>
            </w:pPr>
            <w:r>
              <w:rPr>
                <w:sz w:val="20"/>
                <w:szCs w:val="20"/>
              </w:rPr>
              <w:t xml:space="preserve">Local projections, panel</w:t>
            </w:r>
          </w:p>
        </w:tc>
        <w:tc>
          <w:tcPr/>
          <w:p>
            <w:pPr>
              <w:pStyle w:val="Compact"/>
              <w:spacing w:before="0" w:after="0" w:line="240" w:lineRule="auto"/>
              <w:ind w:firstLine="0" w:left="0"/>
            </w:pPr>
            <w:r>
              <w:rPr>
                <w:sz w:val="20"/>
                <w:szCs w:val="20"/>
              </w:rPr>
              <w:t xml:space="preserve">A 10% rise in global oil prices raises domestic inflation by about 0.4 pp on impact, fading within two years; the effect is asymmetric and has declined over time, largely because of better monetary policy.</w:t>
            </w:r>
          </w:p>
        </w:tc>
      </w:tr>
      <w:tr>
        <w:tc>
          <w:tcPr/>
          <w:p>
            <w:pPr>
              <w:pStyle w:val="Compact"/>
              <w:spacing w:before="0" w:after="0" w:line="240" w:lineRule="auto"/>
              <w:ind w:firstLine="0" w:left="0"/>
            </w:pPr>
            <w:r>
              <w:rPr>
                <w:sz w:val="20"/>
                <w:szCs w:val="20"/>
              </w:rPr>
              <w:t xml:space="preserve">Gelos and Ustyugova (2017)</w:t>
            </w:r>
          </w:p>
        </w:tc>
        <w:tc>
          <w:tcPr/>
          <w:p>
            <w:pPr>
              <w:pStyle w:val="Compact"/>
              <w:spacing w:before="0" w:after="0" w:line="240" w:lineRule="auto"/>
              <w:ind w:firstLine="0" w:left="0"/>
            </w:pPr>
            <w:r>
              <w:rPr>
                <w:sz w:val="20"/>
                <w:szCs w:val="20"/>
              </w:rPr>
              <w:t xml:space="preserve">31 advanced and 61 emerging and developing economies</w:t>
            </w:r>
          </w:p>
        </w:tc>
        <w:tc>
          <w:tcPr/>
          <w:p>
            <w:pPr>
              <w:pStyle w:val="Compact"/>
              <w:spacing w:before="0" w:after="0" w:line="240" w:lineRule="auto"/>
              <w:ind w:firstLine="0" w:left="0"/>
            </w:pPr>
            <w:r>
              <w:rPr>
                <w:sz w:val="20"/>
                <w:szCs w:val="20"/>
              </w:rPr>
              <w:t xml:space="preserve">Panel and country regressions of inflation on commodity price shocks</w:t>
            </w:r>
          </w:p>
        </w:tc>
        <w:tc>
          <w:tcPr/>
          <w:p>
            <w:pPr>
              <w:pStyle w:val="Compact"/>
              <w:spacing w:before="0" w:after="0" w:line="240" w:lineRule="auto"/>
              <w:ind w:firstLine="0" w:left="0"/>
            </w:pPr>
            <w:r>
              <w:rPr>
                <w:sz w:val="20"/>
                <w:szCs w:val="20"/>
              </w:rPr>
              <w:t xml:space="preserve">Fuel price shocks have larger and more persistent effects in oil-intensive economies and where inflation was already high.</w:t>
            </w:r>
          </w:p>
        </w:tc>
      </w:tr>
      <w:tr>
        <w:tc>
          <w:tcPr/>
          <w:p>
            <w:pPr>
              <w:pStyle w:val="Compact"/>
              <w:spacing w:before="0" w:after="0" w:line="240" w:lineRule="auto"/>
              <w:ind w:firstLine="0" w:left="0"/>
            </w:pPr>
            <w:r>
              <w:rPr>
                <w:sz w:val="20"/>
                <w:szCs w:val="20"/>
              </w:rPr>
              <w:t xml:space="preserve">Kpodar and Liu (2022)</w:t>
            </w:r>
          </w:p>
        </w:tc>
        <w:tc>
          <w:tcPr/>
          <w:p>
            <w:pPr>
              <w:pStyle w:val="Compact"/>
              <w:spacing w:before="0" w:after="0" w:line="240" w:lineRule="auto"/>
              <w:ind w:firstLine="0" w:left="0"/>
            </w:pPr>
            <w:r>
              <w:rPr>
                <w:sz w:val="20"/>
                <w:szCs w:val="20"/>
              </w:rPr>
              <w:t xml:space="preserve">122 countries, monthly, 2000-2019 (incl. the Philippines in the developing group)</w:t>
            </w:r>
          </w:p>
        </w:tc>
        <w:tc>
          <w:tcPr/>
          <w:p>
            <w:pPr>
              <w:pStyle w:val="Compact"/>
              <w:spacing w:before="0" w:after="0" w:line="240" w:lineRule="auto"/>
              <w:ind w:firstLine="0" w:left="0"/>
            </w:pPr>
            <w:r>
              <w:rPr>
                <w:sz w:val="20"/>
                <w:szCs w:val="20"/>
              </w:rPr>
              <w:t xml:space="preserve">Local projections with Teulings-Zubanov correction; quintile CPIs rebuilt from survey weights</w:t>
            </w:r>
          </w:p>
        </w:tc>
        <w:tc>
          <w:tcPr/>
          <w:p>
            <w:pPr>
              <w:pStyle w:val="Compact"/>
              <w:spacing w:before="0" w:after="0" w:line="240" w:lineRule="auto"/>
              <w:ind w:firstLine="0" w:left="0"/>
            </w:pPr>
            <w:r>
              <w:rPr>
                <w:sz w:val="20"/>
                <w:szCs w:val="20"/>
              </w:rPr>
              <w:t xml:space="preserve">Retail fuel prices pass through to inflation (peak about 0.04 pp per 1% in advanced and 0.02 pp in developing economies); crude prices understate it; the effect on the richest-to-poorest quintile CPI ratio is progressive.</w:t>
            </w:r>
          </w:p>
        </w:tc>
      </w:tr>
      <w:tr>
        <w:tc>
          <w:tcPr/>
          <w:p>
            <w:pPr>
              <w:pStyle w:val="Compact"/>
              <w:spacing w:before="0" w:after="0" w:line="240" w:lineRule="auto"/>
              <w:ind w:firstLine="0" w:left="0"/>
            </w:pPr>
            <w:r>
              <w:rPr>
                <w:sz w:val="20"/>
                <w:szCs w:val="20"/>
              </w:rPr>
              <w:t xml:space="preserve">Jongwanich and Park (2011)</w:t>
            </w:r>
          </w:p>
        </w:tc>
        <w:tc>
          <w:tcPr/>
          <w:p>
            <w:pPr>
              <w:pStyle w:val="Compact"/>
              <w:spacing w:before="0" w:after="0" w:line="240" w:lineRule="auto"/>
              <w:ind w:firstLine="0" w:left="0"/>
            </w:pPr>
            <w:r>
              <w:rPr>
                <w:sz w:val="20"/>
                <w:szCs w:val="20"/>
              </w:rPr>
              <w:t xml:space="preserve">Nine developing Asian economies, 2007-2008 price spike</w:t>
            </w:r>
          </w:p>
        </w:tc>
        <w:tc>
          <w:tcPr/>
          <w:p>
            <w:pPr>
              <w:pStyle w:val="Compact"/>
              <w:spacing w:before="0" w:after="0" w:line="240" w:lineRule="auto"/>
              <w:ind w:firstLine="0" w:left="0"/>
            </w:pPr>
            <w:r>
              <w:rPr>
                <w:sz w:val="20"/>
                <w:szCs w:val="20"/>
              </w:rPr>
              <w:t xml:space="preserve">Empirical pass-through analysis of global food and oil prices to consumer prices</w:t>
            </w:r>
          </w:p>
        </w:tc>
        <w:tc>
          <w:tcPr/>
          <w:p>
            <w:pPr>
              <w:pStyle w:val="Compact"/>
              <w:spacing w:before="0" w:after="0" w:line="240" w:lineRule="auto"/>
              <w:ind w:firstLine="0" w:left="0"/>
            </w:pPr>
            <w:r>
              <w:rPr>
                <w:sz w:val="20"/>
                <w:szCs w:val="20"/>
              </w:rPr>
              <w:t xml:space="preserve">The pass-through of global food and oil prices to consumer prices was limited; subsidies and price controls reduced or delayed it.</w:t>
            </w:r>
          </w:p>
        </w:tc>
      </w:tr>
      <w:tr>
        <w:tc>
          <w:tcPr/>
          <w:p>
            <w:pPr>
              <w:pStyle w:val="Compact"/>
              <w:spacing w:before="0" w:after="0" w:line="240" w:lineRule="auto"/>
              <w:ind w:firstLine="0" w:left="0"/>
            </w:pPr>
            <w:r>
              <w:rPr>
                <w:sz w:val="20"/>
                <w:szCs w:val="20"/>
              </w:rPr>
              <w:t xml:space="preserve">Allon-Pineda et al. (2026)</w:t>
            </w:r>
          </w:p>
        </w:tc>
        <w:tc>
          <w:tcPr/>
          <w:p>
            <w:pPr>
              <w:pStyle w:val="Compact"/>
              <w:spacing w:before="0" w:after="0" w:line="240" w:lineRule="auto"/>
              <w:ind w:firstLine="0" w:left="0"/>
            </w:pPr>
            <w:r>
              <w:rPr>
                <w:sz w:val="20"/>
                <w:szCs w:val="20"/>
              </w:rPr>
              <w:t xml:space="preserve">Philippines, monthly</w:t>
            </w:r>
          </w:p>
        </w:tc>
        <w:tc>
          <w:tcPr/>
          <w:p>
            <w:pPr>
              <w:pStyle w:val="Compact"/>
              <w:spacing w:before="0" w:after="0" w:line="240" w:lineRule="auto"/>
              <w:ind w:firstLine="0" w:left="0"/>
            </w:pPr>
            <w:r>
              <w:rPr>
                <w:sz w:val="20"/>
                <w:szCs w:val="20"/>
              </w:rPr>
              <w:t xml:space="preserve">Local projections of inflation on oil, food and rice price shocks</w:t>
            </w:r>
          </w:p>
        </w:tc>
        <w:tc>
          <w:tcPr/>
          <w:p>
            <w:pPr>
              <w:pStyle w:val="Compact"/>
              <w:spacing w:before="0" w:after="0" w:line="240" w:lineRule="auto"/>
              <w:ind w:firstLine="0" w:left="0"/>
            </w:pPr>
            <w:r>
              <w:rPr>
                <w:sz w:val="20"/>
                <w:szCs w:val="20"/>
              </w:rPr>
              <w:t xml:space="preserve">Global oil and food shocks have significant and persistent effects on Philippine inflation; second-round effects of oil are as large as its direct effects; core inflation responds asymmetrically to oil shocks.</w:t>
            </w:r>
          </w:p>
        </w:tc>
      </w:tr>
      <w:tr>
        <w:tc>
          <w:tcPr/>
          <w:p>
            <w:pPr>
              <w:pStyle w:val="Compact"/>
              <w:spacing w:before="0" w:after="0" w:line="240" w:lineRule="auto"/>
              <w:ind w:firstLine="0" w:left="0"/>
            </w:pPr>
            <w:r>
              <w:rPr>
                <w:sz w:val="20"/>
                <w:szCs w:val="20"/>
              </w:rPr>
              <w:t xml:space="preserve">Valera et al. (2025)</w:t>
            </w:r>
          </w:p>
        </w:tc>
        <w:tc>
          <w:tcPr/>
          <w:p>
            <w:pPr>
              <w:pStyle w:val="Compact"/>
              <w:spacing w:before="0" w:after="0" w:line="240" w:lineRule="auto"/>
              <w:ind w:firstLine="0" w:left="0"/>
            </w:pPr>
            <w:r>
              <w:rPr>
                <w:sz w:val="20"/>
                <w:szCs w:val="20"/>
              </w:rPr>
              <w:t xml:space="preserve">Philippine provinces, monthly, 1996-2024 (with Indonesia, Thailand, India)</w:t>
            </w:r>
          </w:p>
        </w:tc>
        <w:tc>
          <w:tcPr/>
          <w:p>
            <w:pPr>
              <w:pStyle w:val="Compact"/>
              <w:spacing w:before="0" w:after="0" w:line="240" w:lineRule="auto"/>
              <w:ind w:firstLine="0" w:left="0"/>
            </w:pPr>
            <w:r>
              <w:rPr>
                <w:sz w:val="20"/>
                <w:szCs w:val="20"/>
              </w:rPr>
              <w:t xml:space="preserve">Quantile regression</w:t>
            </w:r>
          </w:p>
        </w:tc>
        <w:tc>
          <w:tcPr/>
          <w:p>
            <w:pPr>
              <w:pStyle w:val="Compact"/>
              <w:spacing w:before="0" w:after="0" w:line="240" w:lineRule="auto"/>
              <w:ind w:firstLine="0" w:left="0"/>
            </w:pPr>
            <w:r>
              <w:rPr>
                <w:sz w:val="20"/>
                <w:szCs w:val="20"/>
              </w:rPr>
              <w:t xml:space="preserve">Energy and rice prices raise inflation more when inflation is high; inflation targeting and rice tariffication weakened the rice effect, especially in high-poverty and rice-deficit areas.</w:t>
            </w:r>
          </w:p>
        </w:tc>
      </w:tr>
    </w:tbl>
    <w:p>
      <w:pPr>
        <w:pStyle w:val="BodyText"/>
      </w:pPr>
      <w:r>
        <w:rPr>
          <w:b/>
          <w:bCs/>
        </w:rPr>
        <w:t xml:space="preserve">C. Who bears fuel price changes</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Pr>
      <w:tblGrid>
        <w:gridCol w:w="1980"/>
        <w:gridCol w:w="1980"/>
        <w:gridCol w:w="1980"/>
        <w:gridCol w:w="1980"/>
      </w:tblGrid>
      <w:tr>
        <w:trPr>
          <w:tblHeader w:val="on"/>
        </w:trPr>
        <w:tc>
          <w:tcPr>
            <w:tcBorders>
              <w:bottom w:val="single" w:sz="6" w:space="0" w:color="000000"/>
            </w:tcBorders>
          </w:tcPr>
          <w:p>
            <w:pPr>
              <w:pStyle w:val="Compact"/>
              <w:spacing w:before="0" w:after="0" w:line="240" w:lineRule="auto"/>
              <w:ind w:firstLine="0" w:left="0"/>
            </w:pPr>
            <w:r>
              <w:rPr>
                <w:sz w:val="20"/>
                <w:szCs w:val="20"/>
              </w:rPr>
              <w:t xml:space="preserve">Author (year)</w:t>
            </w:r>
          </w:p>
        </w:tc>
        <w:tc>
          <w:tcPr>
            <w:tcBorders>
              <w:bottom w:val="single" w:sz="6" w:space="0" w:color="000000"/>
            </w:tcBorders>
          </w:tcPr>
          <w:p>
            <w:pPr>
              <w:pStyle w:val="Compact"/>
              <w:spacing w:before="0" w:after="0" w:line="240" w:lineRule="auto"/>
              <w:ind w:firstLine="0" w:left="0"/>
            </w:pPr>
            <w:r>
              <w:rPr>
                <w:sz w:val="20"/>
                <w:szCs w:val="20"/>
              </w:rPr>
              <w:t xml:space="preserve">Country / sample</w:t>
            </w:r>
          </w:p>
        </w:tc>
        <w:tc>
          <w:tcPr>
            <w:tcBorders>
              <w:bottom w:val="single" w:sz="6" w:space="0" w:color="000000"/>
            </w:tcBorders>
          </w:tcPr>
          <w:p>
            <w:pPr>
              <w:pStyle w:val="Compact"/>
              <w:spacing w:before="0" w:after="0" w:line="240" w:lineRule="auto"/>
              <w:ind w:firstLine="0" w:left="0"/>
            </w:pPr>
            <w:r>
              <w:rPr>
                <w:sz w:val="20"/>
                <w:szCs w:val="20"/>
              </w:rPr>
              <w:t xml:space="preserve">Method</w:t>
            </w:r>
          </w:p>
        </w:tc>
        <w:tc>
          <w:tcPr>
            <w:tcBorders>
              <w:bottom w:val="single" w:sz="6" w:space="0" w:color="000000"/>
            </w:tcBorders>
          </w:tcPr>
          <w:p>
            <w:pPr>
              <w:pStyle w:val="Compact"/>
              <w:spacing w:before="0" w:after="0" w:line="240" w:lineRule="auto"/>
              <w:ind w:firstLine="0" w:left="0"/>
            </w:pPr>
            <w:r>
              <w:rPr>
                <w:sz w:val="20"/>
                <w:szCs w:val="20"/>
              </w:rPr>
              <w:t xml:space="preserve">Key findings</w:t>
            </w:r>
          </w:p>
        </w:tc>
      </w:tr>
      <w:tr>
        <w:tc>
          <w:tcPr/>
          <w:p>
            <w:pPr>
              <w:pStyle w:val="Compact"/>
              <w:spacing w:before="0" w:after="0" w:line="240" w:lineRule="auto"/>
              <w:ind w:firstLine="0" w:left="0"/>
            </w:pPr>
            <w:r>
              <w:rPr>
                <w:sz w:val="20"/>
                <w:szCs w:val="20"/>
              </w:rPr>
              <w:t xml:space="preserve">Arze del Granado et al. (2012)</w:t>
            </w:r>
          </w:p>
        </w:tc>
        <w:tc>
          <w:tcPr/>
          <w:p>
            <w:pPr>
              <w:pStyle w:val="Compact"/>
              <w:spacing w:before="0" w:after="0" w:line="240" w:lineRule="auto"/>
              <w:ind w:firstLine="0" w:left="0"/>
            </w:pPr>
            <w:r>
              <w:rPr>
                <w:sz w:val="20"/>
                <w:szCs w:val="20"/>
              </w:rPr>
              <w:t xml:space="preserve">Review of country studies, developing countries</w:t>
            </w:r>
          </w:p>
        </w:tc>
        <w:tc>
          <w:tcPr/>
          <w:p>
            <w:pPr>
              <w:pStyle w:val="Compact"/>
              <w:spacing w:before="0" w:after="0" w:line="240" w:lineRule="auto"/>
              <w:ind w:firstLine="0" w:left="0"/>
            </w:pPr>
            <w:r>
              <w:rPr>
                <w:sz w:val="20"/>
                <w:szCs w:val="20"/>
              </w:rPr>
              <w:t xml:space="preserve">Survey of incidence studies (direct and indirect effects)</w:t>
            </w:r>
          </w:p>
        </w:tc>
        <w:tc>
          <w:tcPr/>
          <w:p>
            <w:pPr>
              <w:pStyle w:val="Compact"/>
              <w:spacing w:before="0" w:after="0" w:line="240" w:lineRule="auto"/>
              <w:ind w:firstLine="0" w:left="0"/>
            </w:pPr>
            <w:r>
              <w:rPr>
                <w:sz w:val="20"/>
                <w:szCs w:val="20"/>
              </w:rPr>
              <w:t xml:space="preserve">A fuel price increase lowers real incomes by a similar percentage across income groups, more than half of it through indirect effects; in absolute terms the richest fifth receives about six times more subsidy than the poorest.</w:t>
            </w:r>
          </w:p>
        </w:tc>
      </w:tr>
      <w:tr>
        <w:tc>
          <w:tcPr/>
          <w:p>
            <w:pPr>
              <w:pStyle w:val="Compact"/>
              <w:spacing w:before="0" w:after="0" w:line="240" w:lineRule="auto"/>
              <w:ind w:firstLine="0" w:left="0"/>
            </w:pPr>
            <w:r>
              <w:rPr>
                <w:sz w:val="20"/>
                <w:szCs w:val="20"/>
              </w:rPr>
              <w:t xml:space="preserve">Coady et al. (2015)</w:t>
            </w:r>
          </w:p>
        </w:tc>
        <w:tc>
          <w:tcPr/>
          <w:p>
            <w:pPr>
              <w:pStyle w:val="Compact"/>
              <w:spacing w:before="0" w:after="0" w:line="240" w:lineRule="auto"/>
              <w:ind w:firstLine="0" w:left="0"/>
            </w:pPr>
            <w:r>
              <w:rPr>
                <w:sz w:val="20"/>
                <w:szCs w:val="20"/>
              </w:rPr>
              <w:t xml:space="preserve">Updated review, developing countries</w:t>
            </w:r>
          </w:p>
        </w:tc>
        <w:tc>
          <w:tcPr/>
          <w:p>
            <w:pPr>
              <w:pStyle w:val="Compact"/>
              <w:spacing w:before="0" w:after="0" w:line="240" w:lineRule="auto"/>
              <w:ind w:firstLine="0" w:left="0"/>
            </w:pPr>
            <w:r>
              <w:rPr>
                <w:sz w:val="20"/>
                <w:szCs w:val="20"/>
              </w:rPr>
              <w:t xml:space="preserve">Survey of incidence studies</w:t>
            </w:r>
          </w:p>
        </w:tc>
        <w:tc>
          <w:tcPr/>
          <w:p>
            <w:pPr>
              <w:pStyle w:val="Compact"/>
              <w:spacing w:before="0" w:after="0" w:line="240" w:lineRule="auto"/>
              <w:ind w:firstLine="0" w:left="0"/>
            </w:pPr>
            <w:r>
              <w:rPr>
                <w:sz w:val="20"/>
                <w:szCs w:val="20"/>
              </w:rPr>
              <w:t xml:space="preserve">Newer studies confirm that higher-income households capture most of the benefits of fuel subsidies, which worsens inequality.</w:t>
            </w:r>
          </w:p>
        </w:tc>
      </w:tr>
      <w:tr>
        <w:tc>
          <w:tcPr/>
          <w:p>
            <w:pPr>
              <w:pStyle w:val="Compact"/>
              <w:spacing w:before="0" w:after="0" w:line="240" w:lineRule="auto"/>
              <w:ind w:firstLine="0" w:left="0"/>
            </w:pPr>
            <w:r>
              <w:rPr>
                <w:sz w:val="20"/>
                <w:szCs w:val="20"/>
              </w:rPr>
              <w:t xml:space="preserve">Siddig et al. (2014)</w:t>
            </w:r>
          </w:p>
        </w:tc>
        <w:tc>
          <w:tcPr/>
          <w:p>
            <w:pPr>
              <w:pStyle w:val="Compact"/>
              <w:spacing w:before="0" w:after="0" w:line="240" w:lineRule="auto"/>
              <w:ind w:firstLine="0" w:left="0"/>
            </w:pPr>
            <w:r>
              <w:rPr>
                <w:sz w:val="20"/>
                <w:szCs w:val="20"/>
              </w:rPr>
              <w:t xml:space="preserve">Nigeria</w:t>
            </w:r>
          </w:p>
        </w:tc>
        <w:tc>
          <w:tcPr/>
          <w:p>
            <w:pPr>
              <w:pStyle w:val="Compact"/>
              <w:spacing w:before="0" w:after="0" w:line="240" w:lineRule="auto"/>
              <w:ind w:firstLine="0" w:left="0"/>
            </w:pPr>
            <w:r>
              <w:rPr>
                <w:sz w:val="20"/>
                <w:szCs w:val="20"/>
              </w:rPr>
              <w:t xml:space="preserve">Computable general equilibrium model</w:t>
            </w:r>
          </w:p>
        </w:tc>
        <w:tc>
          <w:tcPr/>
          <w:p>
            <w:pPr>
              <w:pStyle w:val="Compact"/>
              <w:spacing w:before="0" w:after="0" w:line="240" w:lineRule="auto"/>
              <w:ind w:firstLine="0" w:left="0"/>
            </w:pPr>
            <w:r>
              <w:rPr>
                <w:sz w:val="20"/>
                <w:szCs w:val="20"/>
              </w:rPr>
              <w:t xml:space="preserve">Removing fuel import subsidies raises GDP but can lower household incomes, especially of the poor; transfers to poor households can offset the losses.</w:t>
            </w:r>
          </w:p>
        </w:tc>
      </w:tr>
      <w:tr>
        <w:tc>
          <w:tcPr/>
          <w:p>
            <w:pPr>
              <w:pStyle w:val="Compact"/>
              <w:spacing w:before="0" w:after="0" w:line="240" w:lineRule="auto"/>
              <w:ind w:firstLine="0" w:left="0"/>
            </w:pPr>
            <w:r>
              <w:rPr>
                <w:sz w:val="20"/>
                <w:szCs w:val="20"/>
              </w:rPr>
              <w:t xml:space="preserve">Soile and Mu (2015)</w:t>
            </w:r>
          </w:p>
        </w:tc>
        <w:tc>
          <w:tcPr/>
          <w:p>
            <w:pPr>
              <w:pStyle w:val="Compact"/>
              <w:spacing w:before="0" w:after="0" w:line="240" w:lineRule="auto"/>
              <w:ind w:firstLine="0" w:left="0"/>
            </w:pPr>
            <w:r>
              <w:rPr>
                <w:sz w:val="20"/>
                <w:szCs w:val="20"/>
              </w:rPr>
              <w:t xml:space="preserve">Nigeria; 2009/10 household survey</w:t>
            </w:r>
          </w:p>
        </w:tc>
        <w:tc>
          <w:tcPr/>
          <w:p>
            <w:pPr>
              <w:pStyle w:val="Compact"/>
              <w:spacing w:before="0" w:after="0" w:line="240" w:lineRule="auto"/>
              <w:ind w:firstLine="0" w:left="0"/>
            </w:pPr>
            <w:r>
              <w:rPr>
                <w:sz w:val="20"/>
                <w:szCs w:val="20"/>
              </w:rPr>
              <w:t xml:space="preserve">Incidence analysis with concentration curves</w:t>
            </w:r>
          </w:p>
        </w:tc>
        <w:tc>
          <w:tcPr/>
          <w:p>
            <w:pPr>
              <w:pStyle w:val="Compact"/>
              <w:spacing w:before="0" w:after="0" w:line="240" w:lineRule="auto"/>
              <w:ind w:firstLine="0" w:left="0"/>
            </w:pPr>
            <w:r>
              <w:rPr>
                <w:sz w:val="20"/>
                <w:szCs w:val="20"/>
              </w:rPr>
              <w:t xml:space="preserve">Petrol subsidies flow mainly to richer households and kerosene subsidies are more evenly shared; overall the top fifth receives about twice the benefit of the bottom fifth.</w:t>
            </w:r>
          </w:p>
        </w:tc>
      </w:tr>
      <w:tr>
        <w:tc>
          <w:tcPr/>
          <w:p>
            <w:pPr>
              <w:pStyle w:val="Compact"/>
              <w:spacing w:before="0" w:after="0" w:line="240" w:lineRule="auto"/>
              <w:ind w:firstLine="0" w:left="0"/>
            </w:pPr>
            <w:r>
              <w:rPr>
                <w:sz w:val="20"/>
                <w:szCs w:val="20"/>
              </w:rPr>
              <w:t xml:space="preserve">Dorband et al. (2019)</w:t>
            </w:r>
          </w:p>
        </w:tc>
        <w:tc>
          <w:tcPr/>
          <w:p>
            <w:pPr>
              <w:pStyle w:val="Compact"/>
              <w:spacing w:before="0" w:after="0" w:line="240" w:lineRule="auto"/>
              <w:ind w:firstLine="0" w:left="0"/>
            </w:pPr>
            <w:r>
              <w:rPr>
                <w:sz w:val="20"/>
                <w:szCs w:val="20"/>
              </w:rPr>
              <w:t xml:space="preserve">87 low- and middle-income countries</w:t>
            </w:r>
          </w:p>
        </w:tc>
        <w:tc>
          <w:tcPr/>
          <w:p>
            <w:pPr>
              <w:pStyle w:val="Compact"/>
              <w:spacing w:before="0" w:after="0" w:line="240" w:lineRule="auto"/>
              <w:ind w:firstLine="0" w:left="0"/>
            </w:pPr>
            <w:r>
              <w:rPr>
                <w:sz w:val="20"/>
                <w:szCs w:val="20"/>
              </w:rPr>
              <w:t xml:space="preserve">Input-output incidence analysis of carbon pricing</w:t>
            </w:r>
          </w:p>
        </w:tc>
        <w:tc>
          <w:tcPr/>
          <w:p>
            <w:pPr>
              <w:pStyle w:val="Compact"/>
              <w:spacing w:before="0" w:after="0" w:line="240" w:lineRule="auto"/>
              <w:ind w:firstLine="0" w:left="0"/>
            </w:pPr>
            <w:r>
              <w:rPr>
                <w:sz w:val="20"/>
                <w:szCs w:val="20"/>
              </w:rPr>
              <w:t xml:space="preserve">Carbon pricing is on average progressive in countries with incomes below about USD 15,000 per person, because energy budget shares rise and then fall with income.</w:t>
            </w:r>
          </w:p>
        </w:tc>
      </w:tr>
      <w:tr>
        <w:tc>
          <w:tcPr/>
          <w:p>
            <w:pPr>
              <w:pStyle w:val="Compact"/>
              <w:spacing w:before="0" w:after="0" w:line="240" w:lineRule="auto"/>
              <w:ind w:firstLine="0" w:left="0"/>
            </w:pPr>
            <w:r>
              <w:rPr>
                <w:sz w:val="20"/>
                <w:szCs w:val="20"/>
              </w:rPr>
              <w:t xml:space="preserve">Domingo et al. (2009)</w:t>
            </w:r>
          </w:p>
        </w:tc>
        <w:tc>
          <w:tcPr/>
          <w:p>
            <w:pPr>
              <w:pStyle w:val="Compact"/>
              <w:spacing w:before="0" w:after="0" w:line="240" w:lineRule="auto"/>
              <w:ind w:firstLine="0" w:left="0"/>
            </w:pPr>
            <w:r>
              <w:rPr>
                <w:sz w:val="20"/>
                <w:szCs w:val="20"/>
              </w:rPr>
              <w:t xml:space="preserve">Philippines; household-level data</w:t>
            </w:r>
          </w:p>
        </w:tc>
        <w:tc>
          <w:tcPr/>
          <w:p>
            <w:pPr>
              <w:pStyle w:val="Compact"/>
              <w:spacing w:before="0" w:after="0" w:line="240" w:lineRule="auto"/>
              <w:ind w:firstLine="0" w:left="0"/>
            </w:pPr>
            <w:r>
              <w:rPr>
                <w:sz w:val="20"/>
                <w:szCs w:val="20"/>
              </w:rPr>
              <w:t xml:space="preserve">Household-level analysis of the effects of rice and fuel price increases</w:t>
            </w:r>
          </w:p>
        </w:tc>
        <w:tc>
          <w:tcPr/>
          <w:p>
            <w:pPr>
              <w:pStyle w:val="Compact"/>
              <w:spacing w:before="0" w:after="0" w:line="240" w:lineRule="auto"/>
              <w:ind w:firstLine="0" w:left="0"/>
            </w:pPr>
            <w:r>
              <w:rPr>
                <w:sz w:val="20"/>
                <w:szCs w:val="20"/>
              </w:rPr>
              <w:t xml:space="preserve">The impact of higher rice and fuel prices differs by sector of employment, urbanity, income group and location; there are gainers as well as losers, and better targeting of mitigation programmes is needed.</w:t>
            </w:r>
          </w:p>
        </w:tc>
      </w:tr>
      <w:tr>
        <w:tc>
          <w:tcPr/>
          <w:p>
            <w:pPr>
              <w:pStyle w:val="Compact"/>
              <w:spacing w:before="0" w:after="0" w:line="240" w:lineRule="auto"/>
              <w:ind w:firstLine="0" w:left="0"/>
            </w:pPr>
            <w:r>
              <w:rPr>
                <w:sz w:val="20"/>
                <w:szCs w:val="20"/>
              </w:rPr>
              <w:t xml:space="preserve">Satriawan and Shrestha (2018)</w:t>
            </w:r>
          </w:p>
        </w:tc>
        <w:tc>
          <w:tcPr/>
          <w:p>
            <w:pPr>
              <w:pStyle w:val="Compact"/>
              <w:spacing w:before="0" w:after="0" w:line="240" w:lineRule="auto"/>
              <w:ind w:firstLine="0" w:left="0"/>
            </w:pPr>
            <w:r>
              <w:rPr>
                <w:sz w:val="20"/>
                <w:szCs w:val="20"/>
              </w:rPr>
              <w:t xml:space="preserve">Indonesia; IFLS 2000 and 2007</w:t>
            </w:r>
          </w:p>
        </w:tc>
        <w:tc>
          <w:tcPr/>
          <w:p>
            <w:pPr>
              <w:pStyle w:val="Compact"/>
              <w:spacing w:before="0" w:after="0" w:line="240" w:lineRule="auto"/>
              <w:ind w:firstLine="0" w:left="0"/>
            </w:pPr>
            <w:r>
              <w:rPr>
                <w:sz w:val="20"/>
                <w:szCs w:val="20"/>
              </w:rPr>
              <w:t xml:space="preserve">Household panel analysis of programme participation</w:t>
            </w:r>
          </w:p>
        </w:tc>
        <w:tc>
          <w:tcPr/>
          <w:p>
            <w:pPr>
              <w:pStyle w:val="Compact"/>
              <w:spacing w:before="0" w:after="0" w:line="240" w:lineRule="auto"/>
              <w:ind w:firstLine="0" w:left="0"/>
            </w:pPr>
            <w:r>
              <w:rPr>
                <w:sz w:val="20"/>
                <w:szCs w:val="20"/>
              </w:rPr>
              <w:t xml:space="preserve">The Raskin rice subsidy reaches the poor more than the non-poor, but take-up is regressive within the poor: the poorest households buy less subsidised rice.</w:t>
            </w:r>
          </w:p>
        </w:tc>
      </w:tr>
    </w:tbl>
    <w:p>
      <w:pPr>
        <w:pStyle w:val="BodyText"/>
      </w:pPr>
      <w:r>
        <w:rPr>
          <w:b/>
          <w:bCs/>
        </w:rPr>
        <w:t xml:space="preserve">D. Do the poor face different inflation?</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Pr>
      <w:tblGrid>
        <w:gridCol w:w="1980"/>
        <w:gridCol w:w="1980"/>
        <w:gridCol w:w="1980"/>
        <w:gridCol w:w="1980"/>
      </w:tblGrid>
      <w:tr>
        <w:trPr>
          <w:tblHeader w:val="on"/>
        </w:trPr>
        <w:tc>
          <w:tcPr>
            <w:tcBorders>
              <w:bottom w:val="single" w:sz="6" w:space="0" w:color="000000"/>
            </w:tcBorders>
          </w:tcPr>
          <w:p>
            <w:pPr>
              <w:pStyle w:val="Compact"/>
              <w:spacing w:before="0" w:after="0" w:line="240" w:lineRule="auto"/>
              <w:ind w:firstLine="0" w:left="0"/>
            </w:pPr>
            <w:r>
              <w:rPr>
                <w:sz w:val="20"/>
                <w:szCs w:val="20"/>
              </w:rPr>
              <w:t xml:space="preserve">Author (year)</w:t>
            </w:r>
          </w:p>
        </w:tc>
        <w:tc>
          <w:tcPr>
            <w:tcBorders>
              <w:bottom w:val="single" w:sz="6" w:space="0" w:color="000000"/>
            </w:tcBorders>
          </w:tcPr>
          <w:p>
            <w:pPr>
              <w:pStyle w:val="Compact"/>
              <w:spacing w:before="0" w:after="0" w:line="240" w:lineRule="auto"/>
              <w:ind w:firstLine="0" w:left="0"/>
            </w:pPr>
            <w:r>
              <w:rPr>
                <w:sz w:val="20"/>
                <w:szCs w:val="20"/>
              </w:rPr>
              <w:t xml:space="preserve">Country / sample</w:t>
            </w:r>
          </w:p>
        </w:tc>
        <w:tc>
          <w:tcPr>
            <w:tcBorders>
              <w:bottom w:val="single" w:sz="6" w:space="0" w:color="000000"/>
            </w:tcBorders>
          </w:tcPr>
          <w:p>
            <w:pPr>
              <w:pStyle w:val="Compact"/>
              <w:spacing w:before="0" w:after="0" w:line="240" w:lineRule="auto"/>
              <w:ind w:firstLine="0" w:left="0"/>
            </w:pPr>
            <w:r>
              <w:rPr>
                <w:sz w:val="20"/>
                <w:szCs w:val="20"/>
              </w:rPr>
              <w:t xml:space="preserve">Method</w:t>
            </w:r>
          </w:p>
        </w:tc>
        <w:tc>
          <w:tcPr>
            <w:tcBorders>
              <w:bottom w:val="single" w:sz="6" w:space="0" w:color="000000"/>
            </w:tcBorders>
          </w:tcPr>
          <w:p>
            <w:pPr>
              <w:pStyle w:val="Compact"/>
              <w:spacing w:before="0" w:after="0" w:line="240" w:lineRule="auto"/>
              <w:ind w:firstLine="0" w:left="0"/>
            </w:pPr>
            <w:r>
              <w:rPr>
                <w:sz w:val="20"/>
                <w:szCs w:val="20"/>
              </w:rPr>
              <w:t xml:space="preserve">Key findings</w:t>
            </w:r>
          </w:p>
        </w:tc>
      </w:tr>
      <w:tr>
        <w:tc>
          <w:tcPr/>
          <w:p>
            <w:pPr>
              <w:pStyle w:val="Compact"/>
              <w:spacing w:before="0" w:after="0" w:line="240" w:lineRule="auto"/>
              <w:ind w:firstLine="0" w:left="0"/>
            </w:pPr>
            <w:r>
              <w:rPr>
                <w:sz w:val="20"/>
                <w:szCs w:val="20"/>
              </w:rPr>
              <w:t xml:space="preserve">Easterly and Fischer (2001)</w:t>
            </w:r>
          </w:p>
        </w:tc>
        <w:tc>
          <w:tcPr/>
          <w:p>
            <w:pPr>
              <w:pStyle w:val="Compact"/>
              <w:spacing w:before="0" w:after="0" w:line="240" w:lineRule="auto"/>
              <w:ind w:firstLine="0" w:left="0"/>
            </w:pPr>
            <w:r>
              <w:rPr>
                <w:sz w:val="20"/>
                <w:szCs w:val="20"/>
              </w:rPr>
              <w:t xml:space="preserve">31,869 households in 38 countries; cross-country data</w:t>
            </w:r>
          </w:p>
        </w:tc>
        <w:tc>
          <w:tcPr/>
          <w:p>
            <w:pPr>
              <w:pStyle w:val="Compact"/>
              <w:spacing w:before="0" w:after="0" w:line="240" w:lineRule="auto"/>
              <w:ind w:firstLine="0" w:left="0"/>
            </w:pPr>
            <w:r>
              <w:rPr>
                <w:sz w:val="20"/>
                <w:szCs w:val="20"/>
              </w:rPr>
              <w:t xml:space="preserve">Polling data and pooled cross-country regressions</w:t>
            </w:r>
          </w:p>
        </w:tc>
        <w:tc>
          <w:tcPr/>
          <w:p>
            <w:pPr>
              <w:pStyle w:val="Compact"/>
              <w:spacing w:before="0" w:after="0" w:line="240" w:lineRule="auto"/>
              <w:ind w:firstLine="0" w:left="0"/>
            </w:pPr>
            <w:r>
              <w:rPr>
                <w:sz w:val="20"/>
                <w:szCs w:val="20"/>
              </w:rPr>
              <w:t xml:space="preserve">The poor are more likely than the rich to name inflation as a top concern; high inflation lowers the income share of the bottom quintile and the real minimum wage and raises poverty.</w:t>
            </w:r>
          </w:p>
        </w:tc>
      </w:tr>
      <w:tr>
        <w:tc>
          <w:tcPr/>
          <w:p>
            <w:pPr>
              <w:pStyle w:val="Compact"/>
              <w:spacing w:before="0" w:after="0" w:line="240" w:lineRule="auto"/>
              <w:ind w:firstLine="0" w:left="0"/>
            </w:pPr>
            <w:r>
              <w:rPr>
                <w:sz w:val="20"/>
                <w:szCs w:val="20"/>
              </w:rPr>
              <w:t xml:space="preserve">Hobijn and Lagakos (2005)</w:t>
            </w:r>
          </w:p>
        </w:tc>
        <w:tc>
          <w:tcPr/>
          <w:p>
            <w:pPr>
              <w:pStyle w:val="Compact"/>
              <w:spacing w:before="0" w:after="0" w:line="240" w:lineRule="auto"/>
              <w:ind w:firstLine="0" w:left="0"/>
            </w:pPr>
            <w:r>
              <w:rPr>
                <w:sz w:val="20"/>
                <w:szCs w:val="20"/>
              </w:rPr>
              <w:t xml:space="preserve">United States households, 1987-2000</w:t>
            </w:r>
          </w:p>
        </w:tc>
        <w:tc>
          <w:tcPr/>
          <w:p>
            <w:pPr>
              <w:pStyle w:val="Compact"/>
              <w:spacing w:before="0" w:after="0" w:line="240" w:lineRule="auto"/>
              <w:ind w:firstLine="0" w:left="0"/>
            </w:pPr>
            <w:r>
              <w:rPr>
                <w:sz w:val="20"/>
                <w:szCs w:val="20"/>
              </w:rPr>
              <w:t xml:space="preserve">Household-specific price indices from expenditure data</w:t>
            </w:r>
          </w:p>
        </w:tc>
        <w:tc>
          <w:tcPr/>
          <w:p>
            <w:pPr>
              <w:pStyle w:val="Compact"/>
              <w:spacing w:before="0" w:after="0" w:line="240" w:lineRule="auto"/>
              <w:ind w:firstLine="0" w:left="0"/>
            </w:pPr>
            <w:r>
              <w:rPr>
                <w:sz w:val="20"/>
                <w:szCs w:val="20"/>
              </w:rPr>
              <w:t xml:space="preserve">Inflation differs substantially across households; the cost of living of poor households is the most sensitive to fluctuations in gasoline prices.</w:t>
            </w:r>
          </w:p>
        </w:tc>
      </w:tr>
      <w:tr>
        <w:tc>
          <w:tcPr/>
          <w:p>
            <w:pPr>
              <w:pStyle w:val="Compact"/>
              <w:spacing w:before="0" w:after="0" w:line="240" w:lineRule="auto"/>
              <w:ind w:firstLine="0" w:left="0"/>
            </w:pPr>
            <w:r>
              <w:rPr>
                <w:sz w:val="20"/>
                <w:szCs w:val="20"/>
              </w:rPr>
              <w:t xml:space="preserve">Kaplan and Schulhofer-Wohl (2017)</w:t>
            </w:r>
          </w:p>
        </w:tc>
        <w:tc>
          <w:tcPr/>
          <w:p>
            <w:pPr>
              <w:pStyle w:val="Compact"/>
              <w:spacing w:before="0" w:after="0" w:line="240" w:lineRule="auto"/>
              <w:ind w:firstLine="0" w:left="0"/>
            </w:pPr>
            <w:r>
              <w:rPr>
                <w:sz w:val="20"/>
                <w:szCs w:val="20"/>
              </w:rPr>
              <w:t xml:space="preserve">United States; household scanner data</w:t>
            </w:r>
          </w:p>
        </w:tc>
        <w:tc>
          <w:tcPr/>
          <w:p>
            <w:pPr>
              <w:pStyle w:val="Compact"/>
              <w:spacing w:before="0" w:after="0" w:line="240" w:lineRule="auto"/>
              <w:ind w:firstLine="0" w:left="0"/>
            </w:pPr>
            <w:r>
              <w:rPr>
                <w:sz w:val="20"/>
                <w:szCs w:val="20"/>
              </w:rPr>
              <w:t xml:space="preserve">Household-level price indices</w:t>
            </w:r>
          </w:p>
        </w:tc>
        <w:tc>
          <w:tcPr/>
          <w:p>
            <w:pPr>
              <w:pStyle w:val="Compact"/>
              <w:spacing w:before="0" w:after="0" w:line="240" w:lineRule="auto"/>
              <w:ind w:firstLine="0" w:left="0"/>
            </w:pPr>
            <w:r>
              <w:rPr>
                <w:sz w:val="20"/>
                <w:szCs w:val="20"/>
              </w:rPr>
              <w:t xml:space="preserve">Household inflation rates are very dispersed, mostly because households pay different prices for the same kinds of goods; lower-income households face higher inflation.</w:t>
            </w:r>
          </w:p>
        </w:tc>
      </w:tr>
      <w:tr>
        <w:tc>
          <w:tcPr/>
          <w:p>
            <w:pPr>
              <w:pStyle w:val="Compact"/>
              <w:spacing w:before="0" w:after="0" w:line="240" w:lineRule="auto"/>
              <w:ind w:firstLine="0" w:left="0"/>
            </w:pPr>
            <w:r>
              <w:rPr>
                <w:sz w:val="20"/>
                <w:szCs w:val="20"/>
              </w:rPr>
              <w:t xml:space="preserve">Jaravel (2021)</w:t>
            </w:r>
          </w:p>
        </w:tc>
        <w:tc>
          <w:tcPr/>
          <w:p>
            <w:pPr>
              <w:pStyle w:val="Compact"/>
              <w:spacing w:before="0" w:after="0" w:line="240" w:lineRule="auto"/>
              <w:ind w:firstLine="0" w:left="0"/>
            </w:pPr>
            <w:r>
              <w:rPr>
                <w:sz w:val="20"/>
                <w:szCs w:val="20"/>
              </w:rPr>
              <w:t xml:space="preserve">Review of the literature</w:t>
            </w:r>
          </w:p>
        </w:tc>
        <w:tc>
          <w:tcPr/>
          <w:p>
            <w:pPr>
              <w:pStyle w:val="Compact"/>
              <w:spacing w:before="0" w:after="0" w:line="240" w:lineRule="auto"/>
              <w:ind w:firstLine="0" w:left="0"/>
            </w:pPr>
            <w:r>
              <w:rPr>
                <w:sz w:val="20"/>
                <w:szCs w:val="20"/>
              </w:rPr>
              <w:t xml:space="preserve">Survey</w:t>
            </w:r>
          </w:p>
        </w:tc>
        <w:tc>
          <w:tcPr/>
          <w:p>
            <w:pPr>
              <w:pStyle w:val="Compact"/>
              <w:spacing w:before="0" w:after="0" w:line="240" w:lineRule="auto"/>
              <w:ind w:firstLine="0" w:left="0"/>
            </w:pPr>
            <w:r>
              <w:rPr>
                <w:sz w:val="20"/>
                <w:szCs w:val="20"/>
              </w:rPr>
              <w:t xml:space="preserve">Inflation rates decline with household income in the United States; measuring this needs granular prices, because aggregation hides differences in what each group buys within categories.</w:t>
            </w:r>
          </w:p>
        </w:tc>
      </w:tr>
      <w:tr>
        <w:tc>
          <w:tcPr/>
          <w:p>
            <w:pPr>
              <w:pStyle w:val="Compact"/>
              <w:spacing w:before="0" w:after="0" w:line="240" w:lineRule="auto"/>
              <w:ind w:firstLine="0" w:left="0"/>
            </w:pPr>
            <w:r>
              <w:rPr>
                <w:sz w:val="20"/>
                <w:szCs w:val="20"/>
              </w:rPr>
              <w:t xml:space="preserve">Fujii (2013)</w:t>
            </w:r>
          </w:p>
        </w:tc>
        <w:tc>
          <w:tcPr/>
          <w:p>
            <w:pPr>
              <w:pStyle w:val="Compact"/>
              <w:spacing w:before="0" w:after="0" w:line="240" w:lineRule="auto"/>
              <w:ind w:firstLine="0" w:left="0"/>
            </w:pPr>
            <w:r>
              <w:rPr>
                <w:sz w:val="20"/>
                <w:szCs w:val="20"/>
              </w:rPr>
              <w:t xml:space="preserve">Philippines, 2006-2008; household survey and provincial prices</w:t>
            </w:r>
          </w:p>
        </w:tc>
        <w:tc>
          <w:tcPr/>
          <w:p>
            <w:pPr>
              <w:pStyle w:val="Compact"/>
              <w:spacing w:before="0" w:after="0" w:line="240" w:lineRule="auto"/>
              <w:ind w:firstLine="0" w:left="0"/>
            </w:pPr>
            <w:r>
              <w:rPr>
                <w:sz w:val="20"/>
                <w:szCs w:val="20"/>
              </w:rPr>
              <w:t xml:space="preserve">Non-parametric welfare analysis of food price changes</w:t>
            </w:r>
          </w:p>
        </w:tc>
        <w:tc>
          <w:tcPr/>
          <w:p>
            <w:pPr>
              <w:pStyle w:val="Compact"/>
              <w:spacing w:before="0" w:after="0" w:line="240" w:lineRule="auto"/>
              <w:ind w:firstLine="0" w:left="0"/>
            </w:pPr>
            <w:r>
              <w:rPr>
                <w:sz w:val="20"/>
                <w:szCs w:val="20"/>
              </w:rPr>
              <w:t xml:space="preserve">Food price increases raised poverty, and the poorest households were hit hard whether or not they farmed.</w:t>
            </w:r>
          </w:p>
        </w:tc>
      </w:tr>
    </w:tbl>
    <w:p>
      <w:pPr>
        <w:pStyle w:val="BodyText"/>
      </w:pPr>
      <w:r>
        <w:rPr>
          <w:b/>
          <w:bCs/>
        </w:rPr>
        <w:t xml:space="preserve">E. Rice, food prices and policy in Asia</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Pr>
      <w:tblGrid>
        <w:gridCol w:w="1980"/>
        <w:gridCol w:w="1980"/>
        <w:gridCol w:w="1980"/>
        <w:gridCol w:w="1980"/>
      </w:tblGrid>
      <w:tr>
        <w:trPr>
          <w:tblHeader w:val="on"/>
        </w:trPr>
        <w:tc>
          <w:tcPr>
            <w:tcBorders>
              <w:bottom w:val="single" w:sz="6" w:space="0" w:color="000000"/>
            </w:tcBorders>
          </w:tcPr>
          <w:p>
            <w:pPr>
              <w:pStyle w:val="Compact"/>
              <w:spacing w:before="0" w:after="0" w:line="240" w:lineRule="auto"/>
              <w:ind w:firstLine="0" w:left="0"/>
            </w:pPr>
            <w:r>
              <w:rPr>
                <w:sz w:val="20"/>
                <w:szCs w:val="20"/>
              </w:rPr>
              <w:t xml:space="preserve">Author (year)</w:t>
            </w:r>
          </w:p>
        </w:tc>
        <w:tc>
          <w:tcPr>
            <w:tcBorders>
              <w:bottom w:val="single" w:sz="6" w:space="0" w:color="000000"/>
            </w:tcBorders>
          </w:tcPr>
          <w:p>
            <w:pPr>
              <w:pStyle w:val="Compact"/>
              <w:spacing w:before="0" w:after="0" w:line="240" w:lineRule="auto"/>
              <w:ind w:firstLine="0" w:left="0"/>
            </w:pPr>
            <w:r>
              <w:rPr>
                <w:sz w:val="20"/>
                <w:szCs w:val="20"/>
              </w:rPr>
              <w:t xml:space="preserve">Country / sample</w:t>
            </w:r>
          </w:p>
        </w:tc>
        <w:tc>
          <w:tcPr>
            <w:tcBorders>
              <w:bottom w:val="single" w:sz="6" w:space="0" w:color="000000"/>
            </w:tcBorders>
          </w:tcPr>
          <w:p>
            <w:pPr>
              <w:pStyle w:val="Compact"/>
              <w:spacing w:before="0" w:after="0" w:line="240" w:lineRule="auto"/>
              <w:ind w:firstLine="0" w:left="0"/>
            </w:pPr>
            <w:r>
              <w:rPr>
                <w:sz w:val="20"/>
                <w:szCs w:val="20"/>
              </w:rPr>
              <w:t xml:space="preserve">Method</w:t>
            </w:r>
          </w:p>
        </w:tc>
        <w:tc>
          <w:tcPr>
            <w:tcBorders>
              <w:bottom w:val="single" w:sz="6" w:space="0" w:color="000000"/>
            </w:tcBorders>
          </w:tcPr>
          <w:p>
            <w:pPr>
              <w:pStyle w:val="Compact"/>
              <w:spacing w:before="0" w:after="0" w:line="240" w:lineRule="auto"/>
              <w:ind w:firstLine="0" w:left="0"/>
            </w:pPr>
            <w:r>
              <w:rPr>
                <w:sz w:val="20"/>
                <w:szCs w:val="20"/>
              </w:rPr>
              <w:t xml:space="preserve">Key findings</w:t>
            </w:r>
          </w:p>
        </w:tc>
      </w:tr>
      <w:tr>
        <w:tc>
          <w:tcPr/>
          <w:p>
            <w:pPr>
              <w:pStyle w:val="Compact"/>
              <w:spacing w:before="0" w:after="0" w:line="240" w:lineRule="auto"/>
              <w:ind w:firstLine="0" w:left="0"/>
            </w:pPr>
            <w:r>
              <w:rPr>
                <w:sz w:val="20"/>
                <w:szCs w:val="20"/>
              </w:rPr>
              <w:t xml:space="preserve">Timmer and Dawe (2007)</w:t>
            </w:r>
          </w:p>
        </w:tc>
        <w:tc>
          <w:tcPr/>
          <w:p>
            <w:pPr>
              <w:pStyle w:val="Compact"/>
              <w:spacing w:before="0" w:after="0" w:line="240" w:lineRule="auto"/>
              <w:ind w:firstLine="0" w:left="0"/>
            </w:pPr>
            <w:r>
              <w:rPr>
                <w:sz w:val="20"/>
                <w:szCs w:val="20"/>
              </w:rPr>
              <w:t xml:space="preserve">Asia; Indonesian experience</w:t>
            </w:r>
          </w:p>
        </w:tc>
        <w:tc>
          <w:tcPr/>
          <w:p>
            <w:pPr>
              <w:pStyle w:val="Compact"/>
              <w:spacing w:before="0" w:after="0" w:line="240" w:lineRule="auto"/>
              <w:ind w:firstLine="0" w:left="0"/>
            </w:pPr>
            <w:r>
              <w:rPr>
                <w:sz w:val="20"/>
                <w:szCs w:val="20"/>
              </w:rPr>
              <w:t xml:space="preserve">Policy analysis of food price stabilisation</w:t>
            </w:r>
          </w:p>
        </w:tc>
        <w:tc>
          <w:tcPr/>
          <w:p>
            <w:pPr>
              <w:pStyle w:val="Compact"/>
              <w:spacing w:before="0" w:after="0" w:line="240" w:lineRule="auto"/>
              <w:ind w:firstLine="0" w:left="0"/>
            </w:pPr>
            <w:r>
              <w:rPr>
                <w:sz w:val="20"/>
                <w:szCs w:val="20"/>
              </w:rPr>
              <w:t xml:space="preserve">Stabilising rice prices supports growth and food security; a rice price spike caused by an import ban pushed about 4 million Indonesians into poverty.</w:t>
            </w:r>
          </w:p>
        </w:tc>
      </w:tr>
      <w:tr>
        <w:tc>
          <w:tcPr/>
          <w:p>
            <w:pPr>
              <w:pStyle w:val="Compact"/>
              <w:spacing w:before="0" w:after="0" w:line="240" w:lineRule="auto"/>
              <w:ind w:firstLine="0" w:left="0"/>
            </w:pPr>
            <w:r>
              <w:rPr>
                <w:sz w:val="20"/>
                <w:szCs w:val="20"/>
              </w:rPr>
              <w:t xml:space="preserve">Balié et al. (2020)</w:t>
            </w:r>
          </w:p>
        </w:tc>
        <w:tc>
          <w:tcPr/>
          <w:p>
            <w:pPr>
              <w:pStyle w:val="Compact"/>
              <w:spacing w:before="0" w:after="0" w:line="240" w:lineRule="auto"/>
              <w:ind w:firstLine="0" w:left="0"/>
            </w:pPr>
            <w:r>
              <w:rPr>
                <w:sz w:val="20"/>
                <w:szCs w:val="20"/>
              </w:rPr>
              <w:t xml:space="preserve">Philippines; global rice model and FIES</w:t>
            </w:r>
          </w:p>
        </w:tc>
        <w:tc>
          <w:tcPr/>
          <w:p>
            <w:pPr>
              <w:pStyle w:val="Compact"/>
              <w:spacing w:before="0" w:after="0" w:line="240" w:lineRule="auto"/>
              <w:ind w:firstLine="0" w:left="0"/>
            </w:pPr>
            <w:r>
              <w:rPr>
                <w:sz w:val="20"/>
                <w:szCs w:val="20"/>
              </w:rPr>
              <w:t xml:space="preserve">Simulation of rice tariffication on prices and household welfare</w:t>
            </w:r>
          </w:p>
        </w:tc>
        <w:tc>
          <w:tcPr/>
          <w:p>
            <w:pPr>
              <w:pStyle w:val="Compact"/>
              <w:spacing w:before="0" w:after="0" w:line="240" w:lineRule="auto"/>
              <w:ind w:firstLine="0" w:left="0"/>
            </w:pPr>
            <w:r>
              <w:rPr>
                <w:sz w:val="20"/>
                <w:szCs w:val="20"/>
              </w:rPr>
              <w:t xml:space="preserve">Rice tariffication lowered consumer and producer rice prices; most households, and the poorest quintiles and regions most, gained, while net-selling rice farmers lost.</w:t>
            </w:r>
          </w:p>
        </w:tc>
      </w:tr>
      <w:tr>
        <w:tc>
          <w:tcPr/>
          <w:p>
            <w:pPr>
              <w:pStyle w:val="Compact"/>
              <w:spacing w:before="0" w:after="0" w:line="240" w:lineRule="auto"/>
              <w:ind w:firstLine="0" w:left="0"/>
            </w:pPr>
            <w:r>
              <w:rPr>
                <w:sz w:val="20"/>
                <w:szCs w:val="20"/>
              </w:rPr>
              <w:t xml:space="preserve">Briones (2021)</w:t>
            </w:r>
          </w:p>
        </w:tc>
        <w:tc>
          <w:tcPr/>
          <w:p>
            <w:pPr>
              <w:pStyle w:val="Compact"/>
              <w:spacing w:before="0" w:after="0" w:line="240" w:lineRule="auto"/>
              <w:ind w:firstLine="0" w:left="0"/>
            </w:pPr>
            <w:r>
              <w:rPr>
                <w:sz w:val="20"/>
                <w:szCs w:val="20"/>
              </w:rPr>
              <w:t xml:space="preserve">Philippines</w:t>
            </w:r>
          </w:p>
        </w:tc>
        <w:tc>
          <w:tcPr/>
          <w:p>
            <w:pPr>
              <w:pStyle w:val="Compact"/>
              <w:spacing w:before="0" w:after="0" w:line="240" w:lineRule="auto"/>
              <w:ind w:firstLine="0" w:left="0"/>
            </w:pPr>
            <w:r>
              <w:rPr>
                <w:sz w:val="20"/>
                <w:szCs w:val="20"/>
              </w:rPr>
              <w:t xml:space="preserve">Market review and microsimulation</w:t>
            </w:r>
          </w:p>
        </w:tc>
        <w:tc>
          <w:tcPr/>
          <w:p>
            <w:pPr>
              <w:pStyle w:val="Compact"/>
              <w:spacing w:before="0" w:after="0" w:line="240" w:lineRule="auto"/>
              <w:ind w:firstLine="0" w:left="0"/>
            </w:pPr>
            <w:r>
              <w:rPr>
                <w:sz w:val="20"/>
                <w:szCs w:val="20"/>
              </w:rPr>
              <w:t xml:space="preserve">Rice tariffication lowered palay and retail rice prices; the lower palay price raises poverty only slightly, and targeted transfers to affected farmers can offset it.</w:t>
            </w:r>
          </w:p>
        </w:tc>
      </w:tr>
    </w:tbl>
    <w:bookmarkEnd w:id="165"/>
    <w:bookmarkStart w:id="178" w:name="appendix-b.-supplementary-results"/>
    <w:p>
      <w:pPr>
        <w:pStyle w:val="Heading1"/>
      </w:pPr>
      <w:r>
        <w:t xml:space="preserve">Appendix B. Supplementary results</w:t>
      </w:r>
    </w:p>
    <w:p>
      <w:pPr>
        <w:pStyle w:val="FirstParagraph"/>
      </w:pPr>
      <w:r>
        <w:t xml:space="preserve">This appendix reports analyses that support the main text but are not needed to answer the research questions: the response of every CPI division, the comparison of groups of regions, the remaining robustness checks, the cross-correlations and the regional figure. All were specified in the estimation plan except where noted.</w:t>
      </w:r>
    </w:p>
    <w:p>
      <w:pPr>
        <w:pStyle w:val="TableCaption"/>
      </w:pPr>
      <w:r>
        <w:t xml:space="preserve">Table B1. Response after 12 months by CPI division, all income households, and the gap implied by budget shares alone</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B1. Response after 12 months by CPI division, all income households, and the gap implied by budget shares alone"/>
      </w:tblPr>
      <w:tblGrid>
        <w:gridCol w:w="1584"/>
        <w:gridCol w:w="1584"/>
        <w:gridCol w:w="1584"/>
        <w:gridCol w:w="1584"/>
        <w:gridCol w:w="1584"/>
      </w:tblGrid>
      <w:tr>
        <w:trPr>
          <w:tblHeader w:val="on"/>
        </w:trPr>
        <w:tc>
          <w:tcPr>
            <w:tcBorders>
              <w:bottom w:val="single" w:sz="6" w:space="0" w:color="000000"/>
            </w:tcBorders>
          </w:tcPr>
          <w:p>
            <w:pPr>
              <w:pStyle w:val="Compact"/>
              <w:spacing w:before="0" w:after="0" w:line="240" w:lineRule="auto"/>
              <w:ind w:firstLine="0" w:left="0"/>
            </w:pPr>
            <w:r>
              <w:rPr>
                <w:sz w:val="20"/>
                <w:szCs w:val="20"/>
              </w:rPr>
              <w:t xml:space="preserve">COICOP division</w:t>
            </w:r>
          </w:p>
        </w:tc>
        <w:tc>
          <w:tcPr>
            <w:tcBorders>
              <w:bottom w:val="single" w:sz="6" w:space="0" w:color="000000"/>
            </w:tcBorders>
          </w:tcPr>
          <w:p>
            <w:pPr>
              <w:pStyle w:val="Compact"/>
              <w:spacing w:before="0" w:after="0" w:line="240" w:lineRule="auto"/>
              <w:ind w:firstLine="0" w:left="0"/>
            </w:pPr>
            <w:r>
              <w:rPr>
                <w:sz w:val="20"/>
                <w:szCs w:val="20"/>
              </w:rPr>
              <w:t xml:space="preserve">Weight, all income (%)</w:t>
            </w:r>
          </w:p>
        </w:tc>
        <w:tc>
          <w:tcPr>
            <w:tcBorders>
              <w:bottom w:val="single" w:sz="6" w:space="0" w:color="000000"/>
            </w:tcBorders>
          </w:tcPr>
          <w:p>
            <w:pPr>
              <w:pStyle w:val="Compact"/>
              <w:spacing w:before="0" w:after="0" w:line="240" w:lineRule="auto"/>
              <w:ind w:firstLine="0" w:left="0"/>
            </w:pPr>
            <w:r>
              <w:rPr>
                <w:sz w:val="20"/>
                <w:szCs w:val="20"/>
              </w:rPr>
              <w:t xml:space="preserve">Weight, bottom 30% (%)</w:t>
            </w:r>
          </w:p>
        </w:tc>
        <w:tc>
          <w:tcPr>
            <w:tcBorders>
              <w:bottom w:val="single" w:sz="6" w:space="0" w:color="000000"/>
            </w:tcBorders>
          </w:tcPr>
          <w:p>
            <w:pPr>
              <w:pStyle w:val="Compact"/>
              <w:spacing w:before="0" w:after="0" w:line="240" w:lineRule="auto"/>
              <w:ind w:firstLine="0" w:left="0"/>
            </w:pPr>
            <w:r>
              <w:rPr>
                <w:sz w:val="20"/>
                <w:szCs w:val="20"/>
              </w:rPr>
              <w:t xml:space="preserve">Response after 12 months</w:t>
            </w:r>
          </w:p>
        </w:tc>
        <w:tc>
          <w:tcPr>
            <w:tcBorders>
              <w:bottom w:val="single" w:sz="6" w:space="0" w:color="000000"/>
            </w:tcBorders>
          </w:tcPr>
          <w:p>
            <w:pPr>
              <w:pStyle w:val="Compact"/>
              <w:spacing w:before="0" w:after="0" w:line="240" w:lineRule="auto"/>
              <w:ind w:firstLine="0" w:left="0"/>
            </w:pPr>
            <w:r>
              <w:rPr>
                <w:sz w:val="20"/>
                <w:szCs w:val="20"/>
              </w:rPr>
              <w:t xml:space="preserve">Contribution to the gap if prices were the same</w:t>
            </w:r>
          </w:p>
        </w:tc>
      </w:tr>
      <w:tr>
        <w:tc>
          <w:tcPr/>
          <w:p>
            <w:pPr>
              <w:pStyle w:val="Compact"/>
              <w:spacing w:before="0" w:after="0" w:line="240" w:lineRule="auto"/>
              <w:ind w:firstLine="0" w:left="0"/>
            </w:pPr>
            <w:r>
              <w:rPr>
                <w:sz w:val="20"/>
                <w:szCs w:val="20"/>
              </w:rPr>
              <w:t xml:space="preserve">07 Transport</w:t>
            </w:r>
          </w:p>
        </w:tc>
        <w:tc>
          <w:tcPr/>
          <w:p>
            <w:pPr>
              <w:pStyle w:val="Compact"/>
              <w:spacing w:before="0" w:after="0" w:line="240" w:lineRule="auto"/>
              <w:ind w:firstLine="0" w:left="0"/>
            </w:pPr>
            <w:r>
              <w:rPr>
                <w:sz w:val="20"/>
                <w:szCs w:val="20"/>
              </w:rPr>
              <w:t xml:space="preserve">9.0</w:t>
            </w:r>
          </w:p>
        </w:tc>
        <w:tc>
          <w:tcPr/>
          <w:p>
            <w:pPr>
              <w:pStyle w:val="Compact"/>
              <w:spacing w:before="0" w:after="0" w:line="240" w:lineRule="auto"/>
              <w:ind w:firstLine="0" w:left="0"/>
            </w:pPr>
            <w:r>
              <w:rPr>
                <w:sz w:val="20"/>
                <w:szCs w:val="20"/>
              </w:rPr>
              <w:t xml:space="preserve">6.1</w:t>
            </w:r>
          </w:p>
        </w:tc>
        <w:tc>
          <w:tcPr/>
          <w:p>
            <w:pPr>
              <w:pStyle w:val="Compact"/>
              <w:spacing w:before="0" w:after="0" w:line="240" w:lineRule="auto"/>
              <w:ind w:firstLine="0" w:left="0"/>
            </w:pPr>
            <w:r>
              <w:rPr>
                <w:sz w:val="20"/>
                <w:szCs w:val="20"/>
              </w:rPr>
              <w:t xml:space="preserve">0.370*** (0.044)</w:t>
            </w:r>
          </w:p>
        </w:tc>
        <w:tc>
          <w:tcPr/>
          <w:p>
            <w:pPr>
              <w:pStyle w:val="Compact"/>
              <w:spacing w:before="0" w:after="0" w:line="240" w:lineRule="auto"/>
              <w:ind w:firstLine="0" w:left="0"/>
            </w:pPr>
            <w:r>
              <w:rPr>
                <w:sz w:val="20"/>
                <w:szCs w:val="20"/>
              </w:rPr>
              <w:t xml:space="preserve">+0.0108</w:t>
            </w:r>
          </w:p>
        </w:tc>
      </w:tr>
      <w:tr>
        <w:tc>
          <w:tcPr/>
          <w:p>
            <w:pPr>
              <w:pStyle w:val="Compact"/>
              <w:spacing w:before="0" w:after="0" w:line="240" w:lineRule="auto"/>
              <w:ind w:firstLine="0" w:left="0"/>
            </w:pPr>
            <w:r>
              <w:rPr>
                <w:sz w:val="20"/>
                <w:szCs w:val="20"/>
              </w:rPr>
              <w:t xml:space="preserve">12 Financial services</w:t>
            </w:r>
          </w:p>
        </w:tc>
        <w:tc>
          <w:tcPr/>
          <w:p>
            <w:pPr>
              <w:pStyle w:val="Compact"/>
              <w:spacing w:before="0" w:after="0" w:line="240" w:lineRule="auto"/>
              <w:ind w:firstLine="0" w:left="0"/>
            </w:pPr>
            <w:r>
              <w:rPr>
                <w:sz w:val="20"/>
                <w:szCs w:val="20"/>
              </w:rPr>
              <w:t xml:space="preserve">0.0</w:t>
            </w:r>
          </w:p>
        </w:tc>
        <w:tc>
          <w:tcPr/>
          <w:p>
            <w:pPr>
              <w:pStyle w:val="Compact"/>
              <w:spacing w:before="0" w:after="0" w:line="240" w:lineRule="auto"/>
              <w:ind w:firstLine="0" w:left="0"/>
            </w:pPr>
            <w:r>
              <w:rPr>
                <w:sz w:val="20"/>
                <w:szCs w:val="20"/>
              </w:rPr>
              <w:t xml:space="preserve">0.0</w:t>
            </w:r>
          </w:p>
        </w:tc>
        <w:tc>
          <w:tcPr/>
          <w:p>
            <w:pPr>
              <w:pStyle w:val="Compact"/>
              <w:spacing w:before="0" w:after="0" w:line="240" w:lineRule="auto"/>
              <w:ind w:firstLine="0" w:left="0"/>
            </w:pPr>
            <w:r>
              <w:rPr>
                <w:sz w:val="20"/>
                <w:szCs w:val="20"/>
              </w:rPr>
              <w:t xml:space="preserve">0.358** (0.158)</w:t>
            </w:r>
          </w:p>
        </w:tc>
        <w:tc>
          <w:tcPr/>
          <w:p>
            <w:pPr>
              <w:pStyle w:val="Compact"/>
              <w:spacing w:before="0" w:after="0" w:line="240" w:lineRule="auto"/>
              <w:ind w:firstLine="0" w:left="0"/>
            </w:pPr>
            <w:r>
              <w:rPr>
                <w:sz w:val="20"/>
                <w:szCs w:val="20"/>
              </w:rPr>
              <w:t xml:space="preserve">+0.0001</w:t>
            </w:r>
          </w:p>
        </w:tc>
      </w:tr>
      <w:tr>
        <w:tc>
          <w:tcPr/>
          <w:p>
            <w:pPr>
              <w:pStyle w:val="Compact"/>
              <w:spacing w:before="0" w:after="0" w:line="240" w:lineRule="auto"/>
              <w:ind w:firstLine="0" w:left="0"/>
            </w:pPr>
            <w:r>
              <w:rPr>
                <w:sz w:val="20"/>
                <w:szCs w:val="20"/>
              </w:rPr>
              <w:t xml:space="preserve">04 Housing, water, electricity, gas</w:t>
            </w:r>
          </w:p>
        </w:tc>
        <w:tc>
          <w:tcPr/>
          <w:p>
            <w:pPr>
              <w:pStyle w:val="Compact"/>
              <w:spacing w:before="0" w:after="0" w:line="240" w:lineRule="auto"/>
              <w:ind w:firstLine="0" w:left="0"/>
            </w:pPr>
            <w:r>
              <w:rPr>
                <w:sz w:val="20"/>
                <w:szCs w:val="20"/>
              </w:rPr>
              <w:t xml:space="preserve">21.4</w:t>
            </w:r>
          </w:p>
        </w:tc>
        <w:tc>
          <w:tcPr/>
          <w:p>
            <w:pPr>
              <w:pStyle w:val="Compact"/>
              <w:spacing w:before="0" w:after="0" w:line="240" w:lineRule="auto"/>
              <w:ind w:firstLine="0" w:left="0"/>
            </w:pPr>
            <w:r>
              <w:rPr>
                <w:sz w:val="20"/>
                <w:szCs w:val="20"/>
              </w:rPr>
              <w:t xml:space="preserve">15.5</w:t>
            </w:r>
          </w:p>
        </w:tc>
        <w:tc>
          <w:tcPr/>
          <w:p>
            <w:pPr>
              <w:pStyle w:val="Compact"/>
              <w:spacing w:before="0" w:after="0" w:line="240" w:lineRule="auto"/>
              <w:ind w:firstLine="0" w:left="0"/>
            </w:pPr>
            <w:r>
              <w:rPr>
                <w:sz w:val="20"/>
                <w:szCs w:val="20"/>
              </w:rPr>
              <w:t xml:space="preserve">0.158*** (0.015)</w:t>
            </w:r>
          </w:p>
        </w:tc>
        <w:tc>
          <w:tcPr/>
          <w:p>
            <w:pPr>
              <w:pStyle w:val="Compact"/>
              <w:spacing w:before="0" w:after="0" w:line="240" w:lineRule="auto"/>
              <w:ind w:firstLine="0" w:left="0"/>
            </w:pPr>
            <w:r>
              <w:rPr>
                <w:sz w:val="20"/>
                <w:szCs w:val="20"/>
              </w:rPr>
              <w:t xml:space="preserve">+0.0092</w:t>
            </w:r>
          </w:p>
        </w:tc>
      </w:tr>
      <w:tr>
        <w:tc>
          <w:tcPr/>
          <w:p>
            <w:pPr>
              <w:pStyle w:val="Compact"/>
              <w:spacing w:before="0" w:after="0" w:line="240" w:lineRule="auto"/>
              <w:ind w:firstLine="0" w:left="0"/>
            </w:pPr>
            <w:r>
              <w:rPr>
                <w:sz w:val="20"/>
                <w:szCs w:val="20"/>
              </w:rPr>
              <w:t xml:space="preserve">01 Food and non-alcoholic beverages</w:t>
            </w:r>
          </w:p>
        </w:tc>
        <w:tc>
          <w:tcPr/>
          <w:p>
            <w:pPr>
              <w:pStyle w:val="Compact"/>
              <w:spacing w:before="0" w:after="0" w:line="240" w:lineRule="auto"/>
              <w:ind w:firstLine="0" w:left="0"/>
            </w:pPr>
            <w:r>
              <w:rPr>
                <w:sz w:val="20"/>
                <w:szCs w:val="20"/>
              </w:rPr>
              <w:t xml:space="preserve">37.7</w:t>
            </w:r>
          </w:p>
        </w:tc>
        <w:tc>
          <w:tcPr/>
          <w:p>
            <w:pPr>
              <w:pStyle w:val="Compact"/>
              <w:spacing w:before="0" w:after="0" w:line="240" w:lineRule="auto"/>
              <w:ind w:firstLine="0" w:left="0"/>
            </w:pPr>
            <w:r>
              <w:rPr>
                <w:sz w:val="20"/>
                <w:szCs w:val="20"/>
              </w:rPr>
              <w:t xml:space="preserve">54.9</w:t>
            </w:r>
          </w:p>
        </w:tc>
        <w:tc>
          <w:tcPr/>
          <w:p>
            <w:pPr>
              <w:pStyle w:val="Compact"/>
              <w:spacing w:before="0" w:after="0" w:line="240" w:lineRule="auto"/>
              <w:ind w:firstLine="0" w:left="0"/>
            </w:pPr>
            <w:r>
              <w:rPr>
                <w:sz w:val="20"/>
                <w:szCs w:val="20"/>
              </w:rPr>
              <w:t xml:space="preserve">0.072** (0.033)</w:t>
            </w:r>
          </w:p>
        </w:tc>
        <w:tc>
          <w:tcPr/>
          <w:p>
            <w:pPr>
              <w:pStyle w:val="Compact"/>
              <w:spacing w:before="0" w:after="0" w:line="240" w:lineRule="auto"/>
              <w:ind w:firstLine="0" w:left="0"/>
            </w:pPr>
            <w:r>
              <w:rPr>
                <w:sz w:val="20"/>
                <w:szCs w:val="20"/>
              </w:rPr>
              <w:t xml:space="preserve">−0.0124</w:t>
            </w:r>
          </w:p>
        </w:tc>
      </w:tr>
      <w:tr>
        <w:tc>
          <w:tcPr/>
          <w:p>
            <w:pPr>
              <w:pStyle w:val="Compact"/>
              <w:spacing w:before="0" w:after="0" w:line="240" w:lineRule="auto"/>
              <w:ind w:firstLine="0" w:left="0"/>
            </w:pPr>
            <w:r>
              <w:rPr>
                <w:sz w:val="20"/>
                <w:szCs w:val="20"/>
              </w:rPr>
              <w:t xml:space="preserve">11 Restaurants and accommodation</w:t>
            </w:r>
          </w:p>
        </w:tc>
        <w:tc>
          <w:tcPr/>
          <w:p>
            <w:pPr>
              <w:pStyle w:val="Compact"/>
              <w:spacing w:before="0" w:after="0" w:line="240" w:lineRule="auto"/>
              <w:ind w:firstLine="0" w:left="0"/>
            </w:pPr>
            <w:r>
              <w:rPr>
                <w:sz w:val="20"/>
                <w:szCs w:val="20"/>
              </w:rPr>
              <w:t xml:space="preserve">9.6</w:t>
            </w:r>
          </w:p>
        </w:tc>
        <w:tc>
          <w:tcPr/>
          <w:p>
            <w:pPr>
              <w:pStyle w:val="Compact"/>
              <w:spacing w:before="0" w:after="0" w:line="240" w:lineRule="auto"/>
              <w:ind w:firstLine="0" w:left="0"/>
            </w:pPr>
            <w:r>
              <w:rPr>
                <w:sz w:val="20"/>
                <w:szCs w:val="20"/>
              </w:rPr>
              <w:t xml:space="preserve">7.5</w:t>
            </w:r>
          </w:p>
        </w:tc>
        <w:tc>
          <w:tcPr/>
          <w:p>
            <w:pPr>
              <w:pStyle w:val="Compact"/>
              <w:spacing w:before="0" w:after="0" w:line="240" w:lineRule="auto"/>
              <w:ind w:firstLine="0" w:left="0"/>
            </w:pPr>
            <w:r>
              <w:rPr>
                <w:sz w:val="20"/>
                <w:szCs w:val="20"/>
              </w:rPr>
              <w:t xml:space="preserve">0.063*** (0.018)</w:t>
            </w:r>
          </w:p>
        </w:tc>
        <w:tc>
          <w:tcPr/>
          <w:p>
            <w:pPr>
              <w:pStyle w:val="Compact"/>
              <w:spacing w:before="0" w:after="0" w:line="240" w:lineRule="auto"/>
              <w:ind w:firstLine="0" w:left="0"/>
            </w:pPr>
            <w:r>
              <w:rPr>
                <w:sz w:val="20"/>
                <w:szCs w:val="20"/>
              </w:rPr>
              <w:t xml:space="preserve">+0.0013</w:t>
            </w:r>
          </w:p>
        </w:tc>
      </w:tr>
      <w:tr>
        <w:tc>
          <w:tcPr/>
          <w:p>
            <w:pPr>
              <w:pStyle w:val="Compact"/>
              <w:spacing w:before="0" w:after="0" w:line="240" w:lineRule="auto"/>
              <w:ind w:firstLine="0" w:left="0"/>
            </w:pPr>
            <w:r>
              <w:rPr>
                <w:sz w:val="20"/>
                <w:szCs w:val="20"/>
              </w:rPr>
              <w:t xml:space="preserve">03 Clothing and footwear</w:t>
            </w:r>
          </w:p>
        </w:tc>
        <w:tc>
          <w:tcPr/>
          <w:p>
            <w:pPr>
              <w:pStyle w:val="Compact"/>
              <w:spacing w:before="0" w:after="0" w:line="240" w:lineRule="auto"/>
              <w:ind w:firstLine="0" w:left="0"/>
            </w:pPr>
            <w:r>
              <w:rPr>
                <w:sz w:val="20"/>
                <w:szCs w:val="20"/>
              </w:rPr>
              <w:t xml:space="preserve">3.1</w:t>
            </w:r>
          </w:p>
        </w:tc>
        <w:tc>
          <w:tcPr/>
          <w:p>
            <w:pPr>
              <w:pStyle w:val="Compact"/>
              <w:spacing w:before="0" w:after="0" w:line="240" w:lineRule="auto"/>
              <w:ind w:firstLine="0" w:left="0"/>
            </w:pPr>
            <w:r>
              <w:rPr>
                <w:sz w:val="20"/>
                <w:szCs w:val="20"/>
              </w:rPr>
              <w:t xml:space="preserve">2.5</w:t>
            </w:r>
          </w:p>
        </w:tc>
        <w:tc>
          <w:tcPr/>
          <w:p>
            <w:pPr>
              <w:pStyle w:val="Compact"/>
              <w:spacing w:before="0" w:after="0" w:line="240" w:lineRule="auto"/>
              <w:ind w:firstLine="0" w:left="0"/>
            </w:pPr>
            <w:r>
              <w:rPr>
                <w:sz w:val="20"/>
                <w:szCs w:val="20"/>
              </w:rPr>
              <w:t xml:space="preserve">0.032*** (0.009)</w:t>
            </w:r>
          </w:p>
        </w:tc>
        <w:tc>
          <w:tcPr/>
          <w:p>
            <w:pPr>
              <w:pStyle w:val="Compact"/>
              <w:spacing w:before="0" w:after="0" w:line="240" w:lineRule="auto"/>
              <w:ind w:firstLine="0" w:left="0"/>
            </w:pPr>
            <w:r>
              <w:rPr>
                <w:sz w:val="20"/>
                <w:szCs w:val="20"/>
              </w:rPr>
              <w:t xml:space="preserve">+0.0002</w:t>
            </w:r>
          </w:p>
        </w:tc>
      </w:tr>
      <w:tr>
        <w:tc>
          <w:tcPr/>
          <w:p>
            <w:pPr>
              <w:pStyle w:val="Compact"/>
              <w:spacing w:before="0" w:after="0" w:line="240" w:lineRule="auto"/>
              <w:ind w:firstLine="0" w:left="0"/>
            </w:pPr>
            <w:r>
              <w:rPr>
                <w:sz w:val="20"/>
                <w:szCs w:val="20"/>
              </w:rPr>
              <w:t xml:space="preserve">05 Furnishings and household equipment</w:t>
            </w:r>
          </w:p>
        </w:tc>
        <w:tc>
          <w:tcPr/>
          <w:p>
            <w:pPr>
              <w:pStyle w:val="Compact"/>
              <w:spacing w:before="0" w:after="0" w:line="240" w:lineRule="auto"/>
              <w:ind w:firstLine="0" w:left="0"/>
            </w:pPr>
            <w:r>
              <w:rPr>
                <w:sz w:val="20"/>
                <w:szCs w:val="20"/>
              </w:rPr>
              <w:t xml:space="preserve">3.2</w:t>
            </w:r>
          </w:p>
        </w:tc>
        <w:tc>
          <w:tcPr/>
          <w:p>
            <w:pPr>
              <w:pStyle w:val="Compact"/>
              <w:spacing w:before="0" w:after="0" w:line="240" w:lineRule="auto"/>
              <w:ind w:firstLine="0" w:left="0"/>
            </w:pPr>
            <w:r>
              <w:rPr>
                <w:sz w:val="20"/>
                <w:szCs w:val="20"/>
              </w:rPr>
              <w:t xml:space="preserve">2.4</w:t>
            </w:r>
          </w:p>
        </w:tc>
        <w:tc>
          <w:tcPr/>
          <w:p>
            <w:pPr>
              <w:pStyle w:val="Compact"/>
              <w:spacing w:before="0" w:after="0" w:line="240" w:lineRule="auto"/>
              <w:ind w:firstLine="0" w:left="0"/>
            </w:pPr>
            <w:r>
              <w:rPr>
                <w:sz w:val="20"/>
                <w:szCs w:val="20"/>
              </w:rPr>
              <w:t xml:space="preserve">0.031*** (0.010)</w:t>
            </w:r>
          </w:p>
        </w:tc>
        <w:tc>
          <w:tcPr/>
          <w:p>
            <w:pPr>
              <w:pStyle w:val="Compact"/>
              <w:spacing w:before="0" w:after="0" w:line="240" w:lineRule="auto"/>
              <w:ind w:firstLine="0" w:left="0"/>
            </w:pPr>
            <w:r>
              <w:rPr>
                <w:sz w:val="20"/>
                <w:szCs w:val="20"/>
              </w:rPr>
              <w:t xml:space="preserve">+0.0003</w:t>
            </w:r>
          </w:p>
        </w:tc>
      </w:tr>
      <w:tr>
        <w:tc>
          <w:tcPr/>
          <w:p>
            <w:pPr>
              <w:pStyle w:val="Compact"/>
              <w:spacing w:before="0" w:after="0" w:line="240" w:lineRule="auto"/>
              <w:ind w:firstLine="0" w:left="0"/>
            </w:pPr>
            <w:r>
              <w:rPr>
                <w:sz w:val="20"/>
                <w:szCs w:val="20"/>
              </w:rPr>
              <w:t xml:space="preserve">06 Health</w:t>
            </w:r>
          </w:p>
        </w:tc>
        <w:tc>
          <w:tcPr/>
          <w:p>
            <w:pPr>
              <w:pStyle w:val="Compact"/>
              <w:spacing w:before="0" w:after="0" w:line="240" w:lineRule="auto"/>
              <w:ind w:firstLine="0" w:left="0"/>
            </w:pPr>
            <w:r>
              <w:rPr>
                <w:sz w:val="20"/>
                <w:szCs w:val="20"/>
              </w:rPr>
              <w:t xml:space="preserve">2.9</w:t>
            </w:r>
          </w:p>
        </w:tc>
        <w:tc>
          <w:tcPr/>
          <w:p>
            <w:pPr>
              <w:pStyle w:val="Compact"/>
              <w:spacing w:before="0" w:after="0" w:line="240" w:lineRule="auto"/>
              <w:ind w:firstLine="0" w:left="0"/>
            </w:pPr>
            <w:r>
              <w:rPr>
                <w:sz w:val="20"/>
                <w:szCs w:val="20"/>
              </w:rPr>
              <w:t xml:space="preserve">1.4</w:t>
            </w:r>
          </w:p>
        </w:tc>
        <w:tc>
          <w:tcPr/>
          <w:p>
            <w:pPr>
              <w:pStyle w:val="Compact"/>
              <w:spacing w:before="0" w:after="0" w:line="240" w:lineRule="auto"/>
              <w:ind w:firstLine="0" w:left="0"/>
            </w:pPr>
            <w:r>
              <w:rPr>
                <w:sz w:val="20"/>
                <w:szCs w:val="20"/>
              </w:rPr>
              <w:t xml:space="preserve">0.027** (0.013)</w:t>
            </w:r>
          </w:p>
        </w:tc>
        <w:tc>
          <w:tcPr/>
          <w:p>
            <w:pPr>
              <w:pStyle w:val="Compact"/>
              <w:spacing w:before="0" w:after="0" w:line="240" w:lineRule="auto"/>
              <w:ind w:firstLine="0" w:left="0"/>
            </w:pPr>
            <w:r>
              <w:rPr>
                <w:sz w:val="20"/>
                <w:szCs w:val="20"/>
              </w:rPr>
              <w:t xml:space="preserve">+0.0004</w:t>
            </w:r>
          </w:p>
        </w:tc>
      </w:tr>
      <w:tr>
        <w:tc>
          <w:tcPr/>
          <w:p>
            <w:pPr>
              <w:pStyle w:val="Compact"/>
              <w:spacing w:before="0" w:after="0" w:line="240" w:lineRule="auto"/>
              <w:ind w:firstLine="0" w:left="0"/>
            </w:pPr>
            <w:r>
              <w:rPr>
                <w:sz w:val="20"/>
                <w:szCs w:val="20"/>
              </w:rPr>
              <w:t xml:space="preserve">13 Personal care and miscellaneous</w:t>
            </w:r>
          </w:p>
        </w:tc>
        <w:tc>
          <w:tcPr/>
          <w:p>
            <w:pPr>
              <w:pStyle w:val="Compact"/>
              <w:spacing w:before="0" w:after="0" w:line="240" w:lineRule="auto"/>
              <w:ind w:firstLine="0" w:left="0"/>
            </w:pPr>
            <w:r>
              <w:rPr>
                <w:sz w:val="20"/>
                <w:szCs w:val="20"/>
              </w:rPr>
              <w:t xml:space="preserve">4.5</w:t>
            </w:r>
          </w:p>
        </w:tc>
        <w:tc>
          <w:tcPr/>
          <w:p>
            <w:pPr>
              <w:pStyle w:val="Compact"/>
              <w:spacing w:before="0" w:after="0" w:line="240" w:lineRule="auto"/>
              <w:ind w:firstLine="0" w:left="0"/>
            </w:pPr>
            <w:r>
              <w:rPr>
                <w:sz w:val="20"/>
                <w:szCs w:val="20"/>
              </w:rPr>
              <w:t xml:space="preserve">4.8</w:t>
            </w:r>
          </w:p>
        </w:tc>
        <w:tc>
          <w:tcPr/>
          <w:p>
            <w:pPr>
              <w:pStyle w:val="Compact"/>
              <w:spacing w:before="0" w:after="0" w:line="240" w:lineRule="auto"/>
              <w:ind w:firstLine="0" w:left="0"/>
            </w:pPr>
            <w:r>
              <w:rPr>
                <w:sz w:val="20"/>
                <w:szCs w:val="20"/>
              </w:rPr>
              <w:t xml:space="preserve">0.025*** (0.009)</w:t>
            </w:r>
          </w:p>
        </w:tc>
        <w:tc>
          <w:tcPr/>
          <w:p>
            <w:pPr>
              <w:pStyle w:val="Compact"/>
              <w:spacing w:before="0" w:after="0" w:line="240" w:lineRule="auto"/>
              <w:ind w:firstLine="0" w:left="0"/>
            </w:pPr>
            <w:r>
              <w:rPr>
                <w:sz w:val="20"/>
                <w:szCs w:val="20"/>
              </w:rPr>
              <w:t xml:space="preserve">−0.0001</w:t>
            </w:r>
          </w:p>
        </w:tc>
      </w:tr>
      <w:tr>
        <w:tc>
          <w:tcPr/>
          <w:p>
            <w:pPr>
              <w:pStyle w:val="Compact"/>
              <w:spacing w:before="0" w:after="0" w:line="240" w:lineRule="auto"/>
              <w:ind w:firstLine="0" w:left="0"/>
            </w:pPr>
            <w:r>
              <w:rPr>
                <w:sz w:val="20"/>
                <w:szCs w:val="20"/>
              </w:rPr>
              <w:t xml:space="preserve">09 Recreation, sport and culture</w:t>
            </w:r>
          </w:p>
        </w:tc>
        <w:tc>
          <w:tcPr/>
          <w:p>
            <w:pPr>
              <w:pStyle w:val="Compact"/>
              <w:spacing w:before="0" w:after="0" w:line="240" w:lineRule="auto"/>
              <w:ind w:firstLine="0" w:left="0"/>
            </w:pPr>
            <w:r>
              <w:rPr>
                <w:sz w:val="20"/>
                <w:szCs w:val="20"/>
              </w:rPr>
              <w:t xml:space="preserve">1.0</w:t>
            </w:r>
          </w:p>
        </w:tc>
        <w:tc>
          <w:tcPr/>
          <w:p>
            <w:pPr>
              <w:pStyle w:val="Compact"/>
              <w:spacing w:before="0" w:after="0" w:line="240" w:lineRule="auto"/>
              <w:ind w:firstLine="0" w:left="0"/>
            </w:pPr>
            <w:r>
              <w:rPr>
                <w:sz w:val="20"/>
                <w:szCs w:val="20"/>
              </w:rPr>
              <w:t xml:space="preserve">0.7</w:t>
            </w:r>
          </w:p>
        </w:tc>
        <w:tc>
          <w:tcPr/>
          <w:p>
            <w:pPr>
              <w:pStyle w:val="Compact"/>
              <w:spacing w:before="0" w:after="0" w:line="240" w:lineRule="auto"/>
              <w:ind w:firstLine="0" w:left="0"/>
            </w:pPr>
            <w:r>
              <w:rPr>
                <w:sz w:val="20"/>
                <w:szCs w:val="20"/>
              </w:rPr>
              <w:t xml:space="preserve">0.024 (0.025)</w:t>
            </w:r>
          </w:p>
        </w:tc>
        <w:tc>
          <w:tcPr/>
          <w:p>
            <w:pPr>
              <w:pStyle w:val="Compact"/>
              <w:spacing w:before="0" w:after="0" w:line="240" w:lineRule="auto"/>
              <w:ind w:firstLine="0" w:left="0"/>
            </w:pPr>
            <w:r>
              <w:rPr>
                <w:sz w:val="20"/>
                <w:szCs w:val="20"/>
              </w:rPr>
              <w:t xml:space="preserve">+0.0001</w:t>
            </w:r>
          </w:p>
        </w:tc>
      </w:tr>
      <w:tr>
        <w:tc>
          <w:tcPr/>
          <w:p>
            <w:pPr>
              <w:pStyle w:val="Compact"/>
              <w:spacing w:before="0" w:after="0" w:line="240" w:lineRule="auto"/>
              <w:ind w:firstLine="0" w:left="0"/>
            </w:pPr>
            <w:r>
              <w:rPr>
                <w:sz w:val="20"/>
                <w:szCs w:val="20"/>
              </w:rPr>
              <w:t xml:space="preserve">08 Information and communication</w:t>
            </w:r>
          </w:p>
        </w:tc>
        <w:tc>
          <w:tcPr/>
          <w:p>
            <w:pPr>
              <w:pStyle w:val="Compact"/>
              <w:spacing w:before="0" w:after="0" w:line="240" w:lineRule="auto"/>
              <w:ind w:firstLine="0" w:left="0"/>
            </w:pPr>
            <w:r>
              <w:rPr>
                <w:sz w:val="20"/>
                <w:szCs w:val="20"/>
              </w:rPr>
              <w:t xml:space="preserve">3.4</w:t>
            </w:r>
          </w:p>
        </w:tc>
        <w:tc>
          <w:tcPr/>
          <w:p>
            <w:pPr>
              <w:pStyle w:val="Compact"/>
              <w:spacing w:before="0" w:after="0" w:line="240" w:lineRule="auto"/>
              <w:ind w:firstLine="0" w:left="0"/>
            </w:pPr>
            <w:r>
              <w:rPr>
                <w:sz w:val="20"/>
                <w:szCs w:val="20"/>
              </w:rPr>
              <w:t xml:space="preserve">1.0</w:t>
            </w:r>
          </w:p>
        </w:tc>
        <w:tc>
          <w:tcPr/>
          <w:p>
            <w:pPr>
              <w:pStyle w:val="Compact"/>
              <w:spacing w:before="0" w:after="0" w:line="240" w:lineRule="auto"/>
              <w:ind w:firstLine="0" w:left="0"/>
            </w:pPr>
            <w:r>
              <w:rPr>
                <w:sz w:val="20"/>
                <w:szCs w:val="20"/>
              </w:rPr>
              <w:t xml:space="preserve">0.019*** (0.007)</w:t>
            </w:r>
          </w:p>
        </w:tc>
        <w:tc>
          <w:tcPr/>
          <w:p>
            <w:pPr>
              <w:pStyle w:val="Compact"/>
              <w:spacing w:before="0" w:after="0" w:line="240" w:lineRule="auto"/>
              <w:ind w:firstLine="0" w:left="0"/>
            </w:pPr>
            <w:r>
              <w:rPr>
                <w:sz w:val="20"/>
                <w:szCs w:val="20"/>
              </w:rPr>
              <w:t xml:space="preserve">+0.0005</w:t>
            </w:r>
          </w:p>
        </w:tc>
      </w:tr>
      <w:tr>
        <w:tc>
          <w:tcPr/>
          <w:p>
            <w:pPr>
              <w:pStyle w:val="Compact"/>
              <w:spacing w:before="0" w:after="0" w:line="240" w:lineRule="auto"/>
              <w:ind w:firstLine="0" w:left="0"/>
            </w:pPr>
            <w:r>
              <w:rPr>
                <w:sz w:val="20"/>
                <w:szCs w:val="20"/>
              </w:rPr>
              <w:t xml:space="preserve">02 Alcoholic beverages and tobacco</w:t>
            </w:r>
          </w:p>
        </w:tc>
        <w:tc>
          <w:tcPr/>
          <w:p>
            <w:pPr>
              <w:pStyle w:val="Compact"/>
              <w:spacing w:before="0" w:after="0" w:line="240" w:lineRule="auto"/>
              <w:ind w:firstLine="0" w:left="0"/>
            </w:pPr>
            <w:r>
              <w:rPr>
                <w:sz w:val="20"/>
                <w:szCs w:val="20"/>
              </w:rPr>
              <w:t xml:space="preserve">2.2</w:t>
            </w:r>
          </w:p>
        </w:tc>
        <w:tc>
          <w:tcPr/>
          <w:p>
            <w:pPr>
              <w:pStyle w:val="Compact"/>
              <w:spacing w:before="0" w:after="0" w:line="240" w:lineRule="auto"/>
              <w:ind w:firstLine="0" w:left="0"/>
            </w:pPr>
            <w:r>
              <w:rPr>
                <w:sz w:val="20"/>
                <w:szCs w:val="20"/>
              </w:rPr>
              <w:t xml:space="preserve">2.6</w:t>
            </w:r>
          </w:p>
        </w:tc>
        <w:tc>
          <w:tcPr/>
          <w:p>
            <w:pPr>
              <w:pStyle w:val="Compact"/>
              <w:spacing w:before="0" w:after="0" w:line="240" w:lineRule="auto"/>
              <w:ind w:firstLine="0" w:left="0"/>
            </w:pPr>
            <w:r>
              <w:rPr>
                <w:sz w:val="20"/>
                <w:szCs w:val="20"/>
              </w:rPr>
              <w:t xml:space="preserve">0.018 (0.055)</w:t>
            </w:r>
          </w:p>
        </w:tc>
        <w:tc>
          <w:tcPr/>
          <w:p>
            <w:pPr>
              <w:pStyle w:val="Compact"/>
              <w:spacing w:before="0" w:after="0" w:line="240" w:lineRule="auto"/>
              <w:ind w:firstLine="0" w:left="0"/>
            </w:pPr>
            <w:r>
              <w:rPr>
                <w:sz w:val="20"/>
                <w:szCs w:val="20"/>
              </w:rPr>
              <w:t xml:space="preserve">−0.0001</w:t>
            </w:r>
          </w:p>
        </w:tc>
      </w:tr>
      <w:tr>
        <w:tc>
          <w:tcPr/>
          <w:p>
            <w:pPr>
              <w:pStyle w:val="Compact"/>
              <w:spacing w:before="0" w:after="0" w:line="240" w:lineRule="auto"/>
              <w:ind w:firstLine="0" w:left="0"/>
            </w:pPr>
            <w:r>
              <w:rPr>
                <w:sz w:val="20"/>
                <w:szCs w:val="20"/>
              </w:rPr>
              <w:t xml:space="preserve">10 Education services</w:t>
            </w:r>
          </w:p>
        </w:tc>
        <w:tc>
          <w:tcPr/>
          <w:p>
            <w:pPr>
              <w:pStyle w:val="Compact"/>
              <w:spacing w:before="0" w:after="0" w:line="240" w:lineRule="auto"/>
              <w:ind w:firstLine="0" w:left="0"/>
            </w:pPr>
            <w:r>
              <w:rPr>
                <w:sz w:val="20"/>
                <w:szCs w:val="20"/>
              </w:rPr>
              <w:t xml:space="preserve">2.0</w:t>
            </w:r>
          </w:p>
        </w:tc>
        <w:tc>
          <w:tcPr/>
          <w:p>
            <w:pPr>
              <w:pStyle w:val="Compact"/>
              <w:spacing w:before="0" w:after="0" w:line="240" w:lineRule="auto"/>
              <w:ind w:firstLine="0" w:left="0"/>
            </w:pPr>
            <w:r>
              <w:rPr>
                <w:sz w:val="20"/>
                <w:szCs w:val="20"/>
              </w:rPr>
              <w:t xml:space="preserve">0.4</w:t>
            </w:r>
          </w:p>
        </w:tc>
        <w:tc>
          <w:tcPr/>
          <w:p>
            <w:pPr>
              <w:pStyle w:val="Compact"/>
              <w:spacing w:before="0" w:after="0" w:line="240" w:lineRule="auto"/>
              <w:ind w:firstLine="0" w:left="0"/>
            </w:pPr>
            <w:r>
              <w:rPr>
                <w:sz w:val="20"/>
                <w:szCs w:val="20"/>
              </w:rPr>
              <w:t xml:space="preserve">−0.009 (0.022)</w:t>
            </w:r>
          </w:p>
        </w:tc>
        <w:tc>
          <w:tcPr/>
          <w:p>
            <w:pPr>
              <w:pStyle w:val="Compact"/>
              <w:spacing w:before="0" w:after="0" w:line="240" w:lineRule="auto"/>
              <w:ind w:firstLine="0" w:left="0"/>
            </w:pPr>
            <w:r>
              <w:rPr>
                <w:sz w:val="20"/>
                <w:szCs w:val="20"/>
              </w:rPr>
              <w:t xml:space="preserve">−0.0001</w:t>
            </w:r>
          </w:p>
        </w:tc>
      </w:tr>
      <w:tr>
        <w:tc>
          <w:tcPr/>
          <w:p>
            <w:pPr>
              <w:pStyle w:val="Compact"/>
              <w:spacing w:before="0" w:after="0" w:line="240" w:lineRule="auto"/>
              <w:ind w:firstLine="0" w:left="0"/>
            </w:pPr>
            <w:r>
              <w:rPr>
                <w:sz w:val="20"/>
                <w:szCs w:val="20"/>
              </w:rPr>
              <w:t xml:space="preserve">Total</w:t>
            </w:r>
          </w:p>
        </w:tc>
        <w:tc>
          <w:tcPr/>
          <w:p>
            <w:pPr>
              <w:pStyle w:val="Compact"/>
              <w:spacing w:before="0" w:after="0" w:line="240" w:lineRule="auto"/>
              <w:ind w:firstLine="0" w:left="0"/>
            </w:pPr>
            <w:r>
              <w:rPr>
                <w:sz w:val="20"/>
                <w:szCs w:val="20"/>
              </w:rPr>
              <w:t xml:space="preserve">100.0</w:t>
            </w:r>
          </w:p>
        </w:tc>
        <w:tc>
          <w:tcPr/>
          <w:p>
            <w:pPr>
              <w:pStyle w:val="Compact"/>
              <w:spacing w:before="0" w:after="0" w:line="240" w:lineRule="auto"/>
              <w:ind w:firstLine="0" w:left="0"/>
            </w:pPr>
            <w:r>
              <w:rPr>
                <w:sz w:val="20"/>
                <w:szCs w:val="20"/>
              </w:rPr>
              <w:t xml:space="preserve">100.0</w:t>
            </w:r>
          </w:p>
        </w:tc>
        <w:tc>
          <w:tcPr/>
          <w:p>
            <w:pPr>
              <w:pStyle w:val="Compact"/>
              <w:spacing w:before="0" w:after="0" w:line="240" w:lineRule="auto"/>
              <w:ind w:firstLine="0" w:left="0"/>
            </w:pPr>
          </w:p>
        </w:tc>
        <w:tc>
          <w:tcPr/>
          <w:p>
            <w:pPr>
              <w:pStyle w:val="Compact"/>
              <w:spacing w:before="0" w:after="0" w:line="240" w:lineRule="auto"/>
              <w:ind w:firstLine="0" w:left="0"/>
            </w:pPr>
            <w:r>
              <w:rPr>
                <w:sz w:val="20"/>
                <w:szCs w:val="20"/>
              </w:rPr>
              <w:t xml:space="preserve">+0.0101</w:t>
            </w:r>
          </w:p>
        </w:tc>
      </w:tr>
    </w:tbl>
    <w:p>
      <w:pPr>
        <w:pStyle w:val="TableNote"/>
      </w:pPr>
      <w:r>
        <w:rPr>
          <w:i/>
          <w:iCs/>
        </w:rPr>
        <w:t xml:space="preserve">Notes:</w:t>
      </w:r>
      <w:r>
        <w:t xml:space="preserve"> </w:t>
      </w:r>
      <w:r>
        <w:t xml:space="preserve">Cumulative response (percentage points) per 1% fuel price increase, national, Newey–West standard errors in parentheses. Last column: response × (all-income share − bottom-30% share) ÷ 100; positive values push toward a progressive gap.</w:t>
      </w:r>
    </w:p>
    <w:p>
      <w:pPr>
        <w:pStyle w:val="CaptionedFigure"/>
      </w:pPr>
      <w:r>
        <w:drawing>
          <wp:inline>
            <wp:extent cx="5052060" cy="2413851"/>
            <wp:effectExtent b="0" l="0" r="0" t="0"/>
            <wp:docPr descr="Figure B1. Response after 12 months by CPI division (90% CI). Labels give the budget share of all income / bottom 30% households." title="" id="167" name="Picture"/>
            <a:graphic>
              <a:graphicData uri="http://schemas.openxmlformats.org/drawingml/2006/picture">
                <pic:pic>
                  <pic:nvPicPr>
                    <pic:cNvPr descr="../output/figures/figA1_divisions.png" id="168" name="Picture"/>
                    <pic:cNvPicPr>
                      <a:picLocks noChangeArrowheads="1" noChangeAspect="1"/>
                    </pic:cNvPicPr>
                  </pic:nvPicPr>
                  <pic:blipFill>
                    <a:blip r:embed="rId166"/>
                    <a:stretch>
                      <a:fillRect/>
                    </a:stretch>
                  </pic:blipFill>
                  <pic:spPr bwMode="auto">
                    <a:xfrm>
                      <a:off x="0" y="0"/>
                      <a:ext cx="5052060" cy="2413851"/>
                    </a:xfrm>
                    <a:prstGeom prst="rect">
                      <a:avLst/>
                    </a:prstGeom>
                    <a:noFill/>
                    <a:ln w="9525">
                      <a:noFill/>
                      <a:headEnd/>
                      <a:tailEnd/>
                    </a:ln>
                  </pic:spPr>
                </pic:pic>
              </a:graphicData>
            </a:graphic>
          </wp:inline>
        </w:drawing>
      </w:r>
    </w:p>
    <w:p>
      <w:pPr>
        <w:pStyle w:val="ImageCaption"/>
      </w:pPr>
      <w:r>
        <w:t xml:space="preserve">Figure B1. Response after 12 months by CPI division (90% CI). Labels give the budget share of all income / bottom 30% households.</w:t>
      </w:r>
    </w:p>
    <w:p>
      <w:pPr>
        <w:pStyle w:val="BodyText"/>
      </w:pPr>
      <w:r>
        <w:rPr>
          <w:b/>
          <w:bCs/>
        </w:rPr>
        <w:t xml:space="preserve">Groups of regions.</w:t>
      </w:r>
      <w:r>
        <w:t xml:space="preserve"> </w:t>
      </w:r>
      <w:r>
        <w:t xml:space="preserve">The estimation plan also tested whether the gap is wider in four groups of regions, defined before estimation from PSA data: high poverty (2018 poverty incidence above the median of the 17 regions), high food share (food above the median share of the regional basket), Mindanao (Regions IX to XIII and BARMM) and island regions (MIMAROPA, VI, VII and VIII). After a year the gap is 0.0166 points larger in Mindanao (standard error 0.0092), 0.0123 in island regions (0.0086) and 0.0095 in high-poverty regions (0.0078), and 0.0100</w:t>
      </w:r>
      <w:r>
        <w:t xml:space="preserve"> </w:t>
      </w:r>
      <w:r>
        <w:rPr>
          <w:i/>
          <w:iCs/>
        </w:rPr>
        <w:t xml:space="preserve">smaller</w:t>
      </w:r>
      <w:r>
        <w:t xml:space="preserve"> </w:t>
      </w:r>
      <w:r>
        <w:t xml:space="preserve">where the food share is high (0.0052) (Table B2, Figure B2). None of these differences survives a correction for testing four groups, so the study does not claim that any group of regions bears more of the shock.</w:t>
      </w:r>
    </w:p>
    <w:p>
      <w:pPr>
        <w:pStyle w:val="TableCaption"/>
      </w:pPr>
      <w:r>
        <w:t xml:space="preserve">Table B2. The gap in groups of regions</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B2. The gap in groups of regions"/>
      </w:tblPr>
      <w:tblGrid>
        <w:gridCol w:w="2640"/>
        <w:gridCol w:w="2640"/>
        <w:gridCol w:w="2640"/>
      </w:tblGrid>
      <w:tr>
        <w:trPr>
          <w:tblHeader w:val="on"/>
        </w:trPr>
        <w:tc>
          <w:tcPr>
            <w:tcBorders>
              <w:bottom w:val="single" w:sz="6" w:space="0" w:color="000000"/>
            </w:tcBorders>
          </w:tcPr>
          <w:p>
            <w:pPr>
              <w:pStyle w:val="Compact"/>
              <w:spacing w:before="0" w:after="0" w:line="240" w:lineRule="auto"/>
              <w:ind w:firstLine="0" w:left="0"/>
            </w:pPr>
            <w:r>
              <w:rPr>
                <w:sz w:val="20"/>
                <w:szCs w:val="20"/>
              </w:rPr>
              <w:t xml:space="preserve">Group G</w:t>
            </w:r>
          </w:p>
        </w:tc>
        <w:tc>
          <w:tcPr>
            <w:tcBorders>
              <w:bottom w:val="single" w:sz="6" w:space="0" w:color="000000"/>
            </w:tcBorders>
          </w:tcPr>
          <w:p>
            <w:pPr>
              <w:pStyle w:val="Compact"/>
              <w:spacing w:before="0" w:after="0" w:line="240" w:lineRule="auto"/>
              <w:ind w:firstLine="0" w:left="0"/>
            </w:pPr>
            <w:r>
              <w:rPr>
                <w:sz w:val="20"/>
                <w:szCs w:val="20"/>
              </w:rPr>
              <w:t xml:space="preserve">Other regions, h = 12</w:t>
            </w:r>
          </w:p>
        </w:tc>
        <w:tc>
          <w:tcPr>
            <w:tcBorders>
              <w:bottom w:val="single" w:sz="6" w:space="0" w:color="000000"/>
            </w:tcBorders>
          </w:tcPr>
          <w:p>
            <w:pPr>
              <w:pStyle w:val="Compact"/>
              <w:spacing w:before="0" w:after="0" w:line="240" w:lineRule="auto"/>
              <w:ind w:firstLine="0" w:left="0"/>
            </w:pPr>
            <w:r>
              <w:rPr>
                <w:sz w:val="20"/>
                <w:szCs w:val="20"/>
              </w:rPr>
              <w:t xml:space="preserve">Extra effect in G, h = 12</w:t>
            </w:r>
          </w:p>
        </w:tc>
      </w:tr>
      <w:tr>
        <w:tc>
          <w:tcPr/>
          <w:p>
            <w:pPr>
              <w:pStyle w:val="Compact"/>
              <w:spacing w:before="0" w:after="0" w:line="240" w:lineRule="auto"/>
              <w:ind w:firstLine="0" w:left="0"/>
            </w:pPr>
            <w:r>
              <w:rPr>
                <w:sz w:val="20"/>
                <w:szCs w:val="20"/>
              </w:rPr>
              <w:t xml:space="preserve">High poverty (2018 incidence above the median)</w:t>
            </w:r>
          </w:p>
        </w:tc>
        <w:tc>
          <w:tcPr/>
          <w:p>
            <w:pPr>
              <w:pStyle w:val="Compact"/>
              <w:spacing w:before="0" w:after="0" w:line="240" w:lineRule="auto"/>
              <w:ind w:firstLine="0" w:left="0"/>
            </w:pPr>
            <w:r>
              <w:rPr>
                <w:sz w:val="20"/>
                <w:szCs w:val="20"/>
              </w:rPr>
              <w:t xml:space="preserve">−0.0131 (0.0100)</w:t>
            </w:r>
          </w:p>
        </w:tc>
        <w:tc>
          <w:tcPr/>
          <w:p>
            <w:pPr>
              <w:pStyle w:val="Compact"/>
              <w:spacing w:before="0" w:after="0" w:line="240" w:lineRule="auto"/>
              <w:ind w:firstLine="0" w:left="0"/>
            </w:pPr>
            <w:r>
              <w:rPr>
                <w:sz w:val="20"/>
                <w:szCs w:val="20"/>
              </w:rPr>
              <w:t xml:space="preserve">−0.0095 (0.0078)</w:t>
            </w:r>
          </w:p>
        </w:tc>
      </w:tr>
      <w:tr>
        <w:tc>
          <w:tcPr/>
          <w:p>
            <w:pPr>
              <w:pStyle w:val="Compact"/>
              <w:spacing w:before="0" w:after="0" w:line="240" w:lineRule="auto"/>
              <w:ind w:firstLine="0" w:left="0"/>
            </w:pPr>
            <w:r>
              <w:rPr>
                <w:sz w:val="20"/>
                <w:szCs w:val="20"/>
              </w:rPr>
              <w:t xml:space="preserve">High food share (above the median)</w:t>
            </w:r>
          </w:p>
        </w:tc>
        <w:tc>
          <w:tcPr/>
          <w:p>
            <w:pPr>
              <w:pStyle w:val="Compact"/>
              <w:spacing w:before="0" w:after="0" w:line="240" w:lineRule="auto"/>
              <w:ind w:firstLine="0" w:left="0"/>
            </w:pPr>
            <w:r>
              <w:rPr>
                <w:sz w:val="20"/>
                <w:szCs w:val="20"/>
              </w:rPr>
              <w:t xml:space="preserve">−0.0216** (0.0094)</w:t>
            </w:r>
          </w:p>
        </w:tc>
        <w:tc>
          <w:tcPr/>
          <w:p>
            <w:pPr>
              <w:pStyle w:val="Compact"/>
              <w:spacing w:before="0" w:after="0" w:line="240" w:lineRule="auto"/>
              <w:ind w:firstLine="0" w:left="0"/>
            </w:pPr>
            <w:r>
              <w:rPr>
                <w:sz w:val="20"/>
                <w:szCs w:val="20"/>
              </w:rPr>
              <w:t xml:space="preserve">0.0100* (0.0052)</w:t>
            </w:r>
          </w:p>
        </w:tc>
      </w:tr>
      <w:tr>
        <w:tc>
          <w:tcPr/>
          <w:p>
            <w:pPr>
              <w:pStyle w:val="Compact"/>
              <w:spacing w:before="0" w:after="0" w:line="240" w:lineRule="auto"/>
              <w:ind w:firstLine="0" w:left="0"/>
            </w:pPr>
            <w:r>
              <w:rPr>
                <w:sz w:val="20"/>
                <w:szCs w:val="20"/>
              </w:rPr>
              <w:t xml:space="preserve">Mindanao</w:t>
            </w:r>
          </w:p>
        </w:tc>
        <w:tc>
          <w:tcPr/>
          <w:p>
            <w:pPr>
              <w:pStyle w:val="Compact"/>
              <w:spacing w:before="0" w:after="0" w:line="240" w:lineRule="auto"/>
              <w:ind w:firstLine="0" w:left="0"/>
            </w:pPr>
            <w:r>
              <w:rPr>
                <w:sz w:val="20"/>
                <w:szCs w:val="20"/>
              </w:rPr>
              <w:t xml:space="preserve">−0.0118 (0.0096)</w:t>
            </w:r>
          </w:p>
        </w:tc>
        <w:tc>
          <w:tcPr/>
          <w:p>
            <w:pPr>
              <w:pStyle w:val="Compact"/>
              <w:spacing w:before="0" w:after="0" w:line="240" w:lineRule="auto"/>
              <w:ind w:firstLine="0" w:left="0"/>
            </w:pPr>
            <w:r>
              <w:rPr>
                <w:sz w:val="20"/>
                <w:szCs w:val="20"/>
              </w:rPr>
              <w:t xml:space="preserve">−0.0166* (0.0092)</w:t>
            </w:r>
          </w:p>
        </w:tc>
      </w:tr>
      <w:tr>
        <w:tc>
          <w:tcPr/>
          <w:p>
            <w:pPr>
              <w:pStyle w:val="Compact"/>
              <w:spacing w:before="0" w:after="0" w:line="240" w:lineRule="auto"/>
              <w:ind w:firstLine="0" w:left="0"/>
            </w:pPr>
            <w:r>
              <w:rPr>
                <w:sz w:val="20"/>
                <w:szCs w:val="20"/>
              </w:rPr>
              <w:t xml:space="preserve">Island regions (MIMAROPA, VI, VII, VIII)</w:t>
            </w:r>
          </w:p>
        </w:tc>
        <w:tc>
          <w:tcPr/>
          <w:p>
            <w:pPr>
              <w:pStyle w:val="Compact"/>
              <w:spacing w:before="0" w:after="0" w:line="240" w:lineRule="auto"/>
              <w:ind w:firstLine="0" w:left="0"/>
            </w:pPr>
            <w:r>
              <w:rPr>
                <w:sz w:val="20"/>
                <w:szCs w:val="20"/>
              </w:rPr>
              <w:t xml:space="preserve">−0.0147* (0.0079)</w:t>
            </w:r>
          </w:p>
        </w:tc>
        <w:tc>
          <w:tcPr/>
          <w:p>
            <w:pPr>
              <w:pStyle w:val="Compact"/>
              <w:spacing w:before="0" w:after="0" w:line="240" w:lineRule="auto"/>
              <w:ind w:firstLine="0" w:left="0"/>
            </w:pPr>
            <w:r>
              <w:rPr>
                <w:sz w:val="20"/>
                <w:szCs w:val="20"/>
              </w:rPr>
              <w:t xml:space="preserve">−0.0123 (0.0086)</w:t>
            </w:r>
          </w:p>
        </w:tc>
      </w:tr>
    </w:tbl>
    <w:p>
      <w:pPr>
        <w:pStyle w:val="TableNote"/>
      </w:pPr>
      <w:r>
        <w:rPr>
          <w:i/>
          <w:iCs/>
        </w:rPr>
        <w:t xml:space="preserve">Notes:</w:t>
      </w:r>
      <w:r>
        <w:t xml:space="preserve"> </w:t>
      </w:r>
      <w:r>
        <w:t xml:space="preserve">17-region panel; each row adds the fuel shock × group dummy G. Driscoll–Kraay standard errors in parentheses.</w:t>
      </w:r>
    </w:p>
    <w:p>
      <w:pPr>
        <w:pStyle w:val="CaptionedFigure"/>
      </w:pPr>
      <w:r>
        <w:drawing>
          <wp:inline>
            <wp:extent cx="4754880" cy="1890081"/>
            <wp:effectExtent b="0" l="0" r="0" t="0"/>
            <wp:docPr descr="Figure B2. Extra effect on the gap after 12 months in groups of regions (90% CI)." title="" id="170" name="Picture"/>
            <a:graphic>
              <a:graphicData uri="http://schemas.openxmlformats.org/drawingml/2006/picture">
                <pic:pic>
                  <pic:nvPicPr>
                    <pic:cNvPr descr="../output/figures/figA2_region_groups.png" id="171" name="Picture"/>
                    <pic:cNvPicPr>
                      <a:picLocks noChangeArrowheads="1" noChangeAspect="1"/>
                    </pic:cNvPicPr>
                  </pic:nvPicPr>
                  <pic:blipFill>
                    <a:blip r:embed="rId169"/>
                    <a:stretch>
                      <a:fillRect/>
                    </a:stretch>
                  </pic:blipFill>
                  <pic:spPr bwMode="auto">
                    <a:xfrm>
                      <a:off x="0" y="0"/>
                      <a:ext cx="4754880" cy="1890081"/>
                    </a:xfrm>
                    <a:prstGeom prst="rect">
                      <a:avLst/>
                    </a:prstGeom>
                    <a:noFill/>
                    <a:ln w="9525">
                      <a:noFill/>
                      <a:headEnd/>
                      <a:tailEnd/>
                    </a:ln>
                  </pic:spPr>
                </pic:pic>
              </a:graphicData>
            </a:graphic>
          </wp:inline>
        </w:drawing>
      </w:r>
    </w:p>
    <w:p>
      <w:pPr>
        <w:pStyle w:val="ImageCaption"/>
      </w:pPr>
      <w:r>
        <w:t xml:space="preserve">Figure B2. Extra effect on the gap after 12 months in groups of regions (90% CI).</w:t>
      </w:r>
    </w:p>
    <w:p>
      <w:pPr>
        <w:pStyle w:val="TableCaption"/>
      </w:pPr>
      <w:r>
        <w:t xml:space="preserve">Table B3. Further robustness checks</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B3. Further robustness checks"/>
      </w:tblPr>
      <w:tblGrid>
        <w:gridCol w:w="1980"/>
        <w:gridCol w:w="1980"/>
        <w:gridCol w:w="1980"/>
        <w:gridCol w:w="1980"/>
      </w:tblGrid>
      <w:tr>
        <w:trPr>
          <w:tblHeader w:val="on"/>
        </w:trPr>
        <w:tc>
          <w:tcPr>
            <w:tcBorders>
              <w:bottom w:val="single" w:sz="6" w:space="0" w:color="000000"/>
            </w:tcBorders>
          </w:tcPr>
          <w:p>
            <w:pPr>
              <w:pStyle w:val="Compact"/>
              <w:spacing w:before="0" w:after="0" w:line="240" w:lineRule="auto"/>
              <w:ind w:firstLine="0" w:left="0"/>
            </w:pPr>
            <w:r>
              <w:rPr>
                <w:sz w:val="20"/>
                <w:szCs w:val="20"/>
              </w:rPr>
              <w:t xml:space="preserve">Specification</w:t>
            </w:r>
          </w:p>
        </w:tc>
        <w:tc>
          <w:tcPr>
            <w:tcBorders>
              <w:bottom w:val="single" w:sz="6" w:space="0" w:color="000000"/>
            </w:tcBorders>
          </w:tcPr>
          <w:p>
            <w:pPr>
              <w:pStyle w:val="Compact"/>
              <w:spacing w:before="0" w:after="0" w:line="240" w:lineRule="auto"/>
              <w:ind w:firstLine="0" w:left="0"/>
            </w:pPr>
            <w:r>
              <w:rPr>
                <w:sz w:val="20"/>
                <w:szCs w:val="20"/>
              </w:rPr>
              <w:t xml:space="preserve">Gap, h = 6</w:t>
            </w:r>
          </w:p>
        </w:tc>
        <w:tc>
          <w:tcPr>
            <w:tcBorders>
              <w:bottom w:val="single" w:sz="6" w:space="0" w:color="000000"/>
            </w:tcBorders>
          </w:tcPr>
          <w:p>
            <w:pPr>
              <w:pStyle w:val="Compact"/>
              <w:spacing w:before="0" w:after="0" w:line="240" w:lineRule="auto"/>
              <w:ind w:firstLine="0" w:left="0"/>
            </w:pPr>
            <w:r>
              <w:rPr>
                <w:sz w:val="20"/>
                <w:szCs w:val="20"/>
              </w:rPr>
              <w:t xml:space="preserve">Gap, h = 12</w:t>
            </w:r>
          </w:p>
        </w:tc>
        <w:tc>
          <w:tcPr>
            <w:tcBorders>
              <w:bottom w:val="single" w:sz="6" w:space="0" w:color="000000"/>
            </w:tcBorders>
          </w:tcPr>
          <w:p>
            <w:pPr>
              <w:pStyle w:val="Compact"/>
              <w:spacing w:before="0" w:after="0" w:line="240" w:lineRule="auto"/>
              <w:ind w:firstLine="0" w:left="0"/>
            </w:pPr>
            <w:r>
              <w:rPr>
                <w:sz w:val="20"/>
                <w:szCs w:val="20"/>
              </w:rPr>
              <w:t xml:space="preserve">CPI all, h = 12</w:t>
            </w:r>
          </w:p>
        </w:tc>
      </w:tr>
      <w:tr>
        <w:tc>
          <w:tcPr/>
          <w:p>
            <w:pPr>
              <w:pStyle w:val="Compact"/>
              <w:spacing w:before="0" w:after="0" w:line="240" w:lineRule="auto"/>
              <w:ind w:firstLine="0" w:left="0"/>
            </w:pPr>
            <w:r>
              <w:rPr>
                <w:sz w:val="20"/>
                <w:szCs w:val="20"/>
              </w:rPr>
              <w:t xml:space="preserve">6 lags</w:t>
            </w:r>
          </w:p>
        </w:tc>
        <w:tc>
          <w:tcPr/>
          <w:p>
            <w:pPr>
              <w:pStyle w:val="Compact"/>
              <w:spacing w:before="0" w:after="0" w:line="240" w:lineRule="auto"/>
              <w:ind w:firstLine="0" w:left="0"/>
            </w:pPr>
            <w:r>
              <w:rPr>
                <w:sz w:val="20"/>
                <w:szCs w:val="20"/>
              </w:rPr>
              <w:t xml:space="preserve">−0.0160* (0.0093)</w:t>
            </w:r>
          </w:p>
        </w:tc>
        <w:tc>
          <w:tcPr/>
          <w:p>
            <w:pPr>
              <w:pStyle w:val="Compact"/>
              <w:spacing w:before="0" w:after="0" w:line="240" w:lineRule="auto"/>
              <w:ind w:firstLine="0" w:left="0"/>
            </w:pPr>
            <w:r>
              <w:rPr>
                <w:sz w:val="20"/>
                <w:szCs w:val="20"/>
              </w:rPr>
              <w:t xml:space="preserve">−0.0157 (0.0121)</w:t>
            </w:r>
          </w:p>
        </w:tc>
        <w:tc>
          <w:tcPr/>
          <w:p>
            <w:pPr>
              <w:pStyle w:val="Compact"/>
              <w:spacing w:before="0" w:after="0" w:line="240" w:lineRule="auto"/>
              <w:ind w:firstLine="0" w:left="0"/>
            </w:pPr>
            <w:r>
              <w:rPr>
                <w:sz w:val="20"/>
                <w:szCs w:val="20"/>
              </w:rPr>
              <w:t xml:space="preserve">0.107*** (0.020)</w:t>
            </w:r>
          </w:p>
        </w:tc>
      </w:tr>
      <w:tr>
        <w:tc>
          <w:tcPr/>
          <w:p>
            <w:pPr>
              <w:pStyle w:val="Compact"/>
              <w:spacing w:before="0" w:after="0" w:line="240" w:lineRule="auto"/>
              <w:ind w:firstLine="0" w:left="0"/>
            </w:pPr>
            <w:r>
              <w:rPr>
                <w:sz w:val="20"/>
                <w:szCs w:val="20"/>
              </w:rPr>
              <w:t xml:space="preserve">18 lags</w:t>
            </w:r>
          </w:p>
        </w:tc>
        <w:tc>
          <w:tcPr/>
          <w:p>
            <w:pPr>
              <w:pStyle w:val="Compact"/>
              <w:spacing w:before="0" w:after="0" w:line="240" w:lineRule="auto"/>
              <w:ind w:firstLine="0" w:left="0"/>
            </w:pPr>
            <w:r>
              <w:rPr>
                <w:sz w:val="20"/>
                <w:szCs w:val="20"/>
              </w:rPr>
              <w:t xml:space="preserve">−0.0191* (0.0106)</w:t>
            </w:r>
          </w:p>
        </w:tc>
        <w:tc>
          <w:tcPr/>
          <w:p>
            <w:pPr>
              <w:pStyle w:val="Compact"/>
              <w:spacing w:before="0" w:after="0" w:line="240" w:lineRule="auto"/>
              <w:ind w:firstLine="0" w:left="0"/>
            </w:pPr>
            <w:r>
              <w:rPr>
                <w:sz w:val="20"/>
                <w:szCs w:val="20"/>
              </w:rPr>
              <w:t xml:space="preserve">−0.0109 (0.0115)</w:t>
            </w:r>
          </w:p>
        </w:tc>
        <w:tc>
          <w:tcPr/>
          <w:p>
            <w:pPr>
              <w:pStyle w:val="Compact"/>
              <w:spacing w:before="0" w:after="0" w:line="240" w:lineRule="auto"/>
              <w:ind w:firstLine="0" w:left="0"/>
            </w:pPr>
            <w:r>
              <w:rPr>
                <w:sz w:val="20"/>
                <w:szCs w:val="20"/>
              </w:rPr>
              <w:t xml:space="preserve">0.109*** (0.018)</w:t>
            </w:r>
          </w:p>
        </w:tc>
      </w:tr>
      <w:tr>
        <w:tc>
          <w:tcPr/>
          <w:p>
            <w:pPr>
              <w:pStyle w:val="Compact"/>
              <w:spacing w:before="0" w:after="0" w:line="240" w:lineRule="auto"/>
              <w:ind w:firstLine="0" w:left="0"/>
            </w:pPr>
            <w:r>
              <w:rPr>
                <w:sz w:val="20"/>
                <w:szCs w:val="20"/>
              </w:rPr>
              <w:t xml:space="preserve">Shock dates to Dec 2025 only</w:t>
            </w:r>
          </w:p>
        </w:tc>
        <w:tc>
          <w:tcPr/>
          <w:p>
            <w:pPr>
              <w:pStyle w:val="Compact"/>
              <w:spacing w:before="0" w:after="0" w:line="240" w:lineRule="auto"/>
              <w:ind w:firstLine="0" w:left="0"/>
            </w:pPr>
            <w:r>
              <w:rPr>
                <w:sz w:val="20"/>
                <w:szCs w:val="20"/>
              </w:rPr>
              <w:t xml:space="preserve">−0.0158 (0.0097)</w:t>
            </w:r>
          </w:p>
        </w:tc>
        <w:tc>
          <w:tcPr/>
          <w:p>
            <w:pPr>
              <w:pStyle w:val="Compact"/>
              <w:spacing w:before="0" w:after="0" w:line="240" w:lineRule="auto"/>
              <w:ind w:firstLine="0" w:left="0"/>
            </w:pPr>
            <w:r>
              <w:rPr>
                <w:sz w:val="20"/>
                <w:szCs w:val="20"/>
              </w:rPr>
              <w:t xml:space="preserve">−0.0097 (0.0113)</w:t>
            </w:r>
          </w:p>
        </w:tc>
        <w:tc>
          <w:tcPr/>
          <w:p>
            <w:pPr>
              <w:pStyle w:val="Compact"/>
              <w:spacing w:before="0" w:after="0" w:line="240" w:lineRule="auto"/>
              <w:ind w:firstLine="0" w:left="0"/>
            </w:pPr>
            <w:r>
              <w:rPr>
                <w:sz w:val="20"/>
                <w:szCs w:val="20"/>
              </w:rPr>
              <w:t xml:space="preserve">0.102*** (0.017)</w:t>
            </w:r>
          </w:p>
        </w:tc>
      </w:tr>
      <w:tr>
        <w:tc>
          <w:tcPr/>
          <w:p>
            <w:pPr>
              <w:pStyle w:val="Compact"/>
              <w:spacing w:before="0" w:after="0" w:line="240" w:lineRule="auto"/>
              <w:ind w:firstLine="0" w:left="0"/>
            </w:pPr>
            <w:r>
              <w:rPr>
                <w:sz w:val="20"/>
                <w:szCs w:val="20"/>
              </w:rPr>
              <w:t xml:space="preserve">Dummies for the base-change months (Jan 2012, Jan 2018)</w:t>
            </w:r>
          </w:p>
        </w:tc>
        <w:tc>
          <w:tcPr/>
          <w:p>
            <w:pPr>
              <w:pStyle w:val="Compact"/>
              <w:spacing w:before="0" w:after="0" w:line="240" w:lineRule="auto"/>
              <w:ind w:firstLine="0" w:left="0"/>
            </w:pPr>
            <w:r>
              <w:rPr>
                <w:sz w:val="20"/>
                <w:szCs w:val="20"/>
              </w:rPr>
              <w:t xml:space="preserve">−0.0155 (0.0102)</w:t>
            </w:r>
          </w:p>
        </w:tc>
        <w:tc>
          <w:tcPr/>
          <w:p>
            <w:pPr>
              <w:pStyle w:val="Compact"/>
              <w:spacing w:before="0" w:after="0" w:line="240" w:lineRule="auto"/>
              <w:ind w:firstLine="0" w:left="0"/>
            </w:pPr>
            <w:r>
              <w:rPr>
                <w:sz w:val="20"/>
                <w:szCs w:val="20"/>
              </w:rPr>
              <w:t xml:space="preserve">−0.0100 (0.0114)</w:t>
            </w:r>
          </w:p>
        </w:tc>
        <w:tc>
          <w:tcPr/>
          <w:p>
            <w:pPr>
              <w:pStyle w:val="Compact"/>
              <w:spacing w:before="0" w:after="0" w:line="240" w:lineRule="auto"/>
              <w:ind w:firstLine="0" w:left="0"/>
            </w:pPr>
            <w:r>
              <w:rPr>
                <w:sz w:val="20"/>
                <w:szCs w:val="20"/>
              </w:rPr>
              <w:t xml:space="preserve">0.102*** (0.018)</w:t>
            </w:r>
          </w:p>
        </w:tc>
      </w:tr>
      <w:tr>
        <w:tc>
          <w:tcPr/>
          <w:p>
            <w:pPr>
              <w:pStyle w:val="Compact"/>
              <w:spacing w:before="0" w:after="0" w:line="240" w:lineRule="auto"/>
              <w:ind w:firstLine="0" w:left="0"/>
            </w:pPr>
            <w:r>
              <w:rPr>
                <w:sz w:val="20"/>
                <w:szCs w:val="20"/>
              </w:rPr>
              <w:t xml:space="preserve">Reference study’s window (to Jun 2019)</w:t>
            </w:r>
          </w:p>
        </w:tc>
        <w:tc>
          <w:tcPr/>
          <w:p>
            <w:pPr>
              <w:pStyle w:val="Compact"/>
              <w:spacing w:before="0" w:after="0" w:line="240" w:lineRule="auto"/>
              <w:ind w:firstLine="0" w:left="0"/>
            </w:pPr>
            <w:r>
              <w:rPr>
                <w:sz w:val="20"/>
                <w:szCs w:val="20"/>
              </w:rPr>
              <w:t xml:space="preserve">−0.0315 (0.0202)</w:t>
            </w:r>
          </w:p>
        </w:tc>
        <w:tc>
          <w:tcPr/>
          <w:p>
            <w:pPr>
              <w:pStyle w:val="Compact"/>
              <w:spacing w:before="0" w:after="0" w:line="240" w:lineRule="auto"/>
              <w:ind w:firstLine="0" w:left="0"/>
            </w:pPr>
            <w:r>
              <w:rPr>
                <w:sz w:val="20"/>
                <w:szCs w:val="20"/>
              </w:rPr>
              <w:t xml:space="preserve">−0.0215 (0.0191)</w:t>
            </w:r>
          </w:p>
        </w:tc>
        <w:tc>
          <w:tcPr/>
          <w:p>
            <w:pPr>
              <w:pStyle w:val="Compact"/>
              <w:spacing w:before="0" w:after="0" w:line="240" w:lineRule="auto"/>
              <w:ind w:firstLine="0" w:left="0"/>
            </w:pPr>
            <w:r>
              <w:rPr>
                <w:sz w:val="20"/>
                <w:szCs w:val="20"/>
              </w:rPr>
              <w:t xml:space="preserve">0.093*** (0.016)</w:t>
            </w:r>
          </w:p>
        </w:tc>
      </w:tr>
      <w:tr>
        <w:tc>
          <w:tcPr/>
          <w:p>
            <w:pPr>
              <w:pStyle w:val="Compact"/>
              <w:spacing w:before="0" w:after="0" w:line="240" w:lineRule="auto"/>
              <w:ind w:firstLine="0" w:left="0"/>
            </w:pPr>
            <w:r>
              <w:rPr>
                <w:sz w:val="20"/>
                <w:szCs w:val="20"/>
              </w:rPr>
              <w:t xml:space="preserve">Shock: gasoline index, 2019–2026</w:t>
            </w:r>
          </w:p>
        </w:tc>
        <w:tc>
          <w:tcPr/>
          <w:p>
            <w:pPr>
              <w:pStyle w:val="Compact"/>
              <w:spacing w:before="0" w:after="0" w:line="240" w:lineRule="auto"/>
              <w:ind w:firstLine="0" w:left="0"/>
            </w:pPr>
            <w:r>
              <w:rPr>
                <w:sz w:val="20"/>
                <w:szCs w:val="20"/>
              </w:rPr>
              <w:t xml:space="preserve">−0.0016 (0.0122)</w:t>
            </w:r>
          </w:p>
        </w:tc>
        <w:tc>
          <w:tcPr/>
          <w:p>
            <w:pPr>
              <w:pStyle w:val="Compact"/>
              <w:spacing w:before="0" w:after="0" w:line="240" w:lineRule="auto"/>
              <w:ind w:firstLine="0" w:left="0"/>
            </w:pPr>
            <w:r>
              <w:rPr>
                <w:sz w:val="20"/>
                <w:szCs w:val="20"/>
              </w:rPr>
              <w:t xml:space="preserve">−0.0051 (0.0125)</w:t>
            </w:r>
          </w:p>
        </w:tc>
        <w:tc>
          <w:tcPr/>
          <w:p>
            <w:pPr>
              <w:pStyle w:val="Compact"/>
              <w:spacing w:before="0" w:after="0" w:line="240" w:lineRule="auto"/>
              <w:ind w:firstLine="0" w:left="0"/>
            </w:pPr>
            <w:r>
              <w:rPr>
                <w:sz w:val="20"/>
                <w:szCs w:val="20"/>
              </w:rPr>
              <w:t xml:space="preserve">0.096*** (0.027)</w:t>
            </w:r>
          </w:p>
        </w:tc>
      </w:tr>
      <w:tr>
        <w:tc>
          <w:tcPr/>
          <w:p>
            <w:pPr>
              <w:pStyle w:val="Compact"/>
              <w:spacing w:before="0" w:after="0" w:line="240" w:lineRule="auto"/>
              <w:ind w:firstLine="0" w:left="0"/>
            </w:pPr>
            <w:r>
              <w:rPr>
                <w:sz w:val="20"/>
                <w:szCs w:val="20"/>
              </w:rPr>
              <w:t xml:space="preserve">Shock: World Bank pump price, 2018–2025</w:t>
            </w:r>
          </w:p>
        </w:tc>
        <w:tc>
          <w:tcPr/>
          <w:p>
            <w:pPr>
              <w:pStyle w:val="Compact"/>
              <w:spacing w:before="0" w:after="0" w:line="240" w:lineRule="auto"/>
              <w:ind w:firstLine="0" w:left="0"/>
            </w:pPr>
            <w:r>
              <w:rPr>
                <w:sz w:val="20"/>
                <w:szCs w:val="20"/>
              </w:rPr>
              <w:t xml:space="preserve">−0.0063 (0.0096)</w:t>
            </w:r>
          </w:p>
        </w:tc>
        <w:tc>
          <w:tcPr/>
          <w:p>
            <w:pPr>
              <w:pStyle w:val="Compact"/>
              <w:spacing w:before="0" w:after="0" w:line="240" w:lineRule="auto"/>
              <w:ind w:firstLine="0" w:left="0"/>
            </w:pPr>
            <w:r>
              <w:rPr>
                <w:sz w:val="20"/>
                <w:szCs w:val="20"/>
              </w:rPr>
              <w:t xml:space="preserve">−0.0005 (0.0054)</w:t>
            </w:r>
          </w:p>
        </w:tc>
        <w:tc>
          <w:tcPr/>
          <w:p>
            <w:pPr>
              <w:pStyle w:val="Compact"/>
              <w:spacing w:before="0" w:after="0" w:line="240" w:lineRule="auto"/>
              <w:ind w:firstLine="0" w:left="0"/>
            </w:pPr>
            <w:r>
              <w:rPr>
                <w:sz w:val="20"/>
                <w:szCs w:val="20"/>
              </w:rPr>
              <w:t xml:space="preserve">0.072*** (0.019)</w:t>
            </w:r>
          </w:p>
        </w:tc>
      </w:tr>
      <w:tr>
        <w:tc>
          <w:tcPr/>
          <w:p>
            <w:pPr>
              <w:pStyle w:val="Compact"/>
              <w:spacing w:before="0" w:after="0" w:line="240" w:lineRule="auto"/>
              <w:ind w:firstLine="0" w:left="0"/>
            </w:pPr>
            <w:r>
              <w:rPr>
                <w:sz w:val="20"/>
                <w:szCs w:val="20"/>
              </w:rPr>
              <w:t xml:space="preserve">National, excluding 2008</w:t>
            </w:r>
          </w:p>
        </w:tc>
        <w:tc>
          <w:tcPr/>
          <w:p>
            <w:pPr>
              <w:pStyle w:val="Compact"/>
              <w:spacing w:before="0" w:after="0" w:line="240" w:lineRule="auto"/>
              <w:ind w:firstLine="0" w:left="0"/>
            </w:pPr>
            <w:r>
              <w:rPr>
                <w:sz w:val="20"/>
                <w:szCs w:val="20"/>
              </w:rPr>
              <w:t xml:space="preserve">−0.0131 (0.0088)</w:t>
            </w:r>
          </w:p>
        </w:tc>
        <w:tc>
          <w:tcPr/>
          <w:p>
            <w:pPr>
              <w:pStyle w:val="Compact"/>
              <w:spacing w:before="0" w:after="0" w:line="240" w:lineRule="auto"/>
              <w:ind w:firstLine="0" w:left="0"/>
            </w:pPr>
            <w:r>
              <w:rPr>
                <w:sz w:val="20"/>
                <w:szCs w:val="20"/>
              </w:rPr>
              <w:t xml:space="preserve">−0.0079 (0.0115)</w:t>
            </w:r>
          </w:p>
        </w:tc>
        <w:tc>
          <w:tcPr/>
          <w:p>
            <w:pPr>
              <w:pStyle w:val="Compact"/>
              <w:spacing w:before="0" w:after="0" w:line="240" w:lineRule="auto"/>
              <w:ind w:firstLine="0" w:left="0"/>
            </w:pPr>
            <w:r>
              <w:rPr>
                <w:sz w:val="20"/>
                <w:szCs w:val="20"/>
              </w:rPr>
              <w:t xml:space="preserve">—</w:t>
            </w:r>
          </w:p>
        </w:tc>
      </w:tr>
      <w:tr>
        <w:tc>
          <w:tcPr/>
          <w:p>
            <w:pPr>
              <w:pStyle w:val="Compact"/>
              <w:spacing w:before="0" w:after="0" w:line="240" w:lineRule="auto"/>
              <w:ind w:firstLine="0" w:left="0"/>
            </w:pPr>
            <w:r>
              <w:rPr>
                <w:sz w:val="20"/>
                <w:szCs w:val="20"/>
              </w:rPr>
              <w:t xml:space="preserve">National, 2013–2026</w:t>
            </w:r>
          </w:p>
        </w:tc>
        <w:tc>
          <w:tcPr/>
          <w:p>
            <w:pPr>
              <w:pStyle w:val="Compact"/>
              <w:spacing w:before="0" w:after="0" w:line="240" w:lineRule="auto"/>
              <w:ind w:firstLine="0" w:left="0"/>
            </w:pPr>
            <w:r>
              <w:rPr>
                <w:sz w:val="20"/>
                <w:szCs w:val="20"/>
              </w:rPr>
              <w:t xml:space="preserve">−0.0046 (0.0095)</w:t>
            </w:r>
          </w:p>
        </w:tc>
        <w:tc>
          <w:tcPr/>
          <w:p>
            <w:pPr>
              <w:pStyle w:val="Compact"/>
              <w:spacing w:before="0" w:after="0" w:line="240" w:lineRule="auto"/>
              <w:ind w:firstLine="0" w:left="0"/>
            </w:pPr>
            <w:r>
              <w:rPr>
                <w:sz w:val="20"/>
                <w:szCs w:val="20"/>
              </w:rPr>
              <w:t xml:space="preserve">0.0031 (0.0092)</w:t>
            </w:r>
          </w:p>
        </w:tc>
        <w:tc>
          <w:tcPr/>
          <w:p>
            <w:pPr>
              <w:pStyle w:val="Compact"/>
              <w:spacing w:before="0" w:after="0" w:line="240" w:lineRule="auto"/>
              <w:ind w:firstLine="0" w:left="0"/>
            </w:pPr>
            <w:r>
              <w:rPr>
                <w:sz w:val="20"/>
                <w:szCs w:val="20"/>
              </w:rPr>
              <w:t xml:space="preserve">—</w:t>
            </w:r>
          </w:p>
        </w:tc>
      </w:tr>
      <w:tr>
        <w:tc>
          <w:tcPr/>
          <w:p>
            <w:pPr>
              <w:pStyle w:val="Compact"/>
              <w:spacing w:before="0" w:after="0" w:line="240" w:lineRule="auto"/>
              <w:ind w:firstLine="0" w:left="0"/>
            </w:pPr>
            <w:r>
              <w:rPr>
                <w:sz w:val="20"/>
                <w:szCs w:val="20"/>
              </w:rPr>
              <w:t xml:space="preserve">Panel, excluding 2008</w:t>
            </w:r>
          </w:p>
        </w:tc>
        <w:tc>
          <w:tcPr/>
          <w:p>
            <w:pPr>
              <w:pStyle w:val="Compact"/>
              <w:spacing w:before="0" w:after="0" w:line="240" w:lineRule="auto"/>
              <w:ind w:firstLine="0" w:left="0"/>
            </w:pPr>
            <w:r>
              <w:rPr>
                <w:sz w:val="20"/>
                <w:szCs w:val="20"/>
              </w:rPr>
              <w:t xml:space="preserve">−0.0177** (0.0073)</w:t>
            </w:r>
          </w:p>
        </w:tc>
        <w:tc>
          <w:tcPr/>
          <w:p>
            <w:pPr>
              <w:pStyle w:val="Compact"/>
              <w:spacing w:before="0" w:after="0" w:line="240" w:lineRule="auto"/>
              <w:ind w:firstLine="0" w:left="0"/>
            </w:pPr>
            <w:r>
              <w:rPr>
                <w:sz w:val="20"/>
                <w:szCs w:val="20"/>
              </w:rPr>
              <w:t xml:space="preserve">−0.0135 (0.0092)</w:t>
            </w:r>
          </w:p>
        </w:tc>
        <w:tc>
          <w:tcPr/>
          <w:p>
            <w:pPr>
              <w:pStyle w:val="Compact"/>
              <w:spacing w:before="0" w:after="0" w:line="240" w:lineRule="auto"/>
              <w:ind w:firstLine="0" w:left="0"/>
            </w:pPr>
            <w:r>
              <w:rPr>
                <w:sz w:val="20"/>
                <w:szCs w:val="20"/>
              </w:rPr>
              <w:t xml:space="preserve">—</w:t>
            </w:r>
          </w:p>
        </w:tc>
      </w:tr>
      <w:tr>
        <w:tc>
          <w:tcPr/>
          <w:p>
            <w:pPr>
              <w:pStyle w:val="Compact"/>
              <w:spacing w:before="0" w:after="0" w:line="240" w:lineRule="auto"/>
              <w:ind w:firstLine="0" w:left="0"/>
            </w:pPr>
            <w:r>
              <w:rPr>
                <w:sz w:val="20"/>
                <w:szCs w:val="20"/>
              </w:rPr>
              <w:t xml:space="preserve">Panel, dropping the re-mapped 2026 months</w:t>
            </w:r>
          </w:p>
        </w:tc>
        <w:tc>
          <w:tcPr/>
          <w:p>
            <w:pPr>
              <w:pStyle w:val="Compact"/>
              <w:spacing w:before="0" w:after="0" w:line="240" w:lineRule="auto"/>
              <w:ind w:firstLine="0" w:left="0"/>
            </w:pPr>
            <w:r>
              <w:rPr>
                <w:sz w:val="20"/>
                <w:szCs w:val="20"/>
              </w:rPr>
              <w:t xml:space="preserve">−0.0215*** (0.0083)</w:t>
            </w:r>
          </w:p>
        </w:tc>
        <w:tc>
          <w:tcPr/>
          <w:p>
            <w:pPr>
              <w:pStyle w:val="Compact"/>
              <w:spacing w:before="0" w:after="0" w:line="240" w:lineRule="auto"/>
              <w:ind w:firstLine="0" w:left="0"/>
            </w:pPr>
            <w:r>
              <w:rPr>
                <w:sz w:val="20"/>
                <w:szCs w:val="20"/>
              </w:rPr>
              <w:t xml:space="preserve">−0.0173** (0.0085)</w:t>
            </w:r>
          </w:p>
        </w:tc>
        <w:tc>
          <w:tcPr/>
          <w:p>
            <w:pPr>
              <w:pStyle w:val="Compact"/>
              <w:spacing w:before="0" w:after="0" w:line="240" w:lineRule="auto"/>
              <w:ind w:firstLine="0" w:left="0"/>
            </w:pPr>
            <w:r>
              <w:rPr>
                <w:sz w:val="20"/>
                <w:szCs w:val="20"/>
              </w:rPr>
              <w:t xml:space="preserve">—</w:t>
            </w:r>
          </w:p>
        </w:tc>
      </w:tr>
      <w:tr>
        <w:tc>
          <w:tcPr/>
          <w:p>
            <w:pPr>
              <w:pStyle w:val="Compact"/>
              <w:spacing w:before="0" w:after="0" w:line="240" w:lineRule="auto"/>
              <w:ind w:firstLine="0" w:left="0"/>
            </w:pPr>
            <w:r>
              <w:rPr>
                <w:sz w:val="20"/>
                <w:szCs w:val="20"/>
              </w:rPr>
              <w:t xml:space="preserve">Panel, national instead of regional fuel index</w:t>
            </w:r>
          </w:p>
        </w:tc>
        <w:tc>
          <w:tcPr/>
          <w:p>
            <w:pPr>
              <w:pStyle w:val="Compact"/>
              <w:spacing w:before="0" w:after="0" w:line="240" w:lineRule="auto"/>
              <w:ind w:firstLine="0" w:left="0"/>
            </w:pPr>
            <w:r>
              <w:rPr>
                <w:sz w:val="20"/>
                <w:szCs w:val="20"/>
              </w:rPr>
              <w:t xml:space="preserve">−0.0225** (0.0095)</w:t>
            </w:r>
          </w:p>
        </w:tc>
        <w:tc>
          <w:tcPr/>
          <w:p>
            <w:pPr>
              <w:pStyle w:val="Compact"/>
              <w:spacing w:before="0" w:after="0" w:line="240" w:lineRule="auto"/>
              <w:ind w:firstLine="0" w:left="0"/>
            </w:pPr>
            <w:r>
              <w:rPr>
                <w:sz w:val="20"/>
                <w:szCs w:val="20"/>
              </w:rPr>
              <w:t xml:space="preserve">−0.0188** (0.0095)</w:t>
            </w:r>
          </w:p>
        </w:tc>
        <w:tc>
          <w:tcPr/>
          <w:p>
            <w:pPr>
              <w:pStyle w:val="Compact"/>
              <w:spacing w:before="0" w:after="0" w:line="240" w:lineRule="auto"/>
              <w:ind w:firstLine="0" w:left="0"/>
            </w:pPr>
            <w:r>
              <w:rPr>
                <w:sz w:val="20"/>
                <w:szCs w:val="20"/>
              </w:rPr>
              <w:t xml:space="preserve">—</w:t>
            </w:r>
          </w:p>
        </w:tc>
      </w:tr>
      <w:tr>
        <w:tc>
          <w:tcPr/>
          <w:p>
            <w:pPr>
              <w:pStyle w:val="Compact"/>
              <w:spacing w:before="0" w:after="0" w:line="240" w:lineRule="auto"/>
              <w:ind w:firstLine="0" w:left="0"/>
            </w:pPr>
            <w:r>
              <w:rPr>
                <w:sz w:val="20"/>
                <w:szCs w:val="20"/>
              </w:rPr>
              <w:t xml:space="preserve">Asymmetry: extra effect of fuel increases (CPI all, h = 12)</w:t>
            </w:r>
          </w:p>
        </w:tc>
        <w:tc>
          <w:tcPr/>
          <w:p>
            <w:pPr>
              <w:pStyle w:val="Compact"/>
              <w:spacing w:before="0" w:after="0" w:line="240" w:lineRule="auto"/>
              <w:ind w:firstLine="0" w:left="0"/>
            </w:pPr>
          </w:p>
        </w:tc>
        <w:tc>
          <w:tcPr/>
          <w:p>
            <w:pPr>
              <w:pStyle w:val="Compact"/>
              <w:spacing w:before="0" w:after="0" w:line="240" w:lineRule="auto"/>
              <w:ind w:firstLine="0" w:left="0"/>
            </w:pPr>
          </w:p>
        </w:tc>
        <w:tc>
          <w:tcPr/>
          <w:p>
            <w:pPr>
              <w:pStyle w:val="Compact"/>
              <w:spacing w:before="0" w:after="0" w:line="240" w:lineRule="auto"/>
              <w:ind w:firstLine="0" w:left="0"/>
            </w:pPr>
            <w:r>
              <w:rPr>
                <w:sz w:val="20"/>
                <w:szCs w:val="20"/>
              </w:rPr>
              <w:t xml:space="preserve">0.079 (0.079)</w:t>
            </w:r>
          </w:p>
        </w:tc>
      </w:tr>
    </w:tbl>
    <w:p>
      <w:pPr>
        <w:pStyle w:val="TableNote"/>
      </w:pPr>
      <w:r>
        <w:rPr>
          <w:i/>
          <w:iCs/>
        </w:rPr>
        <w:t xml:space="preserve">Notes:</w:t>
      </w:r>
      <w:r>
        <w:t xml:space="preserve"> </w:t>
      </w:r>
      <w:r>
        <w:t xml:space="preserve">As in Table 9.</w:t>
      </w:r>
      <w:r>
        <w:t xml:space="preserve"> </w:t>
      </w:r>
      <w:r>
        <w:t xml:space="preserve">“Excluding 2008”</w:t>
      </w:r>
      <w:r>
        <w:t xml:space="preserve"> </w:t>
      </w:r>
      <w:r>
        <w:t xml:space="preserve">and</w:t>
      </w:r>
      <w:r>
        <w:t xml:space="preserve"> </w:t>
      </w:r>
      <w:r>
        <w:t xml:space="preserve">“National, 2013–2026”</w:t>
      </w:r>
      <w:r>
        <w:t xml:space="preserve"> </w:t>
      </w:r>
      <w:r>
        <w:t xml:space="preserve">were specified after the first results.</w:t>
      </w:r>
    </w:p>
    <w:p>
      <w:pPr>
        <w:pStyle w:val="CaptionedFigure"/>
      </w:pPr>
      <w:r>
        <w:drawing>
          <wp:inline>
            <wp:extent cx="5052060" cy="2680069"/>
            <wp:effectExtent b="0" l="0" r="0" t="0"/>
            <wp:docPr descr="Figure B3. Further robustness checks of the six-month gap (90% CI)." title="" id="173" name="Picture"/>
            <a:graphic>
              <a:graphicData uri="http://schemas.openxmlformats.org/drawingml/2006/picture">
                <pic:pic>
                  <pic:nvPicPr>
                    <pic:cNvPr descr="../output/figures/figA3_robustness_other.png" id="174" name="Picture"/>
                    <pic:cNvPicPr>
                      <a:picLocks noChangeArrowheads="1" noChangeAspect="1"/>
                    </pic:cNvPicPr>
                  </pic:nvPicPr>
                  <pic:blipFill>
                    <a:blip r:embed="rId172"/>
                    <a:stretch>
                      <a:fillRect/>
                    </a:stretch>
                  </pic:blipFill>
                  <pic:spPr bwMode="auto">
                    <a:xfrm>
                      <a:off x="0" y="0"/>
                      <a:ext cx="5052060" cy="2680069"/>
                    </a:xfrm>
                    <a:prstGeom prst="rect">
                      <a:avLst/>
                    </a:prstGeom>
                    <a:noFill/>
                    <a:ln w="9525">
                      <a:noFill/>
                      <a:headEnd/>
                      <a:tailEnd/>
                    </a:ln>
                  </pic:spPr>
                </pic:pic>
              </a:graphicData>
            </a:graphic>
          </wp:inline>
        </w:drawing>
      </w:r>
    </w:p>
    <w:p>
      <w:pPr>
        <w:pStyle w:val="ImageCaption"/>
      </w:pPr>
      <w:r>
        <w:t xml:space="preserve">Figure B3. Further robustness checks of the six-month gap (90% CI).</w:t>
      </w:r>
    </w:p>
    <w:p>
      <w:pPr>
        <w:pStyle w:val="TableCaption"/>
      </w:pPr>
      <w:r>
        <w:t xml:space="preserve">Table B4. Correlations of this month’s fuel price change with price changes k months later</w:t>
      </w:r>
    </w:p>
    <w:tbl>
      <w:tblPr>
        <w:tblStyle w:val="Table"/>
        <w:tblW w:type="auto" w:w="0"/>
        <w:tblBorders>
          <w:top w:val="single" w:sz="12" w:space="0" w:color="000000"/>
          <w:left w:val="nil"/>
          <w:bottom w:val="single" w:sz="12" w:space="0" w:color="000000"/>
          <w:right w:val="nil"/>
          <w:insideH w:val="nil"/>
          <w:insideV w:val="nil"/>
        </w:tblBorders>
        <w:tblLook w:firstRow="1" w:lastRow="0" w:firstColumn="0" w:lastColumn="0" w:noHBand="0" w:noVBand="0" w:val="0020"/>
        <w:tblCaption w:val="Table B4. Correlations of this month’s fuel price change with price changes k months later"/>
      </w:tblPr>
      <w:tblGrid>
        <w:gridCol w:w="1980"/>
        <w:gridCol w:w="1980"/>
        <w:gridCol w:w="1980"/>
        <w:gridCol w:w="1980"/>
      </w:tblGrid>
      <w:tr>
        <w:trPr>
          <w:tblHeader w:val="on"/>
        </w:trPr>
        <w:tc>
          <w:tcPr>
            <w:tcBorders>
              <w:bottom w:val="single" w:sz="6" w:space="0" w:color="000000"/>
            </w:tcBorders>
          </w:tcPr>
          <w:p>
            <w:pPr>
              <w:pStyle w:val="Compact"/>
              <w:spacing w:before="0" w:after="0" w:line="240" w:lineRule="auto"/>
              <w:ind w:firstLine="0" w:left="0"/>
            </w:pPr>
            <w:r>
              <w:rPr>
                <w:sz w:val="20"/>
                <w:szCs w:val="20"/>
              </w:rPr>
              <w:t xml:space="preserve">Months later (k)</w:t>
            </w:r>
          </w:p>
        </w:tc>
        <w:tc>
          <w:tcPr>
            <w:tcBorders>
              <w:bottom w:val="single" w:sz="6" w:space="0" w:color="000000"/>
            </w:tcBorders>
          </w:tcPr>
          <w:p>
            <w:pPr>
              <w:pStyle w:val="Compact"/>
              <w:spacing w:before="0" w:after="0" w:line="240" w:lineRule="auto"/>
              <w:ind w:firstLine="0" w:left="0"/>
            </w:pPr>
            <w:r>
              <w:rPr>
                <w:sz w:val="20"/>
                <w:szCs w:val="20"/>
              </w:rPr>
              <w:t xml:space="preserve">CPI, all income</w:t>
            </w:r>
          </w:p>
        </w:tc>
        <w:tc>
          <w:tcPr>
            <w:tcBorders>
              <w:bottom w:val="single" w:sz="6" w:space="0" w:color="000000"/>
            </w:tcBorders>
          </w:tcPr>
          <w:p>
            <w:pPr>
              <w:pStyle w:val="Compact"/>
              <w:spacing w:before="0" w:after="0" w:line="240" w:lineRule="auto"/>
              <w:ind w:firstLine="0" w:left="0"/>
            </w:pPr>
            <w:r>
              <w:rPr>
                <w:sz w:val="20"/>
                <w:szCs w:val="20"/>
              </w:rPr>
              <w:t xml:space="preserve">CPI, bottom 30%</w:t>
            </w:r>
          </w:p>
        </w:tc>
        <w:tc>
          <w:tcPr>
            <w:tcBorders>
              <w:bottom w:val="single" w:sz="6" w:space="0" w:color="000000"/>
            </w:tcBorders>
          </w:tcPr>
          <w:p>
            <w:pPr>
              <w:pStyle w:val="Compact"/>
              <w:spacing w:before="0" w:after="0" w:line="240" w:lineRule="auto"/>
              <w:ind w:firstLine="0" w:left="0"/>
            </w:pPr>
            <w:r>
              <w:rPr>
                <w:sz w:val="20"/>
                <w:szCs w:val="20"/>
              </w:rPr>
              <w:t xml:space="preserve">Gap</w:t>
            </w:r>
          </w:p>
        </w:tc>
      </w:tr>
      <w:tr>
        <w:tc>
          <w:tcPr/>
          <w:p>
            <w:pPr>
              <w:pStyle w:val="Compact"/>
              <w:spacing w:before="0" w:after="0" w:line="240" w:lineRule="auto"/>
              <w:ind w:firstLine="0" w:left="0"/>
            </w:pPr>
            <w:r>
              <w:rPr>
                <w:sz w:val="20"/>
                <w:szCs w:val="20"/>
              </w:rPr>
              <w:t xml:space="preserve">0</w:t>
            </w:r>
          </w:p>
        </w:tc>
        <w:tc>
          <w:tcPr/>
          <w:p>
            <w:pPr>
              <w:pStyle w:val="Compact"/>
              <w:spacing w:before="0" w:after="0" w:line="240" w:lineRule="auto"/>
              <w:ind w:firstLine="0" w:left="0"/>
            </w:pPr>
            <w:r>
              <w:rPr>
                <w:sz w:val="20"/>
                <w:szCs w:val="20"/>
              </w:rPr>
              <w:t xml:space="preserve">0.536</w:t>
            </w:r>
          </w:p>
        </w:tc>
        <w:tc>
          <w:tcPr/>
          <w:p>
            <w:pPr>
              <w:pStyle w:val="Compact"/>
              <w:spacing w:before="0" w:after="0" w:line="240" w:lineRule="auto"/>
              <w:ind w:firstLine="0" w:left="0"/>
            </w:pPr>
            <w:r>
              <w:rPr>
                <w:sz w:val="20"/>
                <w:szCs w:val="20"/>
              </w:rPr>
              <w:t xml:space="preserve">0.428</w:t>
            </w:r>
          </w:p>
        </w:tc>
        <w:tc>
          <w:tcPr/>
          <w:p>
            <w:pPr>
              <w:pStyle w:val="Compact"/>
              <w:spacing w:before="0" w:after="0" w:line="240" w:lineRule="auto"/>
              <w:ind w:firstLine="0" w:left="0"/>
            </w:pPr>
            <w:r>
              <w:rPr>
                <w:sz w:val="20"/>
                <w:szCs w:val="20"/>
              </w:rPr>
              <w:t xml:space="preserve">−0.114</w:t>
            </w:r>
          </w:p>
        </w:tc>
      </w:tr>
      <w:tr>
        <w:tc>
          <w:tcPr/>
          <w:p>
            <w:pPr>
              <w:pStyle w:val="Compact"/>
              <w:spacing w:before="0" w:after="0" w:line="240" w:lineRule="auto"/>
              <w:ind w:firstLine="0" w:left="0"/>
            </w:pPr>
            <w:r>
              <w:rPr>
                <w:sz w:val="20"/>
                <w:szCs w:val="20"/>
              </w:rPr>
              <w:t xml:space="preserve">1</w:t>
            </w:r>
          </w:p>
        </w:tc>
        <w:tc>
          <w:tcPr/>
          <w:p>
            <w:pPr>
              <w:pStyle w:val="Compact"/>
              <w:spacing w:before="0" w:after="0" w:line="240" w:lineRule="auto"/>
              <w:ind w:firstLine="0" w:left="0"/>
            </w:pPr>
            <w:r>
              <w:rPr>
                <w:sz w:val="20"/>
                <w:szCs w:val="20"/>
              </w:rPr>
              <w:t xml:space="preserve">0.295</w:t>
            </w:r>
          </w:p>
        </w:tc>
        <w:tc>
          <w:tcPr/>
          <w:p>
            <w:pPr>
              <w:pStyle w:val="Compact"/>
              <w:spacing w:before="0" w:after="0" w:line="240" w:lineRule="auto"/>
              <w:ind w:firstLine="0" w:left="0"/>
            </w:pPr>
            <w:r>
              <w:rPr>
                <w:sz w:val="20"/>
                <w:szCs w:val="20"/>
              </w:rPr>
              <w:t xml:space="preserve">0.271</w:t>
            </w:r>
          </w:p>
        </w:tc>
        <w:tc>
          <w:tcPr/>
          <w:p>
            <w:pPr>
              <w:pStyle w:val="Compact"/>
              <w:spacing w:before="0" w:after="0" w:line="240" w:lineRule="auto"/>
              <w:ind w:firstLine="0" w:left="0"/>
            </w:pPr>
            <w:r>
              <w:rPr>
                <w:sz w:val="20"/>
                <w:szCs w:val="20"/>
              </w:rPr>
              <w:t xml:space="preserve">−0.129</w:t>
            </w:r>
          </w:p>
        </w:tc>
      </w:tr>
      <w:tr>
        <w:tc>
          <w:tcPr/>
          <w:p>
            <w:pPr>
              <w:pStyle w:val="Compact"/>
              <w:spacing w:before="0" w:after="0" w:line="240" w:lineRule="auto"/>
              <w:ind w:firstLine="0" w:left="0"/>
            </w:pPr>
            <w:r>
              <w:rPr>
                <w:sz w:val="20"/>
                <w:szCs w:val="20"/>
              </w:rPr>
              <w:t xml:space="preserve">2</w:t>
            </w:r>
          </w:p>
        </w:tc>
        <w:tc>
          <w:tcPr/>
          <w:p>
            <w:pPr>
              <w:pStyle w:val="Compact"/>
              <w:spacing w:before="0" w:after="0" w:line="240" w:lineRule="auto"/>
              <w:ind w:firstLine="0" w:left="0"/>
            </w:pPr>
            <w:r>
              <w:rPr>
                <w:sz w:val="20"/>
                <w:szCs w:val="20"/>
              </w:rPr>
              <w:t xml:space="preserve">−0.028</w:t>
            </w:r>
          </w:p>
        </w:tc>
        <w:tc>
          <w:tcPr/>
          <w:p>
            <w:pPr>
              <w:pStyle w:val="Compact"/>
              <w:spacing w:before="0" w:after="0" w:line="240" w:lineRule="auto"/>
              <w:ind w:firstLine="0" w:left="0"/>
            </w:pPr>
            <w:r>
              <w:rPr>
                <w:sz w:val="20"/>
                <w:szCs w:val="20"/>
              </w:rPr>
              <w:t xml:space="preserve">0.012</w:t>
            </w:r>
          </w:p>
        </w:tc>
        <w:tc>
          <w:tcPr/>
          <w:p>
            <w:pPr>
              <w:pStyle w:val="Compact"/>
              <w:spacing w:before="0" w:after="0" w:line="240" w:lineRule="auto"/>
              <w:ind w:firstLine="0" w:left="0"/>
            </w:pPr>
            <w:r>
              <w:rPr>
                <w:sz w:val="20"/>
                <w:szCs w:val="20"/>
              </w:rPr>
              <w:t xml:space="preserve">−0.057</w:t>
            </w:r>
          </w:p>
        </w:tc>
      </w:tr>
      <w:tr>
        <w:tc>
          <w:tcPr/>
          <w:p>
            <w:pPr>
              <w:pStyle w:val="Compact"/>
              <w:spacing w:before="0" w:after="0" w:line="240" w:lineRule="auto"/>
              <w:ind w:firstLine="0" w:left="0"/>
            </w:pPr>
            <w:r>
              <w:rPr>
                <w:sz w:val="20"/>
                <w:szCs w:val="20"/>
              </w:rPr>
              <w:t xml:space="preserve">3</w:t>
            </w:r>
          </w:p>
        </w:tc>
        <w:tc>
          <w:tcPr/>
          <w:p>
            <w:pPr>
              <w:pStyle w:val="Compact"/>
              <w:spacing w:before="0" w:after="0" w:line="240" w:lineRule="auto"/>
              <w:ind w:firstLine="0" w:left="0"/>
            </w:pPr>
            <w:r>
              <w:rPr>
                <w:sz w:val="20"/>
                <w:szCs w:val="20"/>
              </w:rPr>
              <w:t xml:space="preserve">−0.058</w:t>
            </w:r>
          </w:p>
        </w:tc>
        <w:tc>
          <w:tcPr/>
          <w:p>
            <w:pPr>
              <w:pStyle w:val="Compact"/>
              <w:spacing w:before="0" w:after="0" w:line="240" w:lineRule="auto"/>
              <w:ind w:firstLine="0" w:left="0"/>
            </w:pPr>
            <w:r>
              <w:rPr>
                <w:sz w:val="20"/>
                <w:szCs w:val="20"/>
              </w:rPr>
              <w:t xml:space="preserve">−0.023</w:t>
            </w:r>
          </w:p>
        </w:tc>
        <w:tc>
          <w:tcPr/>
          <w:p>
            <w:pPr>
              <w:pStyle w:val="Compact"/>
              <w:spacing w:before="0" w:after="0" w:line="240" w:lineRule="auto"/>
              <w:ind w:firstLine="0" w:left="0"/>
            </w:pPr>
            <w:r>
              <w:rPr>
                <w:sz w:val="20"/>
                <w:szCs w:val="20"/>
              </w:rPr>
              <w:t xml:space="preserve">−0.030</w:t>
            </w:r>
          </w:p>
        </w:tc>
      </w:tr>
      <w:tr>
        <w:tc>
          <w:tcPr/>
          <w:p>
            <w:pPr>
              <w:pStyle w:val="Compact"/>
              <w:spacing w:before="0" w:after="0" w:line="240" w:lineRule="auto"/>
              <w:ind w:firstLine="0" w:left="0"/>
            </w:pPr>
            <w:r>
              <w:rPr>
                <w:sz w:val="20"/>
                <w:szCs w:val="20"/>
              </w:rPr>
              <w:t xml:space="preserve">4</w:t>
            </w:r>
          </w:p>
        </w:tc>
        <w:tc>
          <w:tcPr/>
          <w:p>
            <w:pPr>
              <w:pStyle w:val="Compact"/>
              <w:spacing w:before="0" w:after="0" w:line="240" w:lineRule="auto"/>
              <w:ind w:firstLine="0" w:left="0"/>
            </w:pPr>
            <w:r>
              <w:rPr>
                <w:sz w:val="20"/>
                <w:szCs w:val="20"/>
              </w:rPr>
              <w:t xml:space="preserve">0.060</w:t>
            </w:r>
          </w:p>
        </w:tc>
        <w:tc>
          <w:tcPr/>
          <w:p>
            <w:pPr>
              <w:pStyle w:val="Compact"/>
              <w:spacing w:before="0" w:after="0" w:line="240" w:lineRule="auto"/>
              <w:ind w:firstLine="0" w:left="0"/>
            </w:pPr>
            <w:r>
              <w:rPr>
                <w:sz w:val="20"/>
                <w:szCs w:val="20"/>
              </w:rPr>
              <w:t xml:space="preserve">0.036</w:t>
            </w:r>
          </w:p>
        </w:tc>
        <w:tc>
          <w:tcPr/>
          <w:p>
            <w:pPr>
              <w:pStyle w:val="Compact"/>
              <w:spacing w:before="0" w:after="0" w:line="240" w:lineRule="auto"/>
              <w:ind w:firstLine="0" w:left="0"/>
            </w:pPr>
            <w:r>
              <w:rPr>
                <w:sz w:val="20"/>
                <w:szCs w:val="20"/>
              </w:rPr>
              <w:t xml:space="preserve">0.010</w:t>
            </w:r>
          </w:p>
        </w:tc>
      </w:tr>
      <w:tr>
        <w:tc>
          <w:tcPr/>
          <w:p>
            <w:pPr>
              <w:pStyle w:val="Compact"/>
              <w:spacing w:before="0" w:after="0" w:line="240" w:lineRule="auto"/>
              <w:ind w:firstLine="0" w:left="0"/>
            </w:pPr>
            <w:r>
              <w:rPr>
                <w:sz w:val="20"/>
                <w:szCs w:val="20"/>
              </w:rPr>
              <w:t xml:space="preserve">5</w:t>
            </w:r>
          </w:p>
        </w:tc>
        <w:tc>
          <w:tcPr/>
          <w:p>
            <w:pPr>
              <w:pStyle w:val="Compact"/>
              <w:spacing w:before="0" w:after="0" w:line="240" w:lineRule="auto"/>
              <w:ind w:firstLine="0" w:left="0"/>
            </w:pPr>
            <w:r>
              <w:rPr>
                <w:sz w:val="20"/>
                <w:szCs w:val="20"/>
              </w:rPr>
              <w:t xml:space="preserve">0.168</w:t>
            </w:r>
          </w:p>
        </w:tc>
        <w:tc>
          <w:tcPr/>
          <w:p>
            <w:pPr>
              <w:pStyle w:val="Compact"/>
              <w:spacing w:before="0" w:after="0" w:line="240" w:lineRule="auto"/>
              <w:ind w:firstLine="0" w:left="0"/>
            </w:pPr>
            <w:r>
              <w:rPr>
                <w:sz w:val="20"/>
                <w:szCs w:val="20"/>
              </w:rPr>
              <w:t xml:space="preserve">0.092</w:t>
            </w:r>
          </w:p>
        </w:tc>
        <w:tc>
          <w:tcPr/>
          <w:p>
            <w:pPr>
              <w:pStyle w:val="Compact"/>
              <w:spacing w:before="0" w:after="0" w:line="240" w:lineRule="auto"/>
              <w:ind w:firstLine="0" w:left="0"/>
            </w:pPr>
            <w:r>
              <w:rPr>
                <w:sz w:val="20"/>
                <w:szCs w:val="20"/>
              </w:rPr>
              <w:t xml:space="preserve">0.042</w:t>
            </w:r>
          </w:p>
        </w:tc>
      </w:tr>
      <w:tr>
        <w:tc>
          <w:tcPr/>
          <w:p>
            <w:pPr>
              <w:pStyle w:val="Compact"/>
              <w:spacing w:before="0" w:after="0" w:line="240" w:lineRule="auto"/>
              <w:ind w:firstLine="0" w:left="0"/>
            </w:pPr>
            <w:r>
              <w:rPr>
                <w:sz w:val="20"/>
                <w:szCs w:val="20"/>
              </w:rPr>
              <w:t xml:space="preserve">6</w:t>
            </w:r>
          </w:p>
        </w:tc>
        <w:tc>
          <w:tcPr/>
          <w:p>
            <w:pPr>
              <w:pStyle w:val="Compact"/>
              <w:spacing w:before="0" w:after="0" w:line="240" w:lineRule="auto"/>
              <w:ind w:firstLine="0" w:left="0"/>
            </w:pPr>
            <w:r>
              <w:rPr>
                <w:sz w:val="20"/>
                <w:szCs w:val="20"/>
              </w:rPr>
              <w:t xml:space="preserve">0.166</w:t>
            </w:r>
          </w:p>
        </w:tc>
        <w:tc>
          <w:tcPr/>
          <w:p>
            <w:pPr>
              <w:pStyle w:val="Compact"/>
              <w:spacing w:before="0" w:after="0" w:line="240" w:lineRule="auto"/>
              <w:ind w:firstLine="0" w:left="0"/>
            </w:pPr>
            <w:r>
              <w:rPr>
                <w:sz w:val="20"/>
                <w:szCs w:val="20"/>
              </w:rPr>
              <w:t xml:space="preserve">0.139</w:t>
            </w:r>
          </w:p>
        </w:tc>
        <w:tc>
          <w:tcPr/>
          <w:p>
            <w:pPr>
              <w:pStyle w:val="Compact"/>
              <w:spacing w:before="0" w:after="0" w:line="240" w:lineRule="auto"/>
              <w:ind w:firstLine="0" w:left="0"/>
            </w:pPr>
            <w:r>
              <w:rPr>
                <w:sz w:val="20"/>
                <w:szCs w:val="20"/>
              </w:rPr>
              <w:t xml:space="preserve">−0.048</w:t>
            </w:r>
          </w:p>
        </w:tc>
      </w:tr>
      <w:tr>
        <w:tc>
          <w:tcPr/>
          <w:p>
            <w:pPr>
              <w:pStyle w:val="Compact"/>
              <w:spacing w:before="0" w:after="0" w:line="240" w:lineRule="auto"/>
              <w:ind w:firstLine="0" w:left="0"/>
            </w:pPr>
            <w:r>
              <w:rPr>
                <w:sz w:val="20"/>
                <w:szCs w:val="20"/>
              </w:rPr>
              <w:t xml:space="preserve">7</w:t>
            </w:r>
          </w:p>
        </w:tc>
        <w:tc>
          <w:tcPr/>
          <w:p>
            <w:pPr>
              <w:pStyle w:val="Compact"/>
              <w:spacing w:before="0" w:after="0" w:line="240" w:lineRule="auto"/>
              <w:ind w:firstLine="0" w:left="0"/>
            </w:pPr>
            <w:r>
              <w:rPr>
                <w:sz w:val="20"/>
                <w:szCs w:val="20"/>
              </w:rPr>
              <w:t xml:space="preserve">0.128</w:t>
            </w:r>
          </w:p>
        </w:tc>
        <w:tc>
          <w:tcPr/>
          <w:p>
            <w:pPr>
              <w:pStyle w:val="Compact"/>
              <w:spacing w:before="0" w:after="0" w:line="240" w:lineRule="auto"/>
              <w:ind w:firstLine="0" w:left="0"/>
            </w:pPr>
            <w:r>
              <w:rPr>
                <w:sz w:val="20"/>
                <w:szCs w:val="20"/>
              </w:rPr>
              <w:t xml:space="preserve">0.127</w:t>
            </w:r>
          </w:p>
        </w:tc>
        <w:tc>
          <w:tcPr/>
          <w:p>
            <w:pPr>
              <w:pStyle w:val="Compact"/>
              <w:spacing w:before="0" w:after="0" w:line="240" w:lineRule="auto"/>
              <w:ind w:firstLine="0" w:left="0"/>
            </w:pPr>
            <w:r>
              <w:rPr>
                <w:sz w:val="20"/>
                <w:szCs w:val="20"/>
              </w:rPr>
              <w:t xml:space="preserve">−0.075</w:t>
            </w:r>
          </w:p>
        </w:tc>
      </w:tr>
      <w:tr>
        <w:tc>
          <w:tcPr/>
          <w:p>
            <w:pPr>
              <w:pStyle w:val="Compact"/>
              <w:spacing w:before="0" w:after="0" w:line="240" w:lineRule="auto"/>
              <w:ind w:firstLine="0" w:left="0"/>
            </w:pPr>
            <w:r>
              <w:rPr>
                <w:sz w:val="20"/>
                <w:szCs w:val="20"/>
              </w:rPr>
              <w:t xml:space="preserve">8</w:t>
            </w:r>
          </w:p>
        </w:tc>
        <w:tc>
          <w:tcPr/>
          <w:p>
            <w:pPr>
              <w:pStyle w:val="Compact"/>
              <w:spacing w:before="0" w:after="0" w:line="240" w:lineRule="auto"/>
              <w:ind w:firstLine="0" w:left="0"/>
            </w:pPr>
            <w:r>
              <w:rPr>
                <w:sz w:val="20"/>
                <w:szCs w:val="20"/>
              </w:rPr>
              <w:t xml:space="preserve">0.069</w:t>
            </w:r>
          </w:p>
        </w:tc>
        <w:tc>
          <w:tcPr/>
          <w:p>
            <w:pPr>
              <w:pStyle w:val="Compact"/>
              <w:spacing w:before="0" w:after="0" w:line="240" w:lineRule="auto"/>
              <w:ind w:firstLine="0" w:left="0"/>
            </w:pPr>
            <w:r>
              <w:rPr>
                <w:sz w:val="20"/>
                <w:szCs w:val="20"/>
              </w:rPr>
              <w:t xml:space="preserve">0.093</w:t>
            </w:r>
          </w:p>
        </w:tc>
        <w:tc>
          <w:tcPr/>
          <w:p>
            <w:pPr>
              <w:pStyle w:val="Compact"/>
              <w:spacing w:before="0" w:after="0" w:line="240" w:lineRule="auto"/>
              <w:ind w:firstLine="0" w:left="0"/>
            </w:pPr>
            <w:r>
              <w:rPr>
                <w:sz w:val="20"/>
                <w:szCs w:val="20"/>
              </w:rPr>
              <w:t xml:space="preserve">−0.085</w:t>
            </w:r>
          </w:p>
        </w:tc>
      </w:tr>
      <w:tr>
        <w:tc>
          <w:tcPr/>
          <w:p>
            <w:pPr>
              <w:pStyle w:val="Compact"/>
              <w:spacing w:before="0" w:after="0" w:line="240" w:lineRule="auto"/>
              <w:ind w:firstLine="0" w:left="0"/>
            </w:pPr>
            <w:r>
              <w:rPr>
                <w:sz w:val="20"/>
                <w:szCs w:val="20"/>
              </w:rPr>
              <w:t xml:space="preserve">9</w:t>
            </w:r>
          </w:p>
        </w:tc>
        <w:tc>
          <w:tcPr/>
          <w:p>
            <w:pPr>
              <w:pStyle w:val="Compact"/>
              <w:spacing w:before="0" w:after="0" w:line="240" w:lineRule="auto"/>
              <w:ind w:firstLine="0" w:left="0"/>
            </w:pPr>
            <w:r>
              <w:rPr>
                <w:sz w:val="20"/>
                <w:szCs w:val="20"/>
              </w:rPr>
              <w:t xml:space="preserve">0.024</w:t>
            </w:r>
          </w:p>
        </w:tc>
        <w:tc>
          <w:tcPr/>
          <w:p>
            <w:pPr>
              <w:pStyle w:val="Compact"/>
              <w:spacing w:before="0" w:after="0" w:line="240" w:lineRule="auto"/>
              <w:ind w:firstLine="0" w:left="0"/>
            </w:pPr>
            <w:r>
              <w:rPr>
                <w:sz w:val="20"/>
                <w:szCs w:val="20"/>
              </w:rPr>
              <w:t xml:space="preserve">0.026</w:t>
            </w:r>
          </w:p>
        </w:tc>
        <w:tc>
          <w:tcPr/>
          <w:p>
            <w:pPr>
              <w:pStyle w:val="Compact"/>
              <w:spacing w:before="0" w:after="0" w:line="240" w:lineRule="auto"/>
              <w:ind w:firstLine="0" w:left="0"/>
            </w:pPr>
            <w:r>
              <w:rPr>
                <w:sz w:val="20"/>
                <w:szCs w:val="20"/>
              </w:rPr>
              <w:t xml:space="preserve">−0.019</w:t>
            </w:r>
          </w:p>
        </w:tc>
      </w:tr>
      <w:tr>
        <w:tc>
          <w:tcPr/>
          <w:p>
            <w:pPr>
              <w:pStyle w:val="Compact"/>
              <w:spacing w:before="0" w:after="0" w:line="240" w:lineRule="auto"/>
              <w:ind w:firstLine="0" w:left="0"/>
            </w:pPr>
            <w:r>
              <w:rPr>
                <w:sz w:val="20"/>
                <w:szCs w:val="20"/>
              </w:rPr>
              <w:t xml:space="preserve">10</w:t>
            </w:r>
          </w:p>
        </w:tc>
        <w:tc>
          <w:tcPr/>
          <w:p>
            <w:pPr>
              <w:pStyle w:val="Compact"/>
              <w:spacing w:before="0" w:after="0" w:line="240" w:lineRule="auto"/>
              <w:ind w:firstLine="0" w:left="0"/>
            </w:pPr>
            <w:r>
              <w:rPr>
                <w:sz w:val="20"/>
                <w:szCs w:val="20"/>
              </w:rPr>
              <w:t xml:space="preserve">0.061</w:t>
            </w:r>
          </w:p>
        </w:tc>
        <w:tc>
          <w:tcPr/>
          <w:p>
            <w:pPr>
              <w:pStyle w:val="Compact"/>
              <w:spacing w:before="0" w:after="0" w:line="240" w:lineRule="auto"/>
              <w:ind w:firstLine="0" w:left="0"/>
            </w:pPr>
            <w:r>
              <w:rPr>
                <w:sz w:val="20"/>
                <w:szCs w:val="20"/>
              </w:rPr>
              <w:t xml:space="preserve">0.066</w:t>
            </w:r>
          </w:p>
        </w:tc>
        <w:tc>
          <w:tcPr/>
          <w:p>
            <w:pPr>
              <w:pStyle w:val="Compact"/>
              <w:spacing w:before="0" w:after="0" w:line="240" w:lineRule="auto"/>
              <w:ind w:firstLine="0" w:left="0"/>
            </w:pPr>
            <w:r>
              <w:rPr>
                <w:sz w:val="20"/>
                <w:szCs w:val="20"/>
              </w:rPr>
              <w:t xml:space="preserve">−0.046</w:t>
            </w:r>
          </w:p>
        </w:tc>
      </w:tr>
      <w:tr>
        <w:tc>
          <w:tcPr/>
          <w:p>
            <w:pPr>
              <w:pStyle w:val="Compact"/>
              <w:spacing w:before="0" w:after="0" w:line="240" w:lineRule="auto"/>
              <w:ind w:firstLine="0" w:left="0"/>
            </w:pPr>
            <w:r>
              <w:rPr>
                <w:sz w:val="20"/>
                <w:szCs w:val="20"/>
              </w:rPr>
              <w:t xml:space="preserve">11</w:t>
            </w:r>
          </w:p>
        </w:tc>
        <w:tc>
          <w:tcPr/>
          <w:p>
            <w:pPr>
              <w:pStyle w:val="Compact"/>
              <w:spacing w:before="0" w:after="0" w:line="240" w:lineRule="auto"/>
              <w:ind w:firstLine="0" w:left="0"/>
            </w:pPr>
            <w:r>
              <w:rPr>
                <w:sz w:val="20"/>
                <w:szCs w:val="20"/>
              </w:rPr>
              <w:t xml:space="preserve">0.015</w:t>
            </w:r>
          </w:p>
        </w:tc>
        <w:tc>
          <w:tcPr/>
          <w:p>
            <w:pPr>
              <w:pStyle w:val="Compact"/>
              <w:spacing w:before="0" w:after="0" w:line="240" w:lineRule="auto"/>
              <w:ind w:firstLine="0" w:left="0"/>
            </w:pPr>
            <w:r>
              <w:rPr>
                <w:sz w:val="20"/>
                <w:szCs w:val="20"/>
              </w:rPr>
              <w:t xml:space="preserve">0.009</w:t>
            </w:r>
          </w:p>
        </w:tc>
        <w:tc>
          <w:tcPr/>
          <w:p>
            <w:pPr>
              <w:pStyle w:val="Compact"/>
              <w:spacing w:before="0" w:after="0" w:line="240" w:lineRule="auto"/>
              <w:ind w:firstLine="0" w:left="0"/>
            </w:pPr>
            <w:r>
              <w:rPr>
                <w:sz w:val="20"/>
                <w:szCs w:val="20"/>
              </w:rPr>
              <w:t xml:space="preserve">0.002</w:t>
            </w:r>
          </w:p>
        </w:tc>
      </w:tr>
      <w:tr>
        <w:tc>
          <w:tcPr/>
          <w:p>
            <w:pPr>
              <w:pStyle w:val="Compact"/>
              <w:spacing w:before="0" w:after="0" w:line="240" w:lineRule="auto"/>
              <w:ind w:firstLine="0" w:left="0"/>
            </w:pPr>
            <w:r>
              <w:rPr>
                <w:sz w:val="20"/>
                <w:szCs w:val="20"/>
              </w:rPr>
              <w:t xml:space="preserve">12</w:t>
            </w:r>
          </w:p>
        </w:tc>
        <w:tc>
          <w:tcPr/>
          <w:p>
            <w:pPr>
              <w:pStyle w:val="Compact"/>
              <w:spacing w:before="0" w:after="0" w:line="240" w:lineRule="auto"/>
              <w:ind w:firstLine="0" w:left="0"/>
            </w:pPr>
            <w:r>
              <w:rPr>
                <w:sz w:val="20"/>
                <w:szCs w:val="20"/>
              </w:rPr>
              <w:t xml:space="preserve">−0.016</w:t>
            </w:r>
          </w:p>
        </w:tc>
        <w:tc>
          <w:tcPr/>
          <w:p>
            <w:pPr>
              <w:pStyle w:val="Compact"/>
              <w:spacing w:before="0" w:after="0" w:line="240" w:lineRule="auto"/>
              <w:ind w:firstLine="0" w:left="0"/>
            </w:pPr>
            <w:r>
              <w:rPr>
                <w:sz w:val="20"/>
                <w:szCs w:val="20"/>
              </w:rPr>
              <w:t xml:space="preserve">−0.025</w:t>
            </w:r>
          </w:p>
        </w:tc>
        <w:tc>
          <w:tcPr/>
          <w:p>
            <w:pPr>
              <w:pStyle w:val="Compact"/>
              <w:spacing w:before="0" w:after="0" w:line="240" w:lineRule="auto"/>
              <w:ind w:firstLine="0" w:left="0"/>
            </w:pPr>
            <w:r>
              <w:rPr>
                <w:sz w:val="20"/>
                <w:szCs w:val="20"/>
              </w:rPr>
              <w:t xml:space="preserve">0.026</w:t>
            </w:r>
          </w:p>
        </w:tc>
      </w:tr>
    </w:tbl>
    <w:p>
      <w:pPr>
        <w:pStyle w:val="CaptionedFigure"/>
      </w:pPr>
      <w:r>
        <w:drawing>
          <wp:inline>
            <wp:extent cx="5646420" cy="3371185"/>
            <wp:effectExtent b="0" l="0" r="0" t="0"/>
            <wp:docPr descr="Figure B4. Average inflation by group, 2001–2025, and cumulative change in the gap, by region." title="" id="176" name="Picture"/>
            <a:graphic>
              <a:graphicData uri="http://schemas.openxmlformats.org/drawingml/2006/picture">
                <pic:pic>
                  <pic:nvPicPr>
                    <pic:cNvPr descr="../output/figures/figA4_regional.png" id="177" name="Picture"/>
                    <pic:cNvPicPr>
                      <a:picLocks noChangeArrowheads="1" noChangeAspect="1"/>
                    </pic:cNvPicPr>
                  </pic:nvPicPr>
                  <pic:blipFill>
                    <a:blip r:embed="rId175"/>
                    <a:stretch>
                      <a:fillRect/>
                    </a:stretch>
                  </pic:blipFill>
                  <pic:spPr bwMode="auto">
                    <a:xfrm>
                      <a:off x="0" y="0"/>
                      <a:ext cx="5646420" cy="3371185"/>
                    </a:xfrm>
                    <a:prstGeom prst="rect">
                      <a:avLst/>
                    </a:prstGeom>
                    <a:noFill/>
                    <a:ln w="9525">
                      <a:noFill/>
                      <a:headEnd/>
                      <a:tailEnd/>
                    </a:ln>
                  </pic:spPr>
                </pic:pic>
              </a:graphicData>
            </a:graphic>
          </wp:inline>
        </w:drawing>
      </w:r>
    </w:p>
    <w:p>
      <w:pPr>
        <w:pStyle w:val="ImageCaption"/>
      </w:pPr>
      <w:r>
        <w:t xml:space="preserve">Figure B4. Average inflation by group, 2001–2025, and cumulative change in the gap, by region.</w:t>
      </w:r>
    </w:p>
    <w:bookmarkEnd w:id="178"/>
    <w:bookmarkStart w:id="200" w:name="appendix-c.-data-appendix"/>
    <w:p>
      <w:pPr>
        <w:pStyle w:val="Heading1"/>
      </w:pPr>
      <w:r>
        <w:t xml:space="preserve">Appendix C. Data appendix</w:t>
      </w:r>
    </w:p>
    <w:p>
      <w:pPr>
        <w:pStyle w:val="FirstParagraph"/>
      </w:pPr>
      <w:r>
        <w:t xml:space="preserve">This appendix gives what is needed to reproduce every figure and table. The replication package (the repository</w:t>
      </w:r>
      <w:r>
        <w:t xml:space="preserve"> </w:t>
      </w:r>
      <w:hyperlink r:id="rId179">
        <w:r>
          <w:rPr>
            <w:rStyle w:val="Hyperlink"/>
          </w:rPr>
          <w:t xml:space="preserve">https://github.com/liancataytayjk-coder/oil-shock-distribution</w:t>
        </w:r>
      </w:hyperlink>
      <w:r>
        <w:t xml:space="preserve">, also supplied as a zip file) contains the raw files exactly as downloaded, the cleaned data as CSV files, the full code in Python (</w:t>
      </w:r>
      <w:r>
        <w:rPr>
          <w:rStyle w:val="VerbatimChar"/>
        </w:rPr>
        <w:t xml:space="preserve">code/python/</w:t>
      </w:r>
      <w:r>
        <w:t xml:space="preserve">) and Stata 17 (</w:t>
      </w:r>
      <w:r>
        <w:rPr>
          <w:rStyle w:val="VerbatimChar"/>
        </w:rPr>
        <w:t xml:space="preserve">code/stata/</w:t>
      </w:r>
      <w:r>
        <w:t xml:space="preserve">), and a codebook spreadsheet (</w:t>
      </w:r>
      <w:r>
        <w:rPr>
          <w:rStyle w:val="VerbatimChar"/>
        </w:rPr>
        <w:t xml:space="preserve">codebook/codebook.xlsx</w:t>
      </w:r>
      <w:r>
        <w:t xml:space="preserve">) that documents every raw and cleaned variable: name, label, units, source and link, transformation and coverage. With Python 3.11, the command</w:t>
      </w:r>
      <w:r>
        <w:t xml:space="preserve"> </w:t>
      </w:r>
      <w:r>
        <w:rPr>
          <w:rStyle w:val="VerbatimChar"/>
        </w:rPr>
        <w:t xml:space="preserve">./run_all.sh</w:t>
      </w:r>
      <w:r>
        <w:t xml:space="preserve"> </w:t>
      </w:r>
      <w:r>
        <w:t xml:space="preserve">rebuilds everything from the raw files; in Stata, running</w:t>
      </w:r>
      <w:r>
        <w:t xml:space="preserve"> </w:t>
      </w:r>
      <w:r>
        <w:rPr>
          <w:rStyle w:val="VerbatimChar"/>
        </w:rPr>
        <w:t xml:space="preserve">code/stata/00_master.do</w:t>
      </w:r>
      <w:r>
        <w:t xml:space="preserve"> </w:t>
      </w:r>
      <w:r>
        <w:t xml:space="preserve">does the same and compares its key results with the Python results. PSA tables are read through the OpenSTAT interface at the addresses below; opening an address in a browser shows the table’s description, and the download script sends the query that returns the data. All files were downloaded on 4 October 2026.</w:t>
      </w:r>
    </w:p>
    <w:bookmarkStart w:id="198" w:name="c.1-data-sources"/>
    <w:p>
      <w:pPr>
        <w:pStyle w:val="Heading2"/>
      </w:pPr>
      <w:r>
        <w:t xml:space="preserve">C.1 Data sources</w:t>
      </w:r>
    </w:p>
    <w:p>
      <w:pPr>
        <w:pStyle w:val="FirstParagraph"/>
      </w:pPr>
      <w:r>
        <w:rPr>
          <w:b/>
          <w:bCs/>
        </w:rPr>
        <w:t xml:space="preserve">S1. CPI for All Income Households, 2018 = 100, old geographic code (17 regions).</w:t>
      </w:r>
      <w:r>
        <w:t xml:space="preserve"> </w:t>
      </w:r>
      <w:r>
        <w:t xml:space="preserve">Philippine Statistics Authority (PSA), OpenSTAT. Used for: All-income CPI, its divisions and sub-indices, and the fuel index 07.2.2 (Jan 1994-Dec 2025); 2018 basket weights. Coverage: Jan 1994-Dec 2025; Philippines and 17 regions. Files:</w:t>
      </w:r>
      <w:r>
        <w:t xml:space="preserve"> </w:t>
      </w:r>
      <w:r>
        <w:rPr>
          <w:rStyle w:val="VerbatimChar"/>
        </w:rPr>
        <w:t xml:space="preserve">psa/cpi_all_2018old_backcast_1994_2017.csv</w:t>
      </w:r>
      <w:r>
        <w:t xml:space="preserve">,</w:t>
      </w:r>
      <w:r>
        <w:t xml:space="preserve"> </w:t>
      </w:r>
      <w:r>
        <w:rPr>
          <w:rStyle w:val="VerbatimChar"/>
        </w:rPr>
        <w:t xml:space="preserve">psa/cpi_all_2018old_2018_2025.csv</w:t>
      </w:r>
      <w:r>
        <w:t xml:space="preserve">,</w:t>
      </w:r>
      <w:r>
        <w:t xml:space="preserve"> </w:t>
      </w:r>
      <w:r>
        <w:rPr>
          <w:rStyle w:val="VerbatimChar"/>
        </w:rPr>
        <w:t xml:space="preserve">psa/cpi_all_2018old_weights.csv</w:t>
      </w:r>
      <w:r>
        <w:t xml:space="preserve">. Link:</w:t>
      </w:r>
      <w:r>
        <w:t xml:space="preserve"> </w:t>
      </w:r>
      <w:hyperlink r:id="rId180">
        <w:r>
          <w:rPr>
            <w:rStyle w:val="Hyperlink"/>
          </w:rPr>
          <w:t xml:space="preserve">https://openstat.psa.gov.ph/PXWeb/api/v1/en/DB/2M/PI/CPI/2018/0012M4ACP15.px</w:t>
        </w:r>
      </w:hyperlink>
      <w:r>
        <w:t xml:space="preserve">;</w:t>
      </w:r>
      <w:r>
        <w:t xml:space="preserve"> </w:t>
      </w:r>
      <w:hyperlink r:id="rId181">
        <w:r>
          <w:rPr>
            <w:rStyle w:val="Hyperlink"/>
          </w:rPr>
          <w:t xml:space="preserve">https://openstat.psa.gov.ph/PXWeb/api/v1/en/DB/2M/PI/CPI/2018/0012M4ACP09.px</w:t>
        </w:r>
      </w:hyperlink>
      <w:r>
        <w:t xml:space="preserve">;</w:t>
      </w:r>
      <w:r>
        <w:t xml:space="preserve"> </w:t>
      </w:r>
      <w:hyperlink r:id="rId182">
        <w:r>
          <w:rPr>
            <w:rStyle w:val="Hyperlink"/>
          </w:rPr>
          <w:t xml:space="preserve">https://openstat.psa.gov.ph/PXWeb/api/v1/en/DB/2M/PI/CPI/2018/0012M4ACP12.px</w:t>
        </w:r>
      </w:hyperlink>
    </w:p>
    <w:p>
      <w:pPr>
        <w:pStyle w:val="BodyText"/>
      </w:pPr>
      <w:r>
        <w:rPr>
          <w:b/>
          <w:bCs/>
        </w:rPr>
        <w:t xml:space="preserve">S2. CPI for All Income Households, 2018 = 100, new geographic code (Negros Island Region separate).</w:t>
      </w:r>
      <w:r>
        <w:t xml:space="preserve"> </w:t>
      </w:r>
      <w:r>
        <w:t xml:space="preserve">PSA, OpenSTAT. Used for: Jan-Aug 2026 months (chained onto S1); gasoline index 07.2.2.2; 2018 weights for the 2026 decomposition. Coverage: Jan 2018-Aug 2026; Philippines, 17 regions and NIR. Files:</w:t>
      </w:r>
      <w:r>
        <w:t xml:space="preserve"> </w:t>
      </w:r>
      <w:r>
        <w:rPr>
          <w:rStyle w:val="VerbatimChar"/>
        </w:rPr>
        <w:t xml:space="preserve">psa/cpi_all_2018new_2018_2026.csv</w:t>
      </w:r>
      <w:r>
        <w:t xml:space="preserve">,</w:t>
      </w:r>
      <w:r>
        <w:t xml:space="preserve"> </w:t>
      </w:r>
      <w:r>
        <w:rPr>
          <w:rStyle w:val="VerbatimChar"/>
        </w:rPr>
        <w:t xml:space="preserve">psa/cpi_all_2018new_weights.csv</w:t>
      </w:r>
      <w:r>
        <w:t xml:space="preserve">. Link:</w:t>
      </w:r>
      <w:r>
        <w:t xml:space="preserve"> </w:t>
      </w:r>
      <w:hyperlink r:id="rId183">
        <w:r>
          <w:rPr>
            <w:rStyle w:val="Hyperlink"/>
          </w:rPr>
          <w:t xml:space="preserve">https://openstat.psa.gov.ph/PXWeb/api/v1/en/DB/2M/PI/CPI/2018NEW/0012M4ACP22.px</w:t>
        </w:r>
      </w:hyperlink>
      <w:r>
        <w:t xml:space="preserve">;</w:t>
      </w:r>
      <w:r>
        <w:t xml:space="preserve"> </w:t>
      </w:r>
      <w:hyperlink r:id="rId184">
        <w:r>
          <w:rPr>
            <w:rStyle w:val="Hyperlink"/>
          </w:rPr>
          <w:t xml:space="preserve">https://openstat.psa.gov.ph/PXWeb/api/v1/en/DB/2M/PI/CPI/2018NEW/0012M4ACP25.px</w:t>
        </w:r>
      </w:hyperlink>
    </w:p>
    <w:p>
      <w:pPr>
        <w:pStyle w:val="BodyText"/>
      </w:pPr>
      <w:r>
        <w:rPr>
          <w:b/>
          <w:bCs/>
        </w:rPr>
        <w:t xml:space="preserve">S3. CPI for the Bottom 30% Income Households, 2018 = 100, old geographic code.</w:t>
      </w:r>
      <w:r>
        <w:t xml:space="preserve"> </w:t>
      </w:r>
      <w:r>
        <w:t xml:space="preserve">PSA, OpenSTAT. Used for: Bottom-30% CPI (all items from 2000; divisions and sub-indices from 2012); 2018 basket weights. Coverage: Jan 2000-Dec 2025; Philippines and 17 regions. Files:</w:t>
      </w:r>
      <w:r>
        <w:t xml:space="preserve"> </w:t>
      </w:r>
      <w:r>
        <w:rPr>
          <w:rStyle w:val="VerbatimChar"/>
        </w:rPr>
        <w:t xml:space="preserve">psa/cpi_b30_2018old_backcast_allitems_2000_2011.csv</w:t>
      </w:r>
      <w:r>
        <w:t xml:space="preserve">,</w:t>
      </w:r>
      <w:r>
        <w:t xml:space="preserve"> </w:t>
      </w:r>
      <w:r>
        <w:rPr>
          <w:rStyle w:val="VerbatimChar"/>
        </w:rPr>
        <w:t xml:space="preserve">psa/cpi_b30_2018old_backcast_2012_2017.csv</w:t>
      </w:r>
      <w:r>
        <w:t xml:space="preserve">,</w:t>
      </w:r>
      <w:r>
        <w:t xml:space="preserve"> </w:t>
      </w:r>
      <w:r>
        <w:rPr>
          <w:rStyle w:val="VerbatimChar"/>
        </w:rPr>
        <w:t xml:space="preserve">psa/cpi_b30_2018old_2018_2025.csv</w:t>
      </w:r>
      <w:r>
        <w:t xml:space="preserve">,</w:t>
      </w:r>
      <w:r>
        <w:t xml:space="preserve"> </w:t>
      </w:r>
      <w:r>
        <w:rPr>
          <w:rStyle w:val="VerbatimChar"/>
        </w:rPr>
        <w:t xml:space="preserve">psa/cpi_b30_2018old_weights.csv</w:t>
      </w:r>
      <w:r>
        <w:t xml:space="preserve">. Link:</w:t>
      </w:r>
      <w:r>
        <w:t xml:space="preserve"> </w:t>
      </w:r>
      <w:hyperlink r:id="rId185">
        <w:r>
          <w:rPr>
            <w:rStyle w:val="Hyperlink"/>
          </w:rPr>
          <w:t xml:space="preserve">https://openstat.psa.gov.ph/PXWeb/api/v1/en/DB/2M/PI/BIH/2018/0022M4ABOT5.px</w:t>
        </w:r>
      </w:hyperlink>
      <w:r>
        <w:t xml:space="preserve">;</w:t>
      </w:r>
      <w:r>
        <w:t xml:space="preserve"> </w:t>
      </w:r>
      <w:hyperlink r:id="rId186">
        <w:r>
          <w:rPr>
            <w:rStyle w:val="Hyperlink"/>
          </w:rPr>
          <w:t xml:space="preserve">https://openstat.psa.gov.ph/PXWeb/api/v1/en/DB/2M/PI/BIH/2018/0022M4ABOT4.px</w:t>
        </w:r>
      </w:hyperlink>
      <w:r>
        <w:t xml:space="preserve">;</w:t>
      </w:r>
      <w:r>
        <w:t xml:space="preserve"> </w:t>
      </w:r>
      <w:hyperlink r:id="rId187">
        <w:r>
          <w:rPr>
            <w:rStyle w:val="Hyperlink"/>
          </w:rPr>
          <w:t xml:space="preserve">https://openstat.psa.gov.ph/PXWeb/api/v1/en/DB/2M/PI/BIH/2018/0022M4ABOT1.px</w:t>
        </w:r>
      </w:hyperlink>
      <w:r>
        <w:t xml:space="preserve">;</w:t>
      </w:r>
      <w:r>
        <w:t xml:space="preserve"> </w:t>
      </w:r>
      <w:hyperlink r:id="rId188">
        <w:r>
          <w:rPr>
            <w:rStyle w:val="Hyperlink"/>
          </w:rPr>
          <w:t xml:space="preserve">https://openstat.psa.gov.ph/PXWeb/api/v1/en/DB/2M/PI/BIH/2018/0022M4ABOT3.px</w:t>
        </w:r>
      </w:hyperlink>
    </w:p>
    <w:p>
      <w:pPr>
        <w:pStyle w:val="BodyText"/>
      </w:pPr>
      <w:r>
        <w:rPr>
          <w:b/>
          <w:bCs/>
        </w:rPr>
        <w:t xml:space="preserve">S4. CPI for the Bottom 30% Income Households, 2018 = 100, new geographic code.</w:t>
      </w:r>
      <w:r>
        <w:t xml:space="preserve"> </w:t>
      </w:r>
      <w:r>
        <w:t xml:space="preserve">PSA, OpenSTAT. Used for: Jan-Aug 2026 months (chained onto S3); 2018 weights for the 2026 decomposition. Coverage: Jan 2018-Aug 2026; Philippines, 17 regions and NIR. Files:</w:t>
      </w:r>
      <w:r>
        <w:t xml:space="preserve"> </w:t>
      </w:r>
      <w:r>
        <w:rPr>
          <w:rStyle w:val="VerbatimChar"/>
        </w:rPr>
        <w:t xml:space="preserve">psa/cpi_b30_2018new_2018_2026.csv</w:t>
      </w:r>
      <w:r>
        <w:t xml:space="preserve">,</w:t>
      </w:r>
      <w:r>
        <w:t xml:space="preserve"> </w:t>
      </w:r>
      <w:r>
        <w:rPr>
          <w:rStyle w:val="VerbatimChar"/>
        </w:rPr>
        <w:t xml:space="preserve">psa/cpi_b30_2018new_weights.csv</w:t>
      </w:r>
      <w:r>
        <w:t xml:space="preserve">. Link:</w:t>
      </w:r>
      <w:r>
        <w:t xml:space="preserve"> </w:t>
      </w:r>
      <w:hyperlink r:id="rId189">
        <w:r>
          <w:rPr>
            <w:rStyle w:val="Hyperlink"/>
          </w:rPr>
          <w:t xml:space="preserve">https://openstat.psa.gov.ph/PXWeb/api/v1/en/DB/2M/PI/BIH/2018NEW/0022M4ABIR1.px</w:t>
        </w:r>
      </w:hyperlink>
      <w:r>
        <w:t xml:space="preserve">;</w:t>
      </w:r>
      <w:r>
        <w:t xml:space="preserve"> </w:t>
      </w:r>
      <w:hyperlink r:id="rId190">
        <w:r>
          <w:rPr>
            <w:rStyle w:val="Hyperlink"/>
          </w:rPr>
          <w:t xml:space="preserve">https://openstat.psa.gov.ph/PXWeb/api/v1/en/DB/2M/PI/BIH/2018NEW/0022M4ABIR3.px</w:t>
        </w:r>
      </w:hyperlink>
    </w:p>
    <w:p>
      <w:pPr>
        <w:pStyle w:val="BodyText"/>
      </w:pPr>
      <w:r>
        <w:rPr>
          <w:b/>
          <w:bCs/>
        </w:rPr>
        <w:t xml:space="preserve">S5. Official poverty statistics by region: poverty incidence among population and annual per-capita poverty threshold.</w:t>
      </w:r>
      <w:r>
        <w:t xml:space="preserve"> </w:t>
      </w:r>
      <w:r>
        <w:t xml:space="preserve">PSA, OpenSTAT. Used for: Region groups (poverty 2018); poverty line for the peso cost (threshold 2023). Coverage: 2018, 2021, 2023; Philippines, regions and provinces. Files:</w:t>
      </w:r>
      <w:r>
        <w:t xml:space="preserve"> </w:t>
      </w:r>
      <w:r>
        <w:rPr>
          <w:rStyle w:val="VerbatimChar"/>
        </w:rPr>
        <w:t xml:space="preserve">psa/poverty_population_2018_2023.csv</w:t>
      </w:r>
      <w:r>
        <w:t xml:space="preserve">. Link:</w:t>
      </w:r>
      <w:r>
        <w:t xml:space="preserve"> </w:t>
      </w:r>
      <w:hyperlink r:id="rId191">
        <w:r>
          <w:rPr>
            <w:rStyle w:val="Hyperlink"/>
          </w:rPr>
          <w:t xml:space="preserve">https://openstat.psa.gov.ph/PXWeb/api/v1/en/DB/1F/FY/0031F3DF020.px</w:t>
        </w:r>
      </w:hyperlink>
    </w:p>
    <w:p>
      <w:pPr>
        <w:pStyle w:val="BodyText"/>
      </w:pPr>
      <w:r>
        <w:rPr>
          <w:b/>
          <w:bCs/>
        </w:rPr>
        <w:t xml:space="preserve">S6. Commodity Price Data (Pink Sheet), monthly.</w:t>
      </w:r>
      <w:r>
        <w:t xml:space="preserve"> </w:t>
      </w:r>
      <w:r>
        <w:t xml:space="preserve">World Bank. Used for: Dubai crude oil price, USD/barrel (robustness shock, with S8). Coverage: Jan 1960-Sep 2026. Files:</w:t>
      </w:r>
      <w:r>
        <w:t xml:space="preserve"> </w:t>
      </w:r>
      <w:r>
        <w:rPr>
          <w:rStyle w:val="VerbatimChar"/>
        </w:rPr>
        <w:t xml:space="preserve">wb/CMO-Historical-Data-Monthly.xlsx</w:t>
      </w:r>
      <w:r>
        <w:t xml:space="preserve">,</w:t>
      </w:r>
      <w:r>
        <w:t xml:space="preserve"> </w:t>
      </w:r>
      <w:r>
        <w:rPr>
          <w:rStyle w:val="VerbatimChar"/>
        </w:rPr>
        <w:t xml:space="preserve">extracts/wb_cmo_crude_monthly.csv</w:t>
      </w:r>
      <w:r>
        <w:t xml:space="preserve">. Link:</w:t>
      </w:r>
      <w:r>
        <w:t xml:space="preserve"> </w:t>
      </w:r>
      <w:hyperlink r:id="rId192">
        <w:r>
          <w:rPr>
            <w:rStyle w:val="Hyperlink"/>
          </w:rPr>
          <w:t xml:space="preserve">https://thedocs.worldbank.org/en/doc/74e8be41ceb20fa0da750cda2f6b9e4e-0050012026/related/CMO-Historical-Data-Monthly.xlsx</w:t>
        </w:r>
      </w:hyperlink>
    </w:p>
    <w:p>
      <w:pPr>
        <w:pStyle w:val="BodyText"/>
      </w:pPr>
      <w:r>
        <w:rPr>
          <w:b/>
          <w:bCs/>
        </w:rPr>
        <w:t xml:space="preserve">S7. Global Fuel Prices Database (April 2025 version).</w:t>
      </w:r>
      <w:r>
        <w:t xml:space="preserve"> </w:t>
      </w:r>
      <w:r>
        <w:t xml:space="preserve">World Bank. Used for: Manila regular gasoline (RON 91) pump price, PHP/litre: check of the fuel index; appendix robustness. Coverage: Philippines: Jan 2017-Mar 2025. Files:</w:t>
      </w:r>
      <w:r>
        <w:t xml:space="preserve"> </w:t>
      </w:r>
      <w:r>
        <w:rPr>
          <w:rStyle w:val="VerbatimChar"/>
        </w:rPr>
        <w:t xml:space="preserve">wb/Global_Fuel_Prices_Database.xlsx</w:t>
      </w:r>
      <w:r>
        <w:t xml:space="preserve">,</w:t>
      </w:r>
      <w:r>
        <w:t xml:space="preserve"> </w:t>
      </w:r>
      <w:r>
        <w:rPr>
          <w:rStyle w:val="VerbatimChar"/>
        </w:rPr>
        <w:t xml:space="preserve">wb/Global_Fuel_Prices_Database_methodology.pdf</w:t>
      </w:r>
      <w:r>
        <w:t xml:space="preserve">,</w:t>
      </w:r>
      <w:r>
        <w:t xml:space="preserve"> </w:t>
      </w:r>
      <w:r>
        <w:rPr>
          <w:rStyle w:val="VerbatimChar"/>
        </w:rPr>
        <w:t xml:space="preserve">extracts/wb_gfpd_phl_gasoline.csv</w:t>
      </w:r>
      <w:r>
        <w:t xml:space="preserve">. Link:</w:t>
      </w:r>
      <w:r>
        <w:t xml:space="preserve"> </w:t>
      </w:r>
      <w:hyperlink r:id="rId193">
        <w:r>
          <w:rPr>
            <w:rStyle w:val="Hyperlink"/>
          </w:rPr>
          <w:t xml:space="preserve">https://datacatalogfiles.worldbank.org/ddh-published/0066829/DR0095290/Global_Fuel_Prices_Database.xlsx</w:t>
        </w:r>
      </w:hyperlink>
    </w:p>
    <w:p>
      <w:pPr>
        <w:pStyle w:val="BodyText"/>
      </w:pPr>
      <w:r>
        <w:rPr>
          <w:b/>
          <w:bCs/>
        </w:rPr>
        <w:t xml:space="preserve">S8. Peso per US dollar exchange rate, monthly average.</w:t>
      </w:r>
      <w:r>
        <w:t xml:space="preserve"> </w:t>
      </w:r>
      <w:r>
        <w:t xml:space="preserve">Bangko Sentral ng Pilipinas (BSP). Used for: Converts Dubai crude to pesos; control variable (robustness). Coverage: Jan 1945-Sep 2026. Files:</w:t>
      </w:r>
      <w:r>
        <w:t xml:space="preserve"> </w:t>
      </w:r>
      <w:r>
        <w:rPr>
          <w:rStyle w:val="VerbatimChar"/>
        </w:rPr>
        <w:t xml:space="preserve">bsp/pesodollar.xlsx</w:t>
      </w:r>
      <w:r>
        <w:t xml:space="preserve">,</w:t>
      </w:r>
      <w:r>
        <w:t xml:space="preserve"> </w:t>
      </w:r>
      <w:r>
        <w:rPr>
          <w:rStyle w:val="VerbatimChar"/>
        </w:rPr>
        <w:t xml:space="preserve">extracts/bsp_php_usd_monthly.csv</w:t>
      </w:r>
      <w:r>
        <w:t xml:space="preserve">. Link:</w:t>
      </w:r>
      <w:r>
        <w:t xml:space="preserve"> </w:t>
      </w:r>
      <w:hyperlink r:id="rId194">
        <w:r>
          <w:rPr>
            <w:rStyle w:val="Hyperlink"/>
          </w:rPr>
          <w:t xml:space="preserve">https://www.bsp.gov.ph/Statistics/External/pesodollar.xlsx</w:t>
        </w:r>
      </w:hyperlink>
    </w:p>
    <w:p>
      <w:pPr>
        <w:pStyle w:val="BodyText"/>
      </w:pPr>
      <w:r>
        <w:rPr>
          <w:b/>
          <w:bCs/>
        </w:rPr>
        <w:t xml:space="preserve">S9. Central bank policy rates, Philippines.</w:t>
      </w:r>
      <w:r>
        <w:t xml:space="preserve"> </w:t>
      </w:r>
      <w:r>
        <w:t xml:space="preserve">Bank for International Settlements (BIS). Used for: BSP policy rate, end of month (control variable, robustness). Coverage: Jan 1986-Aug 2026. Files:</w:t>
      </w:r>
      <w:r>
        <w:t xml:space="preserve"> </w:t>
      </w:r>
      <w:r>
        <w:rPr>
          <w:rStyle w:val="VerbatimChar"/>
        </w:rPr>
        <w:t xml:space="preserve">bis/bis_cbpol_ph_monthly.csv</w:t>
      </w:r>
      <w:r>
        <w:t xml:space="preserve">. Link:</w:t>
      </w:r>
      <w:r>
        <w:t xml:space="preserve"> </w:t>
      </w:r>
      <w:hyperlink r:id="rId195">
        <w:r>
          <w:rPr>
            <w:rStyle w:val="Hyperlink"/>
          </w:rPr>
          <w:t xml:space="preserve">https://stats.bis.org/api/v1/data/WS_CBPOL/M.PH?format=csv</w:t>
        </w:r>
      </w:hyperlink>
    </w:p>
    <w:p>
      <w:pPr>
        <w:pStyle w:val="BodyText"/>
      </w:pPr>
      <w:r>
        <w:rPr>
          <w:b/>
          <w:bCs/>
        </w:rPr>
        <w:t xml:space="preserve">S10. FAO Food Price Index, nominal, 2014-2016 = 100.</w:t>
      </w:r>
      <w:r>
        <w:t xml:space="preserve"> </w:t>
      </w:r>
      <w:r>
        <w:t xml:space="preserve">Food and Agriculture Organization (FAO). Used for: World food prices (control variable, robustness). Coverage: Jan 1990-Sep 2026. Files:</w:t>
      </w:r>
      <w:r>
        <w:t xml:space="preserve"> </w:t>
      </w:r>
      <w:r>
        <w:rPr>
          <w:rStyle w:val="VerbatimChar"/>
        </w:rPr>
        <w:t xml:space="preserve">fao/food_price_indices_data.csv</w:t>
      </w:r>
      <w:r>
        <w:t xml:space="preserve">. Link:</w:t>
      </w:r>
      <w:r>
        <w:t xml:space="preserve"> </w:t>
      </w:r>
      <w:hyperlink r:id="rId196">
        <w:r>
          <w:rPr>
            <w:rStyle w:val="Hyperlink"/>
          </w:rPr>
          <w:t xml:space="preserve">https://www.fao.org/media/docs/worldfoodsituationlibraries/wfs-library/food_price_indices_data.csv</w:t>
        </w:r>
      </w:hyperlink>
    </w:p>
    <w:p>
      <w:pPr>
        <w:pStyle w:val="BodyText"/>
      </w:pPr>
      <w:r>
        <w:rPr>
          <w:b/>
          <w:bCs/>
        </w:rPr>
        <w:t xml:space="preserve">S11. 2026 policy facts (RA 12316, executive orders, subsidies, fares, policy rate).</w:t>
      </w:r>
      <w:r>
        <w:t xml:space="preserve"> </w:t>
      </w:r>
      <w:r>
        <w:t xml:space="preserve">Republic of the Philippines; news and official releases. Used for: Policy assessment (RQ3); each fact listed with its link and verification status. Coverage: Mar-Sep 2026. Files:</w:t>
      </w:r>
      <w:r>
        <w:t xml:space="preserve"> </w:t>
      </w:r>
      <w:r>
        <w:rPr>
          <w:rStyle w:val="VerbatimChar"/>
        </w:rPr>
        <w:t xml:space="preserve">paper/policy_context_2026.md</w:t>
      </w:r>
      <w:r>
        <w:t xml:space="preserve">. Link:</w:t>
      </w:r>
      <w:r>
        <w:t xml:space="preserve"> </w:t>
      </w:r>
      <w:hyperlink r:id="rId149">
        <w:r>
          <w:rPr>
            <w:rStyle w:val="Hyperlink"/>
          </w:rPr>
          <w:t xml:space="preserve">https://lawphil.net/statutes/repacts/ra2026/ra_12316_2026.html</w:t>
        </w:r>
      </w:hyperlink>
    </w:p>
    <w:p>
      <w:pPr>
        <w:pStyle w:val="BodyText"/>
      </w:pPr>
      <w:r>
        <w:rPr>
          <w:b/>
          <w:bCs/>
        </w:rPr>
        <w:t xml:space="preserve">S12. Published coefficients of the reference study (Annex Tables 1-2, Figure 7).</w:t>
      </w:r>
      <w:r>
        <w:t xml:space="preserve"> </w:t>
      </w:r>
      <w:r>
        <w:t xml:space="preserve">Kpodar and Liu (2021), IMF Working Paper WP/21/271. Used for: Comparison of the Philippine pass-through with the reference study’s estimates. Coverage: Advanced and developing economies, 2000-2019. Files:</w:t>
      </w:r>
      <w:r>
        <w:t xml:space="preserve"> </w:t>
      </w:r>
      <w:r>
        <w:rPr>
          <w:rStyle w:val="VerbatimChar"/>
        </w:rPr>
        <w:t xml:space="preserve">reference/kpodar_liu_2021_targets.csv</w:t>
      </w:r>
      <w:r>
        <w:t xml:space="preserve">. Link:</w:t>
      </w:r>
      <w:r>
        <w:t xml:space="preserve"> </w:t>
      </w:r>
      <w:hyperlink r:id="rId197">
        <w:r>
          <w:rPr>
            <w:rStyle w:val="Hyperlink"/>
          </w:rPr>
          <w:t xml:space="preserve">https://www.imf.org/en/publications/wp/issues/2021/11/12/the-distributional-implications-of-the-impact-of-fuel-price-increases-on-inflation-506822</w:t>
        </w:r>
      </w:hyperlink>
    </w:p>
    <w:bookmarkEnd w:id="198"/>
    <w:bookmarkStart w:id="199" w:name="X537796916a00fd1ea85e395caa6e4bf57d40fb2"/>
    <w:p>
      <w:pPr>
        <w:pStyle w:val="Heading2"/>
      </w:pPr>
      <w:r>
        <w:t xml:space="preserve">C.2 Sources and scripts behind each figure and table</w:t>
      </w:r>
    </w:p>
    <w:p>
      <w:pPr>
        <w:pStyle w:val="TableCaption"/>
      </w:pPr>
      <w:r>
        <w:t xml:space="preserve">Table C1. Sources, scripts and output files</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C1. Sources, scripts and output files"/>
      </w:tblPr>
      <w:tblGrid>
        <w:gridCol w:w="1584"/>
        <w:gridCol w:w="1584"/>
        <w:gridCol w:w="1584"/>
        <w:gridCol w:w="1584"/>
        <w:gridCol w:w="1584"/>
      </w:tblGrid>
      <w:tr>
        <w:trPr>
          <w:tblHeader w:val="on"/>
        </w:trPr>
        <w:tc>
          <w:tcPr>
            <w:tcBorders>
              <w:bottom w:val="single" w:sz="6" w:space="0" w:color="000000"/>
            </w:tcBorders>
          </w:tcPr>
          <w:p>
            <w:pPr>
              <w:pStyle w:val="Compact"/>
              <w:spacing w:before="0" w:after="0" w:line="240" w:lineRule="auto"/>
              <w:ind w:firstLine="0" w:left="0"/>
            </w:pPr>
            <w:r>
              <w:rPr>
                <w:sz w:val="20"/>
                <w:szCs w:val="20"/>
              </w:rPr>
              <w:t xml:space="preserve">Item</w:t>
            </w:r>
          </w:p>
        </w:tc>
        <w:tc>
          <w:tcPr>
            <w:tcBorders>
              <w:bottom w:val="single" w:sz="6" w:space="0" w:color="000000"/>
            </w:tcBorders>
          </w:tcPr>
          <w:p>
            <w:pPr>
              <w:pStyle w:val="Compact"/>
              <w:spacing w:before="0" w:after="0" w:line="240" w:lineRule="auto"/>
              <w:ind w:firstLine="0" w:left="0"/>
            </w:pPr>
            <w:r>
              <w:rPr>
                <w:sz w:val="20"/>
                <w:szCs w:val="20"/>
              </w:rPr>
              <w:t xml:space="preserve">Content</w:t>
            </w:r>
          </w:p>
        </w:tc>
        <w:tc>
          <w:tcPr>
            <w:tcBorders>
              <w:bottom w:val="single" w:sz="6" w:space="0" w:color="000000"/>
            </w:tcBorders>
          </w:tcPr>
          <w:p>
            <w:pPr>
              <w:pStyle w:val="Compact"/>
              <w:spacing w:before="0" w:after="0" w:line="240" w:lineRule="auto"/>
              <w:ind w:firstLine="0" w:left="0"/>
            </w:pPr>
            <w:r>
              <w:rPr>
                <w:sz w:val="20"/>
                <w:szCs w:val="20"/>
              </w:rPr>
              <w:t xml:space="preserve">Sources</w:t>
            </w:r>
          </w:p>
        </w:tc>
        <w:tc>
          <w:tcPr>
            <w:tcBorders>
              <w:bottom w:val="single" w:sz="6" w:space="0" w:color="000000"/>
            </w:tcBorders>
          </w:tcPr>
          <w:p>
            <w:pPr>
              <w:pStyle w:val="Compact"/>
              <w:spacing w:before="0" w:after="0" w:line="240" w:lineRule="auto"/>
              <w:ind w:firstLine="0" w:left="0"/>
            </w:pPr>
            <w:r>
              <w:rPr>
                <w:sz w:val="20"/>
                <w:szCs w:val="20"/>
              </w:rPr>
              <w:t xml:space="preserve">Python script</w:t>
            </w:r>
          </w:p>
        </w:tc>
        <w:tc>
          <w:tcPr>
            <w:tcBorders>
              <w:bottom w:val="single" w:sz="6" w:space="0" w:color="000000"/>
            </w:tcBorders>
          </w:tcPr>
          <w:p>
            <w:pPr>
              <w:pStyle w:val="Compact"/>
              <w:spacing w:before="0" w:after="0" w:line="240" w:lineRule="auto"/>
              <w:ind w:firstLine="0" w:left="0"/>
            </w:pPr>
            <w:r>
              <w:rPr>
                <w:sz w:val="20"/>
                <w:szCs w:val="20"/>
              </w:rPr>
              <w:t xml:space="preserve">Stata do-file</w:t>
            </w:r>
          </w:p>
        </w:tc>
      </w:tr>
      <w:tr>
        <w:tc>
          <w:tcPr/>
          <w:p>
            <w:pPr>
              <w:pStyle w:val="Compact"/>
              <w:spacing w:before="0" w:after="0" w:line="240" w:lineRule="auto"/>
              <w:ind w:firstLine="0" w:left="0"/>
            </w:pPr>
            <w:r>
              <w:rPr>
                <w:sz w:val="20"/>
                <w:szCs w:val="20"/>
              </w:rPr>
              <w:t xml:space="preserve">Figure 1</w:t>
            </w:r>
          </w:p>
        </w:tc>
        <w:tc>
          <w:tcPr/>
          <w:p>
            <w:pPr>
              <w:pStyle w:val="Compact"/>
              <w:spacing w:before="0" w:after="0" w:line="240" w:lineRule="auto"/>
              <w:ind w:firstLine="0" w:left="0"/>
            </w:pPr>
            <w:r>
              <w:rPr>
                <w:sz w:val="20"/>
                <w:szCs w:val="20"/>
              </w:rPr>
              <w:t xml:space="preserve">Conceptual framework (X to Y)</w:t>
            </w:r>
          </w:p>
        </w:tc>
        <w:tc>
          <w:tcPr/>
          <w:p>
            <w:pPr>
              <w:pStyle w:val="Compact"/>
              <w:spacing w:before="0" w:after="0" w:line="240" w:lineRule="auto"/>
              <w:ind w:firstLine="0" w:left="0"/>
            </w:pPr>
            <w:r>
              <w:rPr>
                <w:sz w:val="20"/>
                <w:szCs w:val="20"/>
              </w:rPr>
              <w:t xml:space="preserve">-</w:t>
            </w:r>
          </w:p>
        </w:tc>
        <w:tc>
          <w:tcPr/>
          <w:p>
            <w:pPr>
              <w:pStyle w:val="Compact"/>
              <w:spacing w:before="0" w:after="0" w:line="240" w:lineRule="auto"/>
              <w:ind w:firstLine="0" w:left="0"/>
            </w:pPr>
            <w:r>
              <w:rPr>
                <w:sz w:val="20"/>
                <w:szCs w:val="20"/>
              </w:rPr>
              <w:t xml:space="preserve">06_figures.py</w:t>
            </w:r>
          </w:p>
        </w:tc>
        <w:tc>
          <w:tcPr/>
          <w:p>
            <w:pPr>
              <w:pStyle w:val="Compact"/>
              <w:spacing w:before="0" w:after="0" w:line="240" w:lineRule="auto"/>
              <w:ind w:firstLine="0" w:left="0"/>
            </w:pPr>
            <w:r>
              <w:rPr>
                <w:sz w:val="20"/>
                <w:szCs w:val="20"/>
              </w:rPr>
              <w:t xml:space="preserve">-</w:t>
            </w:r>
          </w:p>
        </w:tc>
      </w:tr>
      <w:tr>
        <w:tc>
          <w:tcPr/>
          <w:p>
            <w:pPr>
              <w:pStyle w:val="Compact"/>
              <w:spacing w:before="0" w:after="0" w:line="240" w:lineRule="auto"/>
              <w:ind w:firstLine="0" w:left="0"/>
            </w:pPr>
            <w:r>
              <w:rPr>
                <w:sz w:val="20"/>
                <w:szCs w:val="20"/>
              </w:rPr>
              <w:t xml:space="preserve">Figure 2</w:t>
            </w:r>
          </w:p>
        </w:tc>
        <w:tc>
          <w:tcPr/>
          <w:p>
            <w:pPr>
              <w:pStyle w:val="Compact"/>
              <w:spacing w:before="0" w:after="0" w:line="240" w:lineRule="auto"/>
              <w:ind w:firstLine="0" w:left="0"/>
            </w:pPr>
            <w:r>
              <w:rPr>
                <w:sz w:val="20"/>
                <w:szCs w:val="20"/>
              </w:rPr>
              <w:t xml:space="preserve">How a local projection works</w:t>
            </w:r>
          </w:p>
        </w:tc>
        <w:tc>
          <w:tcPr/>
          <w:p>
            <w:pPr>
              <w:pStyle w:val="Compact"/>
              <w:spacing w:before="0" w:after="0" w:line="240" w:lineRule="auto"/>
              <w:ind w:firstLine="0" w:left="0"/>
            </w:pPr>
            <w:r>
              <w:rPr>
                <w:sz w:val="20"/>
                <w:szCs w:val="20"/>
              </w:rPr>
              <w:t xml:space="preserve">-</w:t>
            </w:r>
          </w:p>
        </w:tc>
        <w:tc>
          <w:tcPr/>
          <w:p>
            <w:pPr>
              <w:pStyle w:val="Compact"/>
              <w:spacing w:before="0" w:after="0" w:line="240" w:lineRule="auto"/>
              <w:ind w:firstLine="0" w:left="0"/>
            </w:pPr>
            <w:r>
              <w:rPr>
                <w:sz w:val="20"/>
                <w:szCs w:val="20"/>
              </w:rPr>
              <w:t xml:space="preserve">06_figures.py</w:t>
            </w:r>
          </w:p>
        </w:tc>
        <w:tc>
          <w:tcPr/>
          <w:p>
            <w:pPr>
              <w:pStyle w:val="Compact"/>
              <w:spacing w:before="0" w:after="0" w:line="240" w:lineRule="auto"/>
              <w:ind w:firstLine="0" w:left="0"/>
            </w:pPr>
            <w:r>
              <w:rPr>
                <w:sz w:val="20"/>
                <w:szCs w:val="20"/>
              </w:rPr>
              <w:t xml:space="preserve">-</w:t>
            </w:r>
          </w:p>
        </w:tc>
      </w:tr>
      <w:tr>
        <w:tc>
          <w:tcPr/>
          <w:p>
            <w:pPr>
              <w:pStyle w:val="Compact"/>
              <w:spacing w:before="0" w:after="0" w:line="240" w:lineRule="auto"/>
              <w:ind w:firstLine="0" w:left="0"/>
            </w:pPr>
            <w:r>
              <w:rPr>
                <w:sz w:val="20"/>
                <w:szCs w:val="20"/>
              </w:rPr>
              <w:t xml:space="preserve">Table 2</w:t>
            </w:r>
          </w:p>
        </w:tc>
        <w:tc>
          <w:tcPr/>
          <w:p>
            <w:pPr>
              <w:pStyle w:val="Compact"/>
              <w:spacing w:before="0" w:after="0" w:line="240" w:lineRule="auto"/>
              <w:ind w:firstLine="0" w:left="0"/>
            </w:pPr>
            <w:r>
              <w:rPr>
                <w:sz w:val="20"/>
                <w:szCs w:val="20"/>
              </w:rPr>
              <w:t xml:space="preserve">Summary statistics of monthly changes by period</w:t>
            </w:r>
          </w:p>
        </w:tc>
        <w:tc>
          <w:tcPr/>
          <w:p>
            <w:pPr>
              <w:pStyle w:val="Compact"/>
              <w:spacing w:before="0" w:after="0" w:line="240" w:lineRule="auto"/>
              <w:ind w:firstLine="0" w:left="0"/>
            </w:pPr>
            <w:r>
              <w:rPr>
                <w:sz w:val="20"/>
                <w:szCs w:val="20"/>
              </w:rPr>
              <w:t xml:space="preserve">S1-S4</w:t>
            </w:r>
          </w:p>
        </w:tc>
        <w:tc>
          <w:tcPr/>
          <w:p>
            <w:pPr>
              <w:pStyle w:val="Compact"/>
              <w:spacing w:before="0" w:after="0" w:line="240" w:lineRule="auto"/>
              <w:ind w:firstLine="0" w:left="0"/>
            </w:pPr>
            <w:r>
              <w:rPr>
                <w:sz w:val="20"/>
                <w:szCs w:val="20"/>
              </w:rPr>
              <w:t xml:space="preserve">03_descriptive.py</w:t>
            </w:r>
          </w:p>
        </w:tc>
        <w:tc>
          <w:tcPr/>
          <w:p>
            <w:pPr>
              <w:pStyle w:val="Compact"/>
              <w:spacing w:before="0" w:after="0" w:line="240" w:lineRule="auto"/>
              <w:ind w:firstLine="0" w:left="0"/>
            </w:pPr>
            <w:r>
              <w:rPr>
                <w:sz w:val="20"/>
                <w:szCs w:val="20"/>
              </w:rPr>
              <w:t xml:space="preserve">03_descriptive.do</w:t>
            </w:r>
          </w:p>
        </w:tc>
      </w:tr>
      <w:tr>
        <w:tc>
          <w:tcPr/>
          <w:p>
            <w:pPr>
              <w:pStyle w:val="Compact"/>
              <w:spacing w:before="0" w:after="0" w:line="240" w:lineRule="auto"/>
              <w:ind w:firstLine="0" w:left="0"/>
            </w:pPr>
            <w:r>
              <w:rPr>
                <w:sz w:val="20"/>
                <w:szCs w:val="20"/>
              </w:rPr>
              <w:t xml:space="preserve">Table 3</w:t>
            </w:r>
          </w:p>
        </w:tc>
        <w:tc>
          <w:tcPr/>
          <w:p>
            <w:pPr>
              <w:pStyle w:val="Compact"/>
              <w:spacing w:before="0" w:after="0" w:line="240" w:lineRule="auto"/>
              <w:ind w:firstLine="0" w:left="0"/>
            </w:pPr>
            <w:r>
              <w:rPr>
                <w:sz w:val="20"/>
                <w:szCs w:val="20"/>
              </w:rPr>
              <w:t xml:space="preserve">Annual inflation of both groups, the gap and fuel</w:t>
            </w:r>
          </w:p>
        </w:tc>
        <w:tc>
          <w:tcPr/>
          <w:p>
            <w:pPr>
              <w:pStyle w:val="Compact"/>
              <w:spacing w:before="0" w:after="0" w:line="240" w:lineRule="auto"/>
              <w:ind w:firstLine="0" w:left="0"/>
            </w:pPr>
            <w:r>
              <w:rPr>
                <w:sz w:val="20"/>
                <w:szCs w:val="20"/>
              </w:rPr>
              <w:t xml:space="preserve">S1-S4</w:t>
            </w:r>
          </w:p>
        </w:tc>
        <w:tc>
          <w:tcPr/>
          <w:p>
            <w:pPr>
              <w:pStyle w:val="Compact"/>
              <w:spacing w:before="0" w:after="0" w:line="240" w:lineRule="auto"/>
              <w:ind w:firstLine="0" w:left="0"/>
            </w:pPr>
            <w:r>
              <w:rPr>
                <w:sz w:val="20"/>
                <w:szCs w:val="20"/>
              </w:rPr>
              <w:t xml:space="preserve">03_descriptive.py</w:t>
            </w:r>
          </w:p>
        </w:tc>
        <w:tc>
          <w:tcPr/>
          <w:p>
            <w:pPr>
              <w:pStyle w:val="Compact"/>
              <w:spacing w:before="0" w:after="0" w:line="240" w:lineRule="auto"/>
              <w:ind w:firstLine="0" w:left="0"/>
            </w:pPr>
            <w:r>
              <w:rPr>
                <w:sz w:val="20"/>
                <w:szCs w:val="20"/>
              </w:rPr>
              <w:t xml:space="preserve">03_descriptive.do</w:t>
            </w:r>
          </w:p>
        </w:tc>
      </w:tr>
      <w:tr>
        <w:tc>
          <w:tcPr/>
          <w:p>
            <w:pPr>
              <w:pStyle w:val="Compact"/>
              <w:spacing w:before="0" w:after="0" w:line="240" w:lineRule="auto"/>
              <w:ind w:firstLine="0" w:left="0"/>
            </w:pPr>
            <w:r>
              <w:rPr>
                <w:sz w:val="20"/>
                <w:szCs w:val="20"/>
              </w:rPr>
              <w:t xml:space="preserve">Figure 3</w:t>
            </w:r>
          </w:p>
        </w:tc>
        <w:tc>
          <w:tcPr/>
          <w:p>
            <w:pPr>
              <w:pStyle w:val="Compact"/>
              <w:spacing w:before="0" w:after="0" w:line="240" w:lineRule="auto"/>
              <w:ind w:firstLine="0" w:left="0"/>
            </w:pPr>
            <w:r>
              <w:rPr>
                <w:sz w:val="20"/>
                <w:szCs w:val="20"/>
              </w:rPr>
              <w:t xml:space="preserve">Year-on-year inflation, gap and fuel, 2001-2026</w:t>
            </w:r>
          </w:p>
        </w:tc>
        <w:tc>
          <w:tcPr/>
          <w:p>
            <w:pPr>
              <w:pStyle w:val="Compact"/>
              <w:spacing w:before="0" w:after="0" w:line="240" w:lineRule="auto"/>
              <w:ind w:firstLine="0" w:left="0"/>
            </w:pPr>
            <w:r>
              <w:rPr>
                <w:sz w:val="20"/>
                <w:szCs w:val="20"/>
              </w:rPr>
              <w:t xml:space="preserve">S1-S4</w:t>
            </w:r>
          </w:p>
        </w:tc>
        <w:tc>
          <w:tcPr/>
          <w:p>
            <w:pPr>
              <w:pStyle w:val="Compact"/>
              <w:spacing w:before="0" w:after="0" w:line="240" w:lineRule="auto"/>
              <w:ind w:firstLine="0" w:left="0"/>
            </w:pPr>
            <w:r>
              <w:rPr>
                <w:sz w:val="20"/>
                <w:szCs w:val="20"/>
              </w:rPr>
              <w:t xml:space="preserve">03_descriptive.py, 06_figures.py</w:t>
            </w:r>
          </w:p>
        </w:tc>
        <w:tc>
          <w:tcPr/>
          <w:p>
            <w:pPr>
              <w:pStyle w:val="Compact"/>
              <w:spacing w:before="0" w:after="0" w:line="240" w:lineRule="auto"/>
              <w:ind w:firstLine="0" w:left="0"/>
            </w:pPr>
            <w:r>
              <w:rPr>
                <w:sz w:val="20"/>
                <w:szCs w:val="20"/>
              </w:rPr>
              <w:t xml:space="preserve">03_descriptive.do</w:t>
            </w:r>
          </w:p>
        </w:tc>
      </w:tr>
      <w:tr>
        <w:tc>
          <w:tcPr/>
          <w:p>
            <w:pPr>
              <w:pStyle w:val="Compact"/>
              <w:spacing w:before="0" w:after="0" w:line="240" w:lineRule="auto"/>
              <w:ind w:firstLine="0" w:left="0"/>
            </w:pPr>
            <w:r>
              <w:rPr>
                <w:sz w:val="20"/>
                <w:szCs w:val="20"/>
              </w:rPr>
              <w:t xml:space="preserve">Table 4</w:t>
            </w:r>
          </w:p>
        </w:tc>
        <w:tc>
          <w:tcPr/>
          <w:p>
            <w:pPr>
              <w:pStyle w:val="Compact"/>
              <w:spacing w:before="0" w:after="0" w:line="240" w:lineRule="auto"/>
              <w:ind w:firstLine="0" w:left="0"/>
            </w:pPr>
            <w:r>
              <w:rPr>
                <w:sz w:val="20"/>
                <w:szCs w:val="20"/>
              </w:rPr>
              <w:t xml:space="preserve">Fuel-shock episodes</w:t>
            </w:r>
          </w:p>
        </w:tc>
        <w:tc>
          <w:tcPr/>
          <w:p>
            <w:pPr>
              <w:pStyle w:val="Compact"/>
              <w:spacing w:before="0" w:after="0" w:line="240" w:lineRule="auto"/>
              <w:ind w:firstLine="0" w:left="0"/>
            </w:pPr>
            <w:r>
              <w:rPr>
                <w:sz w:val="20"/>
                <w:szCs w:val="20"/>
              </w:rPr>
              <w:t xml:space="preserve">S1-S4</w:t>
            </w:r>
          </w:p>
        </w:tc>
        <w:tc>
          <w:tcPr/>
          <w:p>
            <w:pPr>
              <w:pStyle w:val="Compact"/>
              <w:spacing w:before="0" w:after="0" w:line="240" w:lineRule="auto"/>
              <w:ind w:firstLine="0" w:left="0"/>
            </w:pPr>
            <w:r>
              <w:rPr>
                <w:sz w:val="20"/>
                <w:szCs w:val="20"/>
              </w:rPr>
              <w:t xml:space="preserve">03_descriptive.py</w:t>
            </w:r>
          </w:p>
        </w:tc>
        <w:tc>
          <w:tcPr/>
          <w:p>
            <w:pPr>
              <w:pStyle w:val="Compact"/>
              <w:spacing w:before="0" w:after="0" w:line="240" w:lineRule="auto"/>
              <w:ind w:firstLine="0" w:left="0"/>
            </w:pPr>
            <w:r>
              <w:rPr>
                <w:sz w:val="20"/>
                <w:szCs w:val="20"/>
              </w:rPr>
              <w:t xml:space="preserve">03_descriptive.do</w:t>
            </w:r>
          </w:p>
        </w:tc>
      </w:tr>
      <w:tr>
        <w:tc>
          <w:tcPr/>
          <w:p>
            <w:pPr>
              <w:pStyle w:val="Compact"/>
              <w:spacing w:before="0" w:after="0" w:line="240" w:lineRule="auto"/>
              <w:ind w:firstLine="0" w:left="0"/>
            </w:pPr>
            <w:r>
              <w:rPr>
                <w:sz w:val="20"/>
                <w:szCs w:val="20"/>
              </w:rPr>
              <w:t xml:space="preserve">Table 5</w:t>
            </w:r>
          </w:p>
        </w:tc>
        <w:tc>
          <w:tcPr/>
          <w:p>
            <w:pPr>
              <w:pStyle w:val="Compact"/>
              <w:spacing w:before="0" w:after="0" w:line="240" w:lineRule="auto"/>
              <w:ind w:firstLine="0" w:left="0"/>
            </w:pPr>
            <w:r>
              <w:rPr>
                <w:sz w:val="20"/>
                <w:szCs w:val="20"/>
              </w:rPr>
              <w:t xml:space="preserve">Regional summary</w:t>
            </w:r>
          </w:p>
        </w:tc>
        <w:tc>
          <w:tcPr/>
          <w:p>
            <w:pPr>
              <w:pStyle w:val="Compact"/>
              <w:spacing w:before="0" w:after="0" w:line="240" w:lineRule="auto"/>
              <w:ind w:firstLine="0" w:left="0"/>
            </w:pPr>
            <w:r>
              <w:rPr>
                <w:sz w:val="20"/>
                <w:szCs w:val="20"/>
              </w:rPr>
              <w:t xml:space="preserve">S1-S5</w:t>
            </w:r>
          </w:p>
        </w:tc>
        <w:tc>
          <w:tcPr/>
          <w:p>
            <w:pPr>
              <w:pStyle w:val="Compact"/>
              <w:spacing w:before="0" w:after="0" w:line="240" w:lineRule="auto"/>
              <w:ind w:firstLine="0" w:left="0"/>
            </w:pPr>
            <w:r>
              <w:rPr>
                <w:sz w:val="20"/>
                <w:szCs w:val="20"/>
              </w:rPr>
              <w:t xml:space="preserve">03_descriptive.py</w:t>
            </w:r>
          </w:p>
        </w:tc>
        <w:tc>
          <w:tcPr/>
          <w:p>
            <w:pPr>
              <w:pStyle w:val="Compact"/>
              <w:spacing w:before="0" w:after="0" w:line="240" w:lineRule="auto"/>
              <w:ind w:firstLine="0" w:left="0"/>
            </w:pPr>
            <w:r>
              <w:rPr>
                <w:sz w:val="20"/>
                <w:szCs w:val="20"/>
              </w:rPr>
              <w:t xml:space="preserve">03_descriptive.do</w:t>
            </w:r>
          </w:p>
        </w:tc>
      </w:tr>
      <w:tr>
        <w:tc>
          <w:tcPr/>
          <w:p>
            <w:pPr>
              <w:pStyle w:val="Compact"/>
              <w:spacing w:before="0" w:after="0" w:line="240" w:lineRule="auto"/>
              <w:ind w:firstLine="0" w:left="0"/>
            </w:pPr>
            <w:r>
              <w:rPr>
                <w:sz w:val="20"/>
                <w:szCs w:val="20"/>
              </w:rPr>
              <w:t xml:space="preserve">Table 6</w:t>
            </w:r>
          </w:p>
        </w:tc>
        <w:tc>
          <w:tcPr/>
          <w:p>
            <w:pPr>
              <w:pStyle w:val="Compact"/>
              <w:spacing w:before="0" w:after="0" w:line="240" w:lineRule="auto"/>
              <w:ind w:firstLine="0" w:left="0"/>
            </w:pPr>
            <w:r>
              <w:rPr>
                <w:sz w:val="20"/>
                <w:szCs w:val="20"/>
              </w:rPr>
              <w:t xml:space="preserve">Unit-root tests</w:t>
            </w:r>
          </w:p>
        </w:tc>
        <w:tc>
          <w:tcPr/>
          <w:p>
            <w:pPr>
              <w:pStyle w:val="Compact"/>
              <w:spacing w:before="0" w:after="0" w:line="240" w:lineRule="auto"/>
              <w:ind w:firstLine="0" w:left="0"/>
            </w:pPr>
            <w:r>
              <w:rPr>
                <w:sz w:val="20"/>
                <w:szCs w:val="20"/>
              </w:rPr>
              <w:t xml:space="preserve">S1-S4</w:t>
            </w:r>
          </w:p>
        </w:tc>
        <w:tc>
          <w:tcPr/>
          <w:p>
            <w:pPr>
              <w:pStyle w:val="Compact"/>
              <w:spacing w:before="0" w:after="0" w:line="240" w:lineRule="auto"/>
              <w:ind w:firstLine="0" w:left="0"/>
            </w:pPr>
            <w:r>
              <w:rPr>
                <w:sz w:val="20"/>
                <w:szCs w:val="20"/>
              </w:rPr>
              <w:t xml:space="preserve">03_descriptive.py</w:t>
            </w:r>
          </w:p>
        </w:tc>
        <w:tc>
          <w:tcPr/>
          <w:p>
            <w:pPr>
              <w:pStyle w:val="Compact"/>
              <w:spacing w:before="0" w:after="0" w:line="240" w:lineRule="auto"/>
              <w:ind w:firstLine="0" w:left="0"/>
            </w:pPr>
            <w:r>
              <w:rPr>
                <w:sz w:val="20"/>
                <w:szCs w:val="20"/>
              </w:rPr>
              <w:t xml:space="preserve">03_descriptive.do</w:t>
            </w:r>
          </w:p>
        </w:tc>
      </w:tr>
      <w:tr>
        <w:tc>
          <w:tcPr/>
          <w:p>
            <w:pPr>
              <w:pStyle w:val="Compact"/>
              <w:spacing w:before="0" w:after="0" w:line="240" w:lineRule="auto"/>
              <w:ind w:firstLine="0" w:left="0"/>
            </w:pPr>
            <w:r>
              <w:rPr>
                <w:sz w:val="20"/>
                <w:szCs w:val="20"/>
              </w:rPr>
              <w:t xml:space="preserve">Table 7 (RQ1 columns)</w:t>
            </w:r>
          </w:p>
        </w:tc>
        <w:tc>
          <w:tcPr/>
          <w:p>
            <w:pPr>
              <w:pStyle w:val="Compact"/>
              <w:spacing w:before="0" w:after="0" w:line="240" w:lineRule="auto"/>
              <w:ind w:firstLine="0" w:left="0"/>
            </w:pPr>
            <w:r>
              <w:rPr>
                <w:sz w:val="20"/>
                <w:szCs w:val="20"/>
              </w:rPr>
              <w:t xml:space="preserve">Pass-through to the price level, both groups</w:t>
            </w:r>
          </w:p>
        </w:tc>
        <w:tc>
          <w:tcPr/>
          <w:p>
            <w:pPr>
              <w:pStyle w:val="Compact"/>
              <w:spacing w:before="0" w:after="0" w:line="240" w:lineRule="auto"/>
              <w:ind w:firstLine="0" w:left="0"/>
            </w:pPr>
            <w:r>
              <w:rPr>
                <w:sz w:val="20"/>
                <w:szCs w:val="20"/>
              </w:rPr>
              <w:t xml:space="preserve">S1-S4</w:t>
            </w:r>
          </w:p>
        </w:tc>
        <w:tc>
          <w:tcPr/>
          <w:p>
            <w:pPr>
              <w:pStyle w:val="Compact"/>
              <w:spacing w:before="0" w:after="0" w:line="240" w:lineRule="auto"/>
              <w:ind w:firstLine="0" w:left="0"/>
            </w:pPr>
            <w:r>
              <w:rPr>
                <w:sz w:val="20"/>
                <w:szCs w:val="20"/>
              </w:rPr>
              <w:t xml:space="preserve">04_estimate.py</w:t>
            </w:r>
          </w:p>
        </w:tc>
        <w:tc>
          <w:tcPr/>
          <w:p>
            <w:pPr>
              <w:pStyle w:val="Compact"/>
              <w:spacing w:before="0" w:after="0" w:line="240" w:lineRule="auto"/>
              <w:ind w:firstLine="0" w:left="0"/>
            </w:pPr>
            <w:r>
              <w:rPr>
                <w:sz w:val="20"/>
                <w:szCs w:val="20"/>
              </w:rPr>
              <w:t xml:space="preserve">04_estimate.do</w:t>
            </w:r>
          </w:p>
        </w:tc>
      </w:tr>
      <w:tr>
        <w:tc>
          <w:tcPr/>
          <w:p>
            <w:pPr>
              <w:pStyle w:val="Compact"/>
              <w:spacing w:before="0" w:after="0" w:line="240" w:lineRule="auto"/>
              <w:ind w:firstLine="0" w:left="0"/>
            </w:pPr>
            <w:r>
              <w:rPr>
                <w:sz w:val="20"/>
                <w:szCs w:val="20"/>
              </w:rPr>
              <w:t xml:space="preserve">Figure 4</w:t>
            </w:r>
          </w:p>
        </w:tc>
        <w:tc>
          <w:tcPr/>
          <w:p>
            <w:pPr>
              <w:pStyle w:val="Compact"/>
              <w:spacing w:before="0" w:after="0" w:line="240" w:lineRule="auto"/>
              <w:ind w:firstLine="0" w:left="0"/>
            </w:pPr>
            <w:r>
              <w:rPr>
                <w:sz w:val="20"/>
                <w:szCs w:val="20"/>
              </w:rPr>
              <w:t xml:space="preserve">RQ1 cumulative responses</w:t>
            </w:r>
          </w:p>
        </w:tc>
        <w:tc>
          <w:tcPr/>
          <w:p>
            <w:pPr>
              <w:pStyle w:val="Compact"/>
              <w:spacing w:before="0" w:after="0" w:line="240" w:lineRule="auto"/>
              <w:ind w:firstLine="0" w:left="0"/>
            </w:pPr>
            <w:r>
              <w:rPr>
                <w:sz w:val="20"/>
                <w:szCs w:val="20"/>
              </w:rPr>
              <w:t xml:space="preserve">S1-S4</w:t>
            </w:r>
          </w:p>
        </w:tc>
        <w:tc>
          <w:tcPr/>
          <w:p>
            <w:pPr>
              <w:pStyle w:val="Compact"/>
              <w:spacing w:before="0" w:after="0" w:line="240" w:lineRule="auto"/>
              <w:ind w:firstLine="0" w:left="0"/>
            </w:pPr>
            <w:r>
              <w:rPr>
                <w:sz w:val="20"/>
                <w:szCs w:val="20"/>
              </w:rPr>
              <w:t xml:space="preserve">04_estimate.py, 06_figures.py</w:t>
            </w:r>
          </w:p>
        </w:tc>
        <w:tc>
          <w:tcPr/>
          <w:p>
            <w:pPr>
              <w:pStyle w:val="Compact"/>
              <w:spacing w:before="0" w:after="0" w:line="240" w:lineRule="auto"/>
              <w:ind w:firstLine="0" w:left="0"/>
            </w:pPr>
            <w:r>
              <w:rPr>
                <w:sz w:val="20"/>
                <w:szCs w:val="20"/>
              </w:rPr>
              <w:t xml:space="preserve">04_estimate.do</w:t>
            </w:r>
          </w:p>
        </w:tc>
      </w:tr>
      <w:tr>
        <w:tc>
          <w:tcPr/>
          <w:p>
            <w:pPr>
              <w:pStyle w:val="Compact"/>
              <w:spacing w:before="0" w:after="0" w:line="240" w:lineRule="auto"/>
              <w:ind w:firstLine="0" w:left="0"/>
            </w:pPr>
            <w:r>
              <w:rPr>
                <w:sz w:val="20"/>
                <w:szCs w:val="20"/>
              </w:rPr>
              <w:t xml:space="preserve">Table 7 (gap columns)</w:t>
            </w:r>
          </w:p>
        </w:tc>
        <w:tc>
          <w:tcPr/>
          <w:p>
            <w:pPr>
              <w:pStyle w:val="Compact"/>
              <w:spacing w:before="0" w:after="0" w:line="240" w:lineRule="auto"/>
              <w:ind w:firstLine="0" w:left="0"/>
            </w:pPr>
            <w:r>
              <w:rPr>
                <w:sz w:val="20"/>
                <w:szCs w:val="20"/>
              </w:rPr>
              <w:t xml:space="preserve">Gap response, national and 17-region panel</w:t>
            </w:r>
          </w:p>
        </w:tc>
        <w:tc>
          <w:tcPr/>
          <w:p>
            <w:pPr>
              <w:pStyle w:val="Compact"/>
              <w:spacing w:before="0" w:after="0" w:line="240" w:lineRule="auto"/>
              <w:ind w:firstLine="0" w:left="0"/>
            </w:pPr>
            <w:r>
              <w:rPr>
                <w:sz w:val="20"/>
                <w:szCs w:val="20"/>
              </w:rPr>
              <w:t xml:space="preserve">S1-S4</w:t>
            </w:r>
          </w:p>
        </w:tc>
        <w:tc>
          <w:tcPr/>
          <w:p>
            <w:pPr>
              <w:pStyle w:val="Compact"/>
              <w:spacing w:before="0" w:after="0" w:line="240" w:lineRule="auto"/>
              <w:ind w:firstLine="0" w:left="0"/>
            </w:pPr>
            <w:r>
              <w:rPr>
                <w:sz w:val="20"/>
                <w:szCs w:val="20"/>
              </w:rPr>
              <w:t xml:space="preserve">04_estimate.py</w:t>
            </w:r>
          </w:p>
        </w:tc>
        <w:tc>
          <w:tcPr/>
          <w:p>
            <w:pPr>
              <w:pStyle w:val="Compact"/>
              <w:spacing w:before="0" w:after="0" w:line="240" w:lineRule="auto"/>
              <w:ind w:firstLine="0" w:left="0"/>
            </w:pPr>
            <w:r>
              <w:rPr>
                <w:sz w:val="20"/>
                <w:szCs w:val="20"/>
              </w:rPr>
              <w:t xml:space="preserve">04_estimate.do</w:t>
            </w:r>
          </w:p>
        </w:tc>
      </w:tr>
      <w:tr>
        <w:tc>
          <w:tcPr/>
          <w:p>
            <w:pPr>
              <w:pStyle w:val="Compact"/>
              <w:spacing w:before="0" w:after="0" w:line="240" w:lineRule="auto"/>
              <w:ind w:firstLine="0" w:left="0"/>
            </w:pPr>
            <w:r>
              <w:rPr>
                <w:sz w:val="20"/>
                <w:szCs w:val="20"/>
              </w:rPr>
              <w:t xml:space="preserve">Figure 5</w:t>
            </w:r>
          </w:p>
        </w:tc>
        <w:tc>
          <w:tcPr/>
          <w:p>
            <w:pPr>
              <w:pStyle w:val="Compact"/>
              <w:spacing w:before="0" w:after="0" w:line="240" w:lineRule="auto"/>
              <w:ind w:firstLine="0" w:left="0"/>
            </w:pPr>
            <w:r>
              <w:rPr>
                <w:sz w:val="20"/>
                <w:szCs w:val="20"/>
              </w:rPr>
              <w:t xml:space="preserve">RQ2 cumulative responses</w:t>
            </w:r>
          </w:p>
        </w:tc>
        <w:tc>
          <w:tcPr/>
          <w:p>
            <w:pPr>
              <w:pStyle w:val="Compact"/>
              <w:spacing w:before="0" w:after="0" w:line="240" w:lineRule="auto"/>
              <w:ind w:firstLine="0" w:left="0"/>
            </w:pPr>
            <w:r>
              <w:rPr>
                <w:sz w:val="20"/>
                <w:szCs w:val="20"/>
              </w:rPr>
              <w:t xml:space="preserve">S1-S4</w:t>
            </w:r>
          </w:p>
        </w:tc>
        <w:tc>
          <w:tcPr/>
          <w:p>
            <w:pPr>
              <w:pStyle w:val="Compact"/>
              <w:spacing w:before="0" w:after="0" w:line="240" w:lineRule="auto"/>
              <w:ind w:firstLine="0" w:left="0"/>
            </w:pPr>
            <w:r>
              <w:rPr>
                <w:sz w:val="20"/>
                <w:szCs w:val="20"/>
              </w:rPr>
              <w:t xml:space="preserve">04_estimate.py, 06_figures.py</w:t>
            </w:r>
          </w:p>
        </w:tc>
        <w:tc>
          <w:tcPr/>
          <w:p>
            <w:pPr>
              <w:pStyle w:val="Compact"/>
              <w:spacing w:before="0" w:after="0" w:line="240" w:lineRule="auto"/>
              <w:ind w:firstLine="0" w:left="0"/>
            </w:pPr>
            <w:r>
              <w:rPr>
                <w:sz w:val="20"/>
                <w:szCs w:val="20"/>
              </w:rPr>
              <w:t xml:space="preserve">04_estimate.do</w:t>
            </w:r>
          </w:p>
        </w:tc>
      </w:tr>
      <w:tr>
        <w:tc>
          <w:tcPr/>
          <w:p>
            <w:pPr>
              <w:pStyle w:val="Compact"/>
              <w:spacing w:before="0" w:after="0" w:line="240" w:lineRule="auto"/>
              <w:ind w:firstLine="0" w:left="0"/>
            </w:pPr>
            <w:r>
              <w:rPr>
                <w:sz w:val="20"/>
                <w:szCs w:val="20"/>
              </w:rPr>
              <w:t xml:space="preserve">Table B1</w:t>
            </w:r>
          </w:p>
        </w:tc>
        <w:tc>
          <w:tcPr/>
          <w:p>
            <w:pPr>
              <w:pStyle w:val="Compact"/>
              <w:spacing w:before="0" w:after="0" w:line="240" w:lineRule="auto"/>
              <w:ind w:firstLine="0" w:left="0"/>
            </w:pPr>
            <w:r>
              <w:rPr>
                <w:sz w:val="20"/>
                <w:szCs w:val="20"/>
              </w:rPr>
              <w:t xml:space="preserve">RQ2 why: division responses x weight differences</w:t>
            </w:r>
          </w:p>
        </w:tc>
        <w:tc>
          <w:tcPr/>
          <w:p>
            <w:pPr>
              <w:pStyle w:val="Compact"/>
              <w:spacing w:before="0" w:after="0" w:line="240" w:lineRule="auto"/>
              <w:ind w:firstLine="0" w:left="0"/>
            </w:pPr>
            <w:r>
              <w:rPr>
                <w:sz w:val="20"/>
                <w:szCs w:val="20"/>
              </w:rPr>
              <w:t xml:space="preserve">S1, S3</w:t>
            </w:r>
          </w:p>
        </w:tc>
        <w:tc>
          <w:tcPr/>
          <w:p>
            <w:pPr>
              <w:pStyle w:val="Compact"/>
              <w:spacing w:before="0" w:after="0" w:line="240" w:lineRule="auto"/>
              <w:ind w:firstLine="0" w:left="0"/>
            </w:pPr>
            <w:r>
              <w:rPr>
                <w:sz w:val="20"/>
                <w:szCs w:val="20"/>
              </w:rPr>
              <w:t xml:space="preserve">04_estimate.py</w:t>
            </w:r>
          </w:p>
        </w:tc>
        <w:tc>
          <w:tcPr/>
          <w:p>
            <w:pPr>
              <w:pStyle w:val="Compact"/>
              <w:spacing w:before="0" w:after="0" w:line="240" w:lineRule="auto"/>
              <w:ind w:firstLine="0" w:left="0"/>
            </w:pPr>
            <w:r>
              <w:rPr>
                <w:sz w:val="20"/>
                <w:szCs w:val="20"/>
              </w:rPr>
              <w:t xml:space="preserve">04_estimate.do</w:t>
            </w:r>
          </w:p>
        </w:tc>
      </w:tr>
      <w:tr>
        <w:tc>
          <w:tcPr/>
          <w:p>
            <w:pPr>
              <w:pStyle w:val="Compact"/>
              <w:spacing w:before="0" w:after="0" w:line="240" w:lineRule="auto"/>
              <w:ind w:firstLine="0" w:left="0"/>
            </w:pPr>
            <w:r>
              <w:rPr>
                <w:sz w:val="20"/>
                <w:szCs w:val="20"/>
              </w:rPr>
              <w:t xml:space="preserve">Table 8</w:t>
            </w:r>
          </w:p>
        </w:tc>
        <w:tc>
          <w:tcPr/>
          <w:p>
            <w:pPr>
              <w:pStyle w:val="Compact"/>
              <w:spacing w:before="0" w:after="0" w:line="240" w:lineRule="auto"/>
              <w:ind w:firstLine="0" w:left="0"/>
            </w:pPr>
            <w:r>
              <w:rPr>
                <w:sz w:val="20"/>
                <w:szCs w:val="20"/>
              </w:rPr>
              <w:t xml:space="preserve">Divisions in both baskets, 2013-2026 (exploratory)</w:t>
            </w:r>
          </w:p>
        </w:tc>
        <w:tc>
          <w:tcPr/>
          <w:p>
            <w:pPr>
              <w:pStyle w:val="Compact"/>
              <w:spacing w:before="0" w:after="0" w:line="240" w:lineRule="auto"/>
              <w:ind w:firstLine="0" w:left="0"/>
            </w:pPr>
            <w:r>
              <w:rPr>
                <w:sz w:val="20"/>
                <w:szCs w:val="20"/>
              </w:rPr>
              <w:t xml:space="preserve">S1, S3</w:t>
            </w:r>
          </w:p>
        </w:tc>
        <w:tc>
          <w:tcPr/>
          <w:p>
            <w:pPr>
              <w:pStyle w:val="Compact"/>
              <w:spacing w:before="0" w:after="0" w:line="240" w:lineRule="auto"/>
              <w:ind w:firstLine="0" w:left="0"/>
            </w:pPr>
            <w:r>
              <w:rPr>
                <w:sz w:val="20"/>
                <w:szCs w:val="20"/>
              </w:rPr>
              <w:t xml:space="preserve">04_estimate.py</w:t>
            </w:r>
          </w:p>
        </w:tc>
        <w:tc>
          <w:tcPr/>
          <w:p>
            <w:pPr>
              <w:pStyle w:val="Compact"/>
              <w:spacing w:before="0" w:after="0" w:line="240" w:lineRule="auto"/>
              <w:ind w:firstLine="0" w:left="0"/>
            </w:pPr>
            <w:r>
              <w:rPr>
                <w:sz w:val="20"/>
                <w:szCs w:val="20"/>
              </w:rPr>
              <w:t xml:space="preserve">04_estimate.do</w:t>
            </w:r>
          </w:p>
        </w:tc>
      </w:tr>
      <w:tr>
        <w:tc>
          <w:tcPr/>
          <w:p>
            <w:pPr>
              <w:pStyle w:val="Compact"/>
              <w:spacing w:before="0" w:after="0" w:line="240" w:lineRule="auto"/>
              <w:ind w:firstLine="0" w:left="0"/>
            </w:pPr>
            <w:r>
              <w:rPr>
                <w:sz w:val="20"/>
                <w:szCs w:val="20"/>
              </w:rPr>
              <w:t xml:space="preserve">Table 9</w:t>
            </w:r>
          </w:p>
        </w:tc>
        <w:tc>
          <w:tcPr/>
          <w:p>
            <w:pPr>
              <w:pStyle w:val="Compact"/>
              <w:spacing w:before="0" w:after="0" w:line="240" w:lineRule="auto"/>
              <w:ind w:firstLine="0" w:left="0"/>
            </w:pPr>
            <w:r>
              <w:rPr>
                <w:sz w:val="20"/>
                <w:szCs w:val="20"/>
              </w:rPr>
              <w:t xml:space="preserve">Core robustness checks</w:t>
            </w:r>
          </w:p>
        </w:tc>
        <w:tc>
          <w:tcPr/>
          <w:p>
            <w:pPr>
              <w:pStyle w:val="Compact"/>
              <w:spacing w:before="0" w:after="0" w:line="240" w:lineRule="auto"/>
              <w:ind w:firstLine="0" w:left="0"/>
            </w:pPr>
            <w:r>
              <w:rPr>
                <w:sz w:val="20"/>
                <w:szCs w:val="20"/>
              </w:rPr>
              <w:t xml:space="preserve">S1-S10</w:t>
            </w:r>
          </w:p>
        </w:tc>
        <w:tc>
          <w:tcPr/>
          <w:p>
            <w:pPr>
              <w:pStyle w:val="Compact"/>
              <w:spacing w:before="0" w:after="0" w:line="240" w:lineRule="auto"/>
              <w:ind w:firstLine="0" w:left="0"/>
            </w:pPr>
            <w:r>
              <w:rPr>
                <w:sz w:val="20"/>
                <w:szCs w:val="20"/>
              </w:rPr>
              <w:t xml:space="preserve">04_estimate.py</w:t>
            </w:r>
          </w:p>
        </w:tc>
        <w:tc>
          <w:tcPr/>
          <w:p>
            <w:pPr>
              <w:pStyle w:val="Compact"/>
              <w:spacing w:before="0" w:after="0" w:line="240" w:lineRule="auto"/>
              <w:ind w:firstLine="0" w:left="0"/>
            </w:pPr>
            <w:r>
              <w:rPr>
                <w:sz w:val="20"/>
                <w:szCs w:val="20"/>
              </w:rPr>
              <w:t xml:space="preserve">04_estimate.do</w:t>
            </w:r>
          </w:p>
        </w:tc>
      </w:tr>
      <w:tr>
        <w:tc>
          <w:tcPr/>
          <w:p>
            <w:pPr>
              <w:pStyle w:val="Compact"/>
              <w:spacing w:before="0" w:after="0" w:line="240" w:lineRule="auto"/>
              <w:ind w:firstLine="0" w:left="0"/>
            </w:pPr>
            <w:r>
              <w:rPr>
                <w:sz w:val="20"/>
                <w:szCs w:val="20"/>
              </w:rPr>
              <w:t xml:space="preserve">Figure 6</w:t>
            </w:r>
          </w:p>
        </w:tc>
        <w:tc>
          <w:tcPr/>
          <w:p>
            <w:pPr>
              <w:pStyle w:val="Compact"/>
              <w:spacing w:before="0" w:after="0" w:line="240" w:lineRule="auto"/>
              <w:ind w:firstLine="0" w:left="0"/>
            </w:pPr>
            <w:r>
              <w:rPr>
                <w:sz w:val="20"/>
                <w:szCs w:val="20"/>
              </w:rPr>
              <w:t xml:space="preserve">Core robustness of the six-month gap</w:t>
            </w:r>
          </w:p>
        </w:tc>
        <w:tc>
          <w:tcPr/>
          <w:p>
            <w:pPr>
              <w:pStyle w:val="Compact"/>
              <w:spacing w:before="0" w:after="0" w:line="240" w:lineRule="auto"/>
              <w:ind w:firstLine="0" w:left="0"/>
            </w:pPr>
            <w:r>
              <w:rPr>
                <w:sz w:val="20"/>
                <w:szCs w:val="20"/>
              </w:rPr>
              <w:t xml:space="preserve">S1-S10</w:t>
            </w:r>
          </w:p>
        </w:tc>
        <w:tc>
          <w:tcPr/>
          <w:p>
            <w:pPr>
              <w:pStyle w:val="Compact"/>
              <w:spacing w:before="0" w:after="0" w:line="240" w:lineRule="auto"/>
              <w:ind w:firstLine="0" w:left="0"/>
            </w:pPr>
            <w:r>
              <w:rPr>
                <w:sz w:val="20"/>
                <w:szCs w:val="20"/>
              </w:rPr>
              <w:t xml:space="preserve">04_estimate.py, 06_figures.py</w:t>
            </w:r>
          </w:p>
        </w:tc>
        <w:tc>
          <w:tcPr/>
          <w:p>
            <w:pPr>
              <w:pStyle w:val="Compact"/>
              <w:spacing w:before="0" w:after="0" w:line="240" w:lineRule="auto"/>
              <w:ind w:firstLine="0" w:left="0"/>
            </w:pPr>
            <w:r>
              <w:rPr>
                <w:sz w:val="20"/>
                <w:szCs w:val="20"/>
              </w:rPr>
              <w:t xml:space="preserve">04_estimate.do</w:t>
            </w:r>
          </w:p>
        </w:tc>
      </w:tr>
      <w:tr>
        <w:tc>
          <w:tcPr/>
          <w:p>
            <w:pPr>
              <w:pStyle w:val="Compact"/>
              <w:spacing w:before="0" w:after="0" w:line="240" w:lineRule="auto"/>
              <w:ind w:firstLine="0" w:left="0"/>
            </w:pPr>
            <w:r>
              <w:rPr>
                <w:sz w:val="20"/>
                <w:szCs w:val="20"/>
              </w:rPr>
              <w:t xml:space="preserve">Figure 7</w:t>
            </w:r>
          </w:p>
        </w:tc>
        <w:tc>
          <w:tcPr/>
          <w:p>
            <w:pPr>
              <w:pStyle w:val="Compact"/>
              <w:spacing w:before="0" w:after="0" w:line="240" w:lineRule="auto"/>
              <w:ind w:firstLine="0" w:left="0"/>
            </w:pPr>
            <w:r>
              <w:rPr>
                <w:sz w:val="20"/>
                <w:szCs w:val="20"/>
              </w:rPr>
              <w:t xml:space="preserve">2026: actual vs fuel-driven change</w:t>
            </w:r>
          </w:p>
        </w:tc>
        <w:tc>
          <w:tcPr/>
          <w:p>
            <w:pPr>
              <w:pStyle w:val="Compact"/>
              <w:spacing w:before="0" w:after="0" w:line="240" w:lineRule="auto"/>
              <w:ind w:firstLine="0" w:left="0"/>
            </w:pPr>
            <w:r>
              <w:rPr>
                <w:sz w:val="20"/>
                <w:szCs w:val="20"/>
              </w:rPr>
              <w:t xml:space="preserve">S1-S4</w:t>
            </w:r>
          </w:p>
        </w:tc>
        <w:tc>
          <w:tcPr/>
          <w:p>
            <w:pPr>
              <w:pStyle w:val="Compact"/>
              <w:spacing w:before="0" w:after="0" w:line="240" w:lineRule="auto"/>
              <w:ind w:firstLine="0" w:left="0"/>
            </w:pPr>
            <w:r>
              <w:rPr>
                <w:sz w:val="20"/>
                <w:szCs w:val="20"/>
              </w:rPr>
              <w:t xml:space="preserve">05_policy_2026.py, 06_figures.py</w:t>
            </w:r>
          </w:p>
        </w:tc>
        <w:tc>
          <w:tcPr/>
          <w:p>
            <w:pPr>
              <w:pStyle w:val="Compact"/>
              <w:spacing w:before="0" w:after="0" w:line="240" w:lineRule="auto"/>
              <w:ind w:firstLine="0" w:left="0"/>
            </w:pPr>
            <w:r>
              <w:rPr>
                <w:sz w:val="20"/>
                <w:szCs w:val="20"/>
              </w:rPr>
              <w:t xml:space="preserve">05_policy_2026.do</w:t>
            </w:r>
          </w:p>
        </w:tc>
      </w:tr>
      <w:tr>
        <w:tc>
          <w:tcPr/>
          <w:p>
            <w:pPr>
              <w:pStyle w:val="Compact"/>
              <w:spacing w:before="0" w:after="0" w:line="240" w:lineRule="auto"/>
              <w:ind w:firstLine="0" w:left="0"/>
            </w:pPr>
            <w:r>
              <w:rPr>
                <w:sz w:val="20"/>
                <w:szCs w:val="20"/>
              </w:rPr>
              <w:t xml:space="preserve">Table 10</w:t>
            </w:r>
          </w:p>
        </w:tc>
        <w:tc>
          <w:tcPr/>
          <w:p>
            <w:pPr>
              <w:pStyle w:val="Compact"/>
              <w:spacing w:before="0" w:after="0" w:line="240" w:lineRule="auto"/>
              <w:ind w:firstLine="0" w:left="0"/>
            </w:pPr>
            <w:r>
              <w:rPr>
                <w:sz w:val="20"/>
                <w:szCs w:val="20"/>
              </w:rPr>
              <w:t xml:space="preserve">2026 by region; peso cost for a poverty-line family</w:t>
            </w:r>
          </w:p>
        </w:tc>
        <w:tc>
          <w:tcPr/>
          <w:p>
            <w:pPr>
              <w:pStyle w:val="Compact"/>
              <w:spacing w:before="0" w:after="0" w:line="240" w:lineRule="auto"/>
              <w:ind w:firstLine="0" w:left="0"/>
            </w:pPr>
            <w:r>
              <w:rPr>
                <w:sz w:val="20"/>
                <w:szCs w:val="20"/>
              </w:rPr>
              <w:t xml:space="preserve">S1-S5</w:t>
            </w:r>
          </w:p>
        </w:tc>
        <w:tc>
          <w:tcPr/>
          <w:p>
            <w:pPr>
              <w:pStyle w:val="Compact"/>
              <w:spacing w:before="0" w:after="0" w:line="240" w:lineRule="auto"/>
              <w:ind w:firstLine="0" w:left="0"/>
            </w:pPr>
            <w:r>
              <w:rPr>
                <w:sz w:val="20"/>
                <w:szCs w:val="20"/>
              </w:rPr>
              <w:t xml:space="preserve">05_policy_2026.py</w:t>
            </w:r>
          </w:p>
        </w:tc>
        <w:tc>
          <w:tcPr/>
          <w:p>
            <w:pPr>
              <w:pStyle w:val="Compact"/>
              <w:spacing w:before="0" w:after="0" w:line="240" w:lineRule="auto"/>
              <w:ind w:firstLine="0" w:left="0"/>
            </w:pPr>
            <w:r>
              <w:rPr>
                <w:sz w:val="20"/>
                <w:szCs w:val="20"/>
              </w:rPr>
              <w:t xml:space="preserve">05_policy_2026.do</w:t>
            </w:r>
          </w:p>
        </w:tc>
      </w:tr>
      <w:tr>
        <w:tc>
          <w:tcPr/>
          <w:p>
            <w:pPr>
              <w:pStyle w:val="Compact"/>
              <w:spacing w:before="0" w:after="0" w:line="240" w:lineRule="auto"/>
              <w:ind w:firstLine="0" w:left="0"/>
            </w:pPr>
            <w:r>
              <w:rPr>
                <w:sz w:val="20"/>
                <w:szCs w:val="20"/>
              </w:rPr>
              <w:t xml:space="preserve">Table 11</w:t>
            </w:r>
          </w:p>
        </w:tc>
        <w:tc>
          <w:tcPr/>
          <w:p>
            <w:pPr>
              <w:pStyle w:val="Compact"/>
              <w:spacing w:before="0" w:after="0" w:line="240" w:lineRule="auto"/>
              <w:ind w:firstLine="0" w:left="0"/>
            </w:pPr>
            <w:r>
              <w:rPr>
                <w:sz w:val="20"/>
                <w:szCs w:val="20"/>
              </w:rPr>
              <w:t xml:space="preserve">LPG, kerosene, solid fuels, fares, cereals: both baskets</w:t>
            </w:r>
          </w:p>
        </w:tc>
        <w:tc>
          <w:tcPr/>
          <w:p>
            <w:pPr>
              <w:pStyle w:val="Compact"/>
              <w:spacing w:before="0" w:after="0" w:line="240" w:lineRule="auto"/>
              <w:ind w:firstLine="0" w:left="0"/>
            </w:pPr>
            <w:r>
              <w:rPr>
                <w:sz w:val="20"/>
                <w:szCs w:val="20"/>
              </w:rPr>
              <w:t xml:space="preserve">S1, S3</w:t>
            </w:r>
          </w:p>
        </w:tc>
        <w:tc>
          <w:tcPr/>
          <w:p>
            <w:pPr>
              <w:pStyle w:val="Compact"/>
              <w:spacing w:before="0" w:after="0" w:line="240" w:lineRule="auto"/>
              <w:ind w:firstLine="0" w:left="0"/>
            </w:pPr>
            <w:r>
              <w:rPr>
                <w:sz w:val="20"/>
                <w:szCs w:val="20"/>
              </w:rPr>
              <w:t xml:space="preserve">05_policy_2026.py</w:t>
            </w:r>
          </w:p>
        </w:tc>
        <w:tc>
          <w:tcPr/>
          <w:p>
            <w:pPr>
              <w:pStyle w:val="Compact"/>
              <w:spacing w:before="0" w:after="0" w:line="240" w:lineRule="auto"/>
              <w:ind w:firstLine="0" w:left="0"/>
            </w:pPr>
            <w:r>
              <w:rPr>
                <w:sz w:val="20"/>
                <w:szCs w:val="20"/>
              </w:rPr>
              <w:t xml:space="preserve">05_policy_2026.do</w:t>
            </w:r>
          </w:p>
        </w:tc>
      </w:tr>
      <w:tr>
        <w:tc>
          <w:tcPr/>
          <w:p>
            <w:pPr>
              <w:pStyle w:val="Compact"/>
              <w:spacing w:before="0" w:after="0" w:line="240" w:lineRule="auto"/>
              <w:ind w:firstLine="0" w:left="0"/>
            </w:pPr>
            <w:r>
              <w:rPr>
                <w:sz w:val="20"/>
                <w:szCs w:val="20"/>
              </w:rPr>
              <w:t xml:space="preserve">Figure 8</w:t>
            </w:r>
          </w:p>
        </w:tc>
        <w:tc>
          <w:tcPr/>
          <w:p>
            <w:pPr>
              <w:pStyle w:val="Compact"/>
              <w:spacing w:before="0" w:after="0" w:line="240" w:lineRule="auto"/>
              <w:ind w:firstLine="0" w:left="0"/>
            </w:pPr>
            <w:r>
              <w:rPr>
                <w:sz w:val="20"/>
                <w:szCs w:val="20"/>
              </w:rPr>
              <w:t xml:space="preserve">Item contributions to the 2026 gap</w:t>
            </w:r>
          </w:p>
        </w:tc>
        <w:tc>
          <w:tcPr/>
          <w:p>
            <w:pPr>
              <w:pStyle w:val="Compact"/>
              <w:spacing w:before="0" w:after="0" w:line="240" w:lineRule="auto"/>
              <w:ind w:firstLine="0" w:left="0"/>
            </w:pPr>
            <w:r>
              <w:rPr>
                <w:sz w:val="20"/>
                <w:szCs w:val="20"/>
              </w:rPr>
              <w:t xml:space="preserve">S2, S4</w:t>
            </w:r>
          </w:p>
        </w:tc>
        <w:tc>
          <w:tcPr/>
          <w:p>
            <w:pPr>
              <w:pStyle w:val="Compact"/>
              <w:spacing w:before="0" w:after="0" w:line="240" w:lineRule="auto"/>
              <w:ind w:firstLine="0" w:left="0"/>
            </w:pPr>
            <w:r>
              <w:rPr>
                <w:sz w:val="20"/>
                <w:szCs w:val="20"/>
              </w:rPr>
              <w:t xml:space="preserve">05_policy_2026.py, 06_figures.py</w:t>
            </w:r>
          </w:p>
        </w:tc>
        <w:tc>
          <w:tcPr/>
          <w:p>
            <w:pPr>
              <w:pStyle w:val="Compact"/>
              <w:spacing w:before="0" w:after="0" w:line="240" w:lineRule="auto"/>
              <w:ind w:firstLine="0" w:left="0"/>
            </w:pPr>
            <w:r>
              <w:rPr>
                <w:sz w:val="20"/>
                <w:szCs w:val="20"/>
              </w:rPr>
              <w:t xml:space="preserve">05_policy_2026.do</w:t>
            </w:r>
          </w:p>
        </w:tc>
      </w:tr>
      <w:tr>
        <w:tc>
          <w:tcPr/>
          <w:p>
            <w:pPr>
              <w:pStyle w:val="Compact"/>
              <w:spacing w:before="0" w:after="0" w:line="240" w:lineRule="auto"/>
              <w:ind w:firstLine="0" w:left="0"/>
            </w:pPr>
            <w:r>
              <w:rPr>
                <w:sz w:val="20"/>
                <w:szCs w:val="20"/>
              </w:rPr>
              <w:t xml:space="preserve">Figure B1</w:t>
            </w:r>
          </w:p>
        </w:tc>
        <w:tc>
          <w:tcPr/>
          <w:p>
            <w:pPr>
              <w:pStyle w:val="Compact"/>
              <w:spacing w:before="0" w:after="0" w:line="240" w:lineRule="auto"/>
              <w:ind w:firstLine="0" w:left="0"/>
            </w:pPr>
            <w:r>
              <w:rPr>
                <w:sz w:val="20"/>
                <w:szCs w:val="20"/>
              </w:rPr>
              <w:t xml:space="preserve">All 13 CPI divisions</w:t>
            </w:r>
          </w:p>
        </w:tc>
        <w:tc>
          <w:tcPr/>
          <w:p>
            <w:pPr>
              <w:pStyle w:val="Compact"/>
              <w:spacing w:before="0" w:after="0" w:line="240" w:lineRule="auto"/>
              <w:ind w:firstLine="0" w:left="0"/>
            </w:pPr>
            <w:r>
              <w:rPr>
                <w:sz w:val="20"/>
                <w:szCs w:val="20"/>
              </w:rPr>
              <w:t xml:space="preserve">S1, S3</w:t>
            </w:r>
          </w:p>
        </w:tc>
        <w:tc>
          <w:tcPr/>
          <w:p>
            <w:pPr>
              <w:pStyle w:val="Compact"/>
              <w:spacing w:before="0" w:after="0" w:line="240" w:lineRule="auto"/>
              <w:ind w:firstLine="0" w:left="0"/>
            </w:pPr>
            <w:r>
              <w:rPr>
                <w:sz w:val="20"/>
                <w:szCs w:val="20"/>
              </w:rPr>
              <w:t xml:space="preserve">04_estimate.py, 06_figures.py</w:t>
            </w:r>
          </w:p>
        </w:tc>
        <w:tc>
          <w:tcPr/>
          <w:p>
            <w:pPr>
              <w:pStyle w:val="Compact"/>
              <w:spacing w:before="0" w:after="0" w:line="240" w:lineRule="auto"/>
              <w:ind w:firstLine="0" w:left="0"/>
            </w:pPr>
            <w:r>
              <w:rPr>
                <w:sz w:val="20"/>
                <w:szCs w:val="20"/>
              </w:rPr>
              <w:t xml:space="preserve">04_estimate.do</w:t>
            </w:r>
          </w:p>
        </w:tc>
      </w:tr>
      <w:tr>
        <w:tc>
          <w:tcPr/>
          <w:p>
            <w:pPr>
              <w:pStyle w:val="Compact"/>
              <w:spacing w:before="0" w:after="0" w:line="240" w:lineRule="auto"/>
              <w:ind w:firstLine="0" w:left="0"/>
            </w:pPr>
            <w:r>
              <w:rPr>
                <w:sz w:val="20"/>
                <w:szCs w:val="20"/>
              </w:rPr>
              <w:t xml:space="preserve">Tables B2–B3</w:t>
            </w:r>
          </w:p>
        </w:tc>
        <w:tc>
          <w:tcPr/>
          <w:p>
            <w:pPr>
              <w:pStyle w:val="Compact"/>
              <w:spacing w:before="0" w:after="0" w:line="240" w:lineRule="auto"/>
              <w:ind w:firstLine="0" w:left="0"/>
            </w:pPr>
            <w:r>
              <w:rPr>
                <w:sz w:val="20"/>
                <w:szCs w:val="20"/>
              </w:rPr>
              <w:t xml:space="preserve">Region-group interactions; other robustness checks</w:t>
            </w:r>
          </w:p>
        </w:tc>
        <w:tc>
          <w:tcPr/>
          <w:p>
            <w:pPr>
              <w:pStyle w:val="Compact"/>
              <w:spacing w:before="0" w:after="0" w:line="240" w:lineRule="auto"/>
              <w:ind w:firstLine="0" w:left="0"/>
            </w:pPr>
            <w:r>
              <w:rPr>
                <w:sz w:val="20"/>
                <w:szCs w:val="20"/>
              </w:rPr>
              <w:t xml:space="preserve">S1-S10</w:t>
            </w:r>
          </w:p>
        </w:tc>
        <w:tc>
          <w:tcPr/>
          <w:p>
            <w:pPr>
              <w:pStyle w:val="Compact"/>
              <w:spacing w:before="0" w:after="0" w:line="240" w:lineRule="auto"/>
              <w:ind w:firstLine="0" w:left="0"/>
            </w:pPr>
            <w:r>
              <w:rPr>
                <w:sz w:val="20"/>
                <w:szCs w:val="20"/>
              </w:rPr>
              <w:t xml:space="preserve">04_estimate.py</w:t>
            </w:r>
          </w:p>
        </w:tc>
        <w:tc>
          <w:tcPr/>
          <w:p>
            <w:pPr>
              <w:pStyle w:val="Compact"/>
              <w:spacing w:before="0" w:after="0" w:line="240" w:lineRule="auto"/>
              <w:ind w:firstLine="0" w:left="0"/>
            </w:pPr>
            <w:r>
              <w:rPr>
                <w:sz w:val="20"/>
                <w:szCs w:val="20"/>
              </w:rPr>
              <w:t xml:space="preserve">04_estimate.do</w:t>
            </w:r>
          </w:p>
        </w:tc>
      </w:tr>
      <w:tr>
        <w:tc>
          <w:tcPr/>
          <w:p>
            <w:pPr>
              <w:pStyle w:val="Compact"/>
              <w:spacing w:before="0" w:after="0" w:line="240" w:lineRule="auto"/>
              <w:ind w:firstLine="0" w:left="0"/>
            </w:pPr>
            <w:r>
              <w:rPr>
                <w:sz w:val="20"/>
                <w:szCs w:val="20"/>
              </w:rPr>
              <w:t xml:space="preserve">Figure B2</w:t>
            </w:r>
          </w:p>
        </w:tc>
        <w:tc>
          <w:tcPr/>
          <w:p>
            <w:pPr>
              <w:pStyle w:val="Compact"/>
              <w:spacing w:before="0" w:after="0" w:line="240" w:lineRule="auto"/>
              <w:ind w:firstLine="0" w:left="0"/>
            </w:pPr>
            <w:r>
              <w:rPr>
                <w:sz w:val="20"/>
                <w:szCs w:val="20"/>
              </w:rPr>
              <w:t xml:space="preserve">Region-group interactions</w:t>
            </w:r>
          </w:p>
        </w:tc>
        <w:tc>
          <w:tcPr/>
          <w:p>
            <w:pPr>
              <w:pStyle w:val="Compact"/>
              <w:spacing w:before="0" w:after="0" w:line="240" w:lineRule="auto"/>
              <w:ind w:firstLine="0" w:left="0"/>
            </w:pPr>
            <w:r>
              <w:rPr>
                <w:sz w:val="20"/>
                <w:szCs w:val="20"/>
              </w:rPr>
              <w:t xml:space="preserve">S1-S5</w:t>
            </w:r>
          </w:p>
        </w:tc>
        <w:tc>
          <w:tcPr/>
          <w:p>
            <w:pPr>
              <w:pStyle w:val="Compact"/>
              <w:spacing w:before="0" w:after="0" w:line="240" w:lineRule="auto"/>
              <w:ind w:firstLine="0" w:left="0"/>
            </w:pPr>
            <w:r>
              <w:rPr>
                <w:sz w:val="20"/>
                <w:szCs w:val="20"/>
              </w:rPr>
              <w:t xml:space="preserve">04_estimate.py, 06_figures.py</w:t>
            </w:r>
          </w:p>
        </w:tc>
        <w:tc>
          <w:tcPr/>
          <w:p>
            <w:pPr>
              <w:pStyle w:val="Compact"/>
              <w:spacing w:before="0" w:after="0" w:line="240" w:lineRule="auto"/>
              <w:ind w:firstLine="0" w:left="0"/>
            </w:pPr>
            <w:r>
              <w:rPr>
                <w:sz w:val="20"/>
                <w:szCs w:val="20"/>
              </w:rPr>
              <w:t xml:space="preserve">04_estimate.do</w:t>
            </w:r>
          </w:p>
        </w:tc>
      </w:tr>
      <w:tr>
        <w:tc>
          <w:tcPr/>
          <w:p>
            <w:pPr>
              <w:pStyle w:val="Compact"/>
              <w:spacing w:before="0" w:after="0" w:line="240" w:lineRule="auto"/>
              <w:ind w:firstLine="0" w:left="0"/>
            </w:pPr>
            <w:r>
              <w:rPr>
                <w:sz w:val="20"/>
                <w:szCs w:val="20"/>
              </w:rPr>
              <w:t xml:space="preserve">Figure B3</w:t>
            </w:r>
          </w:p>
        </w:tc>
        <w:tc>
          <w:tcPr/>
          <w:p>
            <w:pPr>
              <w:pStyle w:val="Compact"/>
              <w:spacing w:before="0" w:after="0" w:line="240" w:lineRule="auto"/>
              <w:ind w:firstLine="0" w:left="0"/>
            </w:pPr>
            <w:r>
              <w:rPr>
                <w:sz w:val="20"/>
                <w:szCs w:val="20"/>
              </w:rPr>
              <w:t xml:space="preserve">Other robustness checks</w:t>
            </w:r>
          </w:p>
        </w:tc>
        <w:tc>
          <w:tcPr/>
          <w:p>
            <w:pPr>
              <w:pStyle w:val="Compact"/>
              <w:spacing w:before="0" w:after="0" w:line="240" w:lineRule="auto"/>
              <w:ind w:firstLine="0" w:left="0"/>
            </w:pPr>
            <w:r>
              <w:rPr>
                <w:sz w:val="20"/>
                <w:szCs w:val="20"/>
              </w:rPr>
              <w:t xml:space="preserve">S1-S10</w:t>
            </w:r>
          </w:p>
        </w:tc>
        <w:tc>
          <w:tcPr/>
          <w:p>
            <w:pPr>
              <w:pStyle w:val="Compact"/>
              <w:spacing w:before="0" w:after="0" w:line="240" w:lineRule="auto"/>
              <w:ind w:firstLine="0" w:left="0"/>
            </w:pPr>
            <w:r>
              <w:rPr>
                <w:sz w:val="20"/>
                <w:szCs w:val="20"/>
              </w:rPr>
              <w:t xml:space="preserve">04_estimate.py, 06_figures.py</w:t>
            </w:r>
          </w:p>
        </w:tc>
        <w:tc>
          <w:tcPr/>
          <w:p>
            <w:pPr>
              <w:pStyle w:val="Compact"/>
              <w:spacing w:before="0" w:after="0" w:line="240" w:lineRule="auto"/>
              <w:ind w:firstLine="0" w:left="0"/>
            </w:pPr>
            <w:r>
              <w:rPr>
                <w:sz w:val="20"/>
                <w:szCs w:val="20"/>
              </w:rPr>
              <w:t xml:space="preserve">04_estimate.do</w:t>
            </w:r>
          </w:p>
        </w:tc>
      </w:tr>
      <w:tr>
        <w:tc>
          <w:tcPr/>
          <w:p>
            <w:pPr>
              <w:pStyle w:val="Compact"/>
              <w:spacing w:before="0" w:after="0" w:line="240" w:lineRule="auto"/>
              <w:ind w:firstLine="0" w:left="0"/>
            </w:pPr>
            <w:r>
              <w:rPr>
                <w:sz w:val="20"/>
                <w:szCs w:val="20"/>
              </w:rPr>
              <w:t xml:space="preserve">Figure B4</w:t>
            </w:r>
          </w:p>
        </w:tc>
        <w:tc>
          <w:tcPr/>
          <w:p>
            <w:pPr>
              <w:pStyle w:val="Compact"/>
              <w:spacing w:before="0" w:after="0" w:line="240" w:lineRule="auto"/>
              <w:ind w:firstLine="0" w:left="0"/>
            </w:pPr>
            <w:r>
              <w:rPr>
                <w:sz w:val="20"/>
                <w:szCs w:val="20"/>
              </w:rPr>
              <w:t xml:space="preserve">Regional inflation and cumulative gap</w:t>
            </w:r>
          </w:p>
        </w:tc>
        <w:tc>
          <w:tcPr/>
          <w:p>
            <w:pPr>
              <w:pStyle w:val="Compact"/>
              <w:spacing w:before="0" w:after="0" w:line="240" w:lineRule="auto"/>
              <w:ind w:firstLine="0" w:left="0"/>
            </w:pPr>
            <w:r>
              <w:rPr>
                <w:sz w:val="20"/>
                <w:szCs w:val="20"/>
              </w:rPr>
              <w:t xml:space="preserve">S1-S5</w:t>
            </w:r>
          </w:p>
        </w:tc>
        <w:tc>
          <w:tcPr/>
          <w:p>
            <w:pPr>
              <w:pStyle w:val="Compact"/>
              <w:spacing w:before="0" w:after="0" w:line="240" w:lineRule="auto"/>
              <w:ind w:firstLine="0" w:left="0"/>
            </w:pPr>
            <w:r>
              <w:rPr>
                <w:sz w:val="20"/>
                <w:szCs w:val="20"/>
              </w:rPr>
              <w:t xml:space="preserve">03_descriptive.py, 06_figures.py</w:t>
            </w:r>
          </w:p>
        </w:tc>
        <w:tc>
          <w:tcPr/>
          <w:p>
            <w:pPr>
              <w:pStyle w:val="Compact"/>
              <w:spacing w:before="0" w:after="0" w:line="240" w:lineRule="auto"/>
              <w:ind w:firstLine="0" w:left="0"/>
            </w:pPr>
            <w:r>
              <w:rPr>
                <w:sz w:val="20"/>
                <w:szCs w:val="20"/>
              </w:rPr>
              <w:t xml:space="preserve">03_descriptive.do</w:t>
            </w:r>
          </w:p>
        </w:tc>
      </w:tr>
      <w:tr>
        <w:tc>
          <w:tcPr/>
          <w:p>
            <w:pPr>
              <w:pStyle w:val="Compact"/>
              <w:spacing w:before="0" w:after="0" w:line="240" w:lineRule="auto"/>
              <w:ind w:firstLine="0" w:left="0"/>
            </w:pPr>
            <w:r>
              <w:rPr>
                <w:sz w:val="20"/>
                <w:szCs w:val="20"/>
              </w:rPr>
              <w:t xml:space="preserve">Table B4</w:t>
            </w:r>
          </w:p>
        </w:tc>
        <w:tc>
          <w:tcPr/>
          <w:p>
            <w:pPr>
              <w:pStyle w:val="Compact"/>
              <w:spacing w:before="0" w:after="0" w:line="240" w:lineRule="auto"/>
              <w:ind w:firstLine="0" w:left="0"/>
            </w:pPr>
            <w:r>
              <w:rPr>
                <w:sz w:val="20"/>
                <w:szCs w:val="20"/>
              </w:rPr>
              <w:t xml:space="preserve">Cross-correlations</w:t>
            </w:r>
          </w:p>
        </w:tc>
        <w:tc>
          <w:tcPr/>
          <w:p>
            <w:pPr>
              <w:pStyle w:val="Compact"/>
              <w:spacing w:before="0" w:after="0" w:line="240" w:lineRule="auto"/>
              <w:ind w:firstLine="0" w:left="0"/>
            </w:pPr>
            <w:r>
              <w:rPr>
                <w:sz w:val="20"/>
                <w:szCs w:val="20"/>
              </w:rPr>
              <w:t xml:space="preserve">S1-S4</w:t>
            </w:r>
          </w:p>
        </w:tc>
        <w:tc>
          <w:tcPr/>
          <w:p>
            <w:pPr>
              <w:pStyle w:val="Compact"/>
              <w:spacing w:before="0" w:after="0" w:line="240" w:lineRule="auto"/>
              <w:ind w:firstLine="0" w:left="0"/>
            </w:pPr>
            <w:r>
              <w:rPr>
                <w:sz w:val="20"/>
                <w:szCs w:val="20"/>
              </w:rPr>
              <w:t xml:space="preserve">03_descriptive.py</w:t>
            </w:r>
          </w:p>
        </w:tc>
        <w:tc>
          <w:tcPr/>
          <w:p>
            <w:pPr>
              <w:pStyle w:val="Compact"/>
              <w:spacing w:before="0" w:after="0" w:line="240" w:lineRule="auto"/>
              <w:ind w:firstLine="0" w:left="0"/>
            </w:pPr>
            <w:r>
              <w:rPr>
                <w:sz w:val="20"/>
                <w:szCs w:val="20"/>
              </w:rPr>
              <w:t xml:space="preserve">03_descriptive.do</w:t>
            </w:r>
          </w:p>
        </w:tc>
      </w:tr>
    </w:tbl>
    <w:p>
      <w:pPr>
        <w:pStyle w:val="TableNote"/>
      </w:pPr>
      <w:r>
        <w:rPr>
          <w:i/>
          <w:iCs/>
        </w:rPr>
        <w:t xml:space="preserve">Notes:</w:t>
      </w:r>
      <w:r>
        <w:t xml:space="preserve"> </w:t>
      </w:r>
      <w:r>
        <w:t xml:space="preserve">Scripts are in</w:t>
      </w:r>
      <w:r>
        <w:t xml:space="preserve"> </w:t>
      </w:r>
      <w:r>
        <w:rPr>
          <w:rStyle w:val="VerbatimChar"/>
        </w:rPr>
        <w:t xml:space="preserve">code/python/</w:t>
      </w:r>
      <w:r>
        <w:t xml:space="preserve"> </w:t>
      </w:r>
      <w:r>
        <w:t xml:space="preserve">and</w:t>
      </w:r>
      <w:r>
        <w:t xml:space="preserve"> </w:t>
      </w:r>
      <w:r>
        <w:rPr>
          <w:rStyle w:val="VerbatimChar"/>
        </w:rPr>
        <w:t xml:space="preserve">code/stata/</w:t>
      </w:r>
      <w:r>
        <w:t xml:space="preserve">; outputs in</w:t>
      </w:r>
      <w:r>
        <w:t xml:space="preserve"> </w:t>
      </w:r>
      <w:r>
        <w:rPr>
          <w:rStyle w:val="VerbatimChar"/>
        </w:rPr>
        <w:t xml:space="preserve">output/tables/</w:t>
      </w:r>
      <w:r>
        <w:t xml:space="preserve"> </w:t>
      </w:r>
      <w:r>
        <w:t xml:space="preserve">and</w:t>
      </w:r>
      <w:r>
        <w:t xml:space="preserve"> </w:t>
      </w:r>
      <w:r>
        <w:rPr>
          <w:rStyle w:val="VerbatimChar"/>
        </w:rPr>
        <w:t xml:space="preserve">output/figures/</w:t>
      </w:r>
      <w:r>
        <w:t xml:space="preserve">. Every number in the text comes from</w:t>
      </w:r>
      <w:r>
        <w:t xml:space="preserve"> </w:t>
      </w:r>
      <w:r>
        <w:rPr>
          <w:rStyle w:val="VerbatimChar"/>
        </w:rPr>
        <w:t xml:space="preserve">output/tables/paper_numbers.json</w:t>
      </w:r>
      <w:r>
        <w:t xml:space="preserve">, written by</w:t>
      </w:r>
      <w:r>
        <w:t xml:space="preserve"> </w:t>
      </w:r>
      <w:r>
        <w:rPr>
          <w:rStyle w:val="VerbatimChar"/>
        </w:rPr>
        <w:t xml:space="preserve">07_papers.py</w:t>
      </w:r>
      <w:r>
        <w:t xml:space="preserve">.</w:t>
      </w:r>
    </w:p>
    <w:bookmarkEnd w:id="199"/>
    <w:bookmarkEnd w:id="200"/>
    <w:sectPr>
      <w:footerReference r:id="rId9" w:type="default"/>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after="0"/>
      <w:ind w:firstLine="0"/>
      <w:jc w:val="center"/>
    </w:pPr>
    <w:r/>
    <w:r>
      <w:rPr>
        <w:rFonts w:ascii="Times New Roman" w:hAnsi="Times New Roman" w:eastAsia="Times New Roman" w:cs="Times New Roman"/>
        <w:sz w:val="24"/>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Graduate School of Applied Economics, University of Southeastern Philippines, Davao City.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480" w:lineRule="auto"/>
      <w:ind w:left="0" w:right="0" w:firstLine="720"/>
      <w:jc w:val="left"/>
    </w:pPr>
    <w:rPr>
      <w:rFonts w:ascii="Times New Roman" w:cs="Times New Roman" w:eastAsia="Times New Roman" w:hAnsi="Times New Roman"/>
      <w:b w:val="0"/>
      <w:i w:val="0"/>
      <w:color w:val="000000"/>
      <w:sz w:val="24"/>
    </w:rPr>
  </w:style>
  <w:style w:styleId="BodyText" w:type="paragraph">
    <w:name w:val="Body Text"/>
    <w:basedOn w:val="Normal"/>
    <w:link w:val="BodyTextChar"/>
    <w:pPr>
      <w:keepNext w:val="0"/>
      <w:widowControl/>
      <w:spacing w:after="0" w:before="0" w:line="480" w:lineRule="auto"/>
      <w:ind w:left="0" w:right="0" w:firstLine="720"/>
      <w:jc w:val="left"/>
    </w:pPr>
    <w:qFormat/>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keepNext w:val="0"/>
      <w:widowControl/>
      <w:spacing w:after="0" w:before="0" w:line="480" w:lineRule="auto"/>
      <w:ind w:left="0" w:right="0" w:firstLine="0"/>
      <w:jc w:val="left"/>
    </w:pPr>
    <w:rPr>
      <w:rFonts w:ascii="Times New Roman" w:cs="Times New Roman" w:eastAsia="Times New Roman" w:hAnsi="Times New Roman"/>
      <w:b w:val="0"/>
      <w:i w:val="0"/>
      <w:color w:val="000000"/>
      <w:sz w:val="24"/>
    </w:rPr>
  </w:style>
  <w:style w:customStyle="1" w:styleId="Compact" w:type="paragraph">
    <w:name w:val="Compact"/>
    <w:basedOn w:val="BodyText"/>
    <w:qFormat/>
    <w:pPr>
      <w:keepNext w:val="0"/>
      <w:widowControl/>
      <w:spacing w:after="0" w:before="0" w:line="240" w:lineRule="auto"/>
      <w:ind w:left="0" w:right="0" w:firstLine="0"/>
      <w:jc w:val="left"/>
    </w:pPr>
    <w:rPr>
      <w:rFonts w:ascii="Times New Roman" w:cs="Times New Roman" w:eastAsia="Times New Roman" w:hAnsi="Times New Roman"/>
      <w:b w:val="0"/>
      <w:i w:val="0"/>
      <w:color w:val="000000"/>
      <w:sz w:val="24"/>
    </w:rPr>
  </w:style>
  <w:style w:styleId="Title" w:type="paragraph">
    <w:name w:val="Title"/>
    <w:basedOn w:val="Normal"/>
    <w:next w:val="BodyText"/>
    <w:qFormat/>
    <w:pPr>
      <w:keepNext/>
      <w:keepLines/>
      <w:widowControl/>
      <w:spacing w:after="240" w:before="0" w:line="240" w:lineRule="auto"/>
      <w:ind w:left="0" w:right="0" w:firstLine="0"/>
      <w:jc w:val="center"/>
    </w:pPr>
    <w:rPr>
      <w:rFonts w:ascii="Times New Roman" w:cs="Times New Roman" w:eastAsia="Times New Roman" w:hAnsi="Times New Roman"/>
      <w:b/>
      <w:bCs/>
      <w:i w:val="0"/>
      <w:color w:val="000000"/>
      <w:sz w:val="28"/>
      <w:szCs w:val="36"/>
    </w:rPr>
  </w:style>
  <w:style w:styleId="Subtitle" w:type="paragraph">
    <w:name w:val="Subtitle"/>
    <w:basedOn w:val="Title"/>
    <w:next w:val="BodyText"/>
    <w:qFormat/>
    <w:pPr>
      <w:keepNext/>
      <w:keepLines/>
      <w:widowControl/>
      <w:spacing w:after="240" w:before="0" w:line="240" w:lineRule="auto"/>
      <w:ind w:left="0" w:right="0" w:firstLine="0"/>
      <w:jc w:val="center"/>
    </w:pPr>
    <w:rPr>
      <w:rFonts w:ascii="Times New Roman" w:cs="Times New Roman" w:eastAsia="Times New Roman" w:hAnsi="Times New Roman"/>
      <w:b w:val="0"/>
      <w:i w:val="0"/>
      <w:color w:val="000000"/>
      <w:sz w:val="24"/>
      <w:szCs w:val="30"/>
    </w:rPr>
  </w:style>
  <w:style w:customStyle="1" w:styleId="Author" w:type="paragraph">
    <w:name w:val="Author"/>
    <w:next w:val="BodyText"/>
    <w:qFormat/>
    <w:pPr>
      <w:keepNext/>
      <w:keepLines/>
      <w:widowControl/>
      <w:spacing w:after="0" w:before="0" w:line="240" w:lineRule="auto"/>
      <w:ind w:left="0" w:right="0" w:firstLine="0"/>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widowControl/>
      <w:spacing w:after="480" w:before="0" w:line="240" w:lineRule="auto"/>
      <w:ind w:left="0" w:right="0" w:firstLine="0"/>
      <w:jc w:val="center"/>
    </w:pPr>
    <w:rPr>
      <w:rFonts w:ascii="Times New Roman" w:cs="Times New Roman" w:eastAsia="Times New Roman" w:hAnsi="Times New Roman"/>
      <w:b w:val="0"/>
      <w:i w:val="0"/>
      <w:color w:val="000000"/>
      <w:sz w:val="24"/>
    </w:rPr>
  </w:style>
  <w:style w:customStyle="1" w:styleId="AbstractTitle" w:type="paragraph">
    <w:name w:val="Abstract Title"/>
    <w:basedOn w:val="Normal"/>
    <w:next w:val="Abstract"/>
    <w:qFormat/>
    <w:pPr>
      <w:keepNext/>
      <w:keepLines/>
      <w:ind w:left="0" w:right="0" w:firstLine="0"/>
      <w:jc w:val="center"/>
      <w:widowControl/>
      <w:spacing w:after="120" w:before="240" w:line="240" w:lineRule="auto"/>
    </w:pPr>
    <w:rPr>
      <w:color w:val="000000"/>
      <w:sz w:val="24"/>
      <w:szCs w:val="20"/>
      <w:rFonts w:ascii="Times New Roman" w:cs="Times New Roman" w:eastAsia="Times New Roman" w:hAnsi="Times New Roman"/>
      <w:b/>
      <w:i w:val="0"/>
    </w:rPr>
  </w:style>
  <w:style w:customStyle="1" w:styleId="Abstract" w:type="paragraph">
    <w:name w:val="Abstract"/>
    <w:basedOn w:val="Normal"/>
    <w:next w:val="BodyText"/>
    <w:qFormat/>
    <w:pPr>
      <w:keepNext w:val="0"/>
      <w:keepLines/>
      <w:widowControl/>
      <w:spacing w:after="240" w:before="0" w:line="240" w:lineRule="auto"/>
      <w:ind w:left="720" w:right="720" w:firstLine="0"/>
      <w:jc w:val="both"/>
    </w:pPr>
    <w:rPr>
      <w:rFonts w:ascii="Times New Roman" w:cs="Times New Roman" w:eastAsia="Times New Roman" w:hAnsi="Times New Roman"/>
      <w:b w:val="0"/>
      <w:i w:val="0"/>
      <w:color w:val="000000"/>
      <w:sz w:val="24"/>
      <w:szCs w:val="20"/>
    </w:rPr>
  </w:style>
  <w:style w:styleId="Bibliography" w:type="paragraph">
    <w:name w:val="Bibliography"/>
    <w:basedOn w:val="Normal"/>
    <w:next w:val="Bibliography"/>
    <w:qFormat/>
    <w:pPr>
      <w:keepNext w:val="0"/>
      <w:widowControl/>
      <w:spacing w:after="120" w:before="0" w:line="240" w:lineRule="auto"/>
      <w:ind w:left="720" w:right="0" w:hanging="720"/>
      <w:jc w:val="left"/>
    </w:pPr>
    <w:rPr>
      <w:rFonts w:ascii="Times New Roman" w:cs="Times New Roman" w:eastAsia="Times New Roman" w:hAnsi="Times New Roman"/>
      <w:b w:val="0"/>
      <w:i w:val="0"/>
      <w:color w:val="000000"/>
      <w:sz w:val="24"/>
    </w:rPr>
  </w:style>
  <w:style w:styleId="Heading1" w:type="paragraph">
    <w:name w:val="Heading 1"/>
    <w:basedOn w:val="Normal"/>
    <w:next w:val="BodyText"/>
    <w:uiPriority w:val="9"/>
    <w:qFormat/>
    <w:pPr>
      <w:keepNext/>
      <w:keepLines/>
      <w:widowControl/>
      <w:spacing w:after="0" w:before="240" w:line="480" w:lineRule="auto"/>
      <w:ind w:left="0" w:right="0" w:firstLine="0"/>
      <w:jc w:val="left"/>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widowControl/>
      <w:spacing w:after="0" w:before="240" w:line="480" w:lineRule="auto"/>
      <w:ind w:left="0" w:right="0" w:firstLine="0"/>
      <w:jc w:val="left"/>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widowControl/>
      <w:spacing w:after="0" w:before="240" w:line="480" w:lineRule="auto"/>
      <w:ind w:left="0" w:right="0" w:firstLine="0"/>
      <w:jc w:val="left"/>
      <w:outlineLvl w:val="2"/>
    </w:pPr>
    <w:rPr>
      <w:rFonts w:ascii="Times New Roman" w:cs="Times New Roman" w:eastAsia="Times New Roman" w:hAnsi="Times New Roman"/>
      <w:b w:val="0"/>
      <w:bCs/>
      <w:i/>
      <w:color w:val="000000"/>
      <w:sz w:val="24"/>
      <w:szCs w:val="24"/>
    </w:rPr>
  </w:style>
  <w:style w:styleId="Heading4" w:type="paragraph">
    <w:name w:val="Heading 4"/>
    <w:basedOn w:val="Normal"/>
    <w:next w:val="BodyText"/>
    <w:uiPriority w:val="9"/>
    <w:unhideWhenUsed/>
    <w:qFormat/>
    <w:pPr>
      <w:keepNext/>
      <w:keepLines/>
      <w:widowControl/>
      <w:spacing w:after="0" w:before="240" w:line="480" w:lineRule="auto"/>
      <w:ind w:left="0" w:right="0" w:firstLine="0"/>
      <w:jc w:val="left"/>
      <w:outlineLvl w:val="3"/>
    </w:pPr>
    <w:rPr>
      <w:rFonts w:ascii="Times New Roman" w:cs="Times New Roman" w:eastAsia="Times New Roman" w:hAnsi="Times New Roman"/>
      <w:i/>
      <w:b w:val="0"/>
      <w:bCs/>
      <w:color w:val="000000"/>
      <w:sz w:val="24"/>
      <w:szCs w:val="24"/>
    </w:rPr>
  </w:style>
  <w:style w:styleId="Heading5" w:type="paragraph">
    <w:name w:val="Heading 5"/>
    <w:basedOn w:val="Normal"/>
    <w:next w:val="BodyText"/>
    <w:uiPriority w:val="9"/>
    <w:unhideWhenUsed/>
    <w:qFormat/>
    <w:pPr>
      <w:keepNext/>
      <w:keepLines/>
      <w:widowControl/>
      <w:spacing w:after="0" w:before="240" w:line="480" w:lineRule="auto"/>
      <w:ind w:left="0" w:right="0" w:firstLine="0"/>
      <w:jc w:val="left"/>
      <w:outlineLvl w:val="4"/>
    </w:pPr>
    <w:rPr>
      <w:rFonts w:ascii="Times New Roman" w:cs="Times New Roman" w:eastAsia="Times New Roman" w:hAnsi="Times New Roman"/>
      <w:b w:val="0"/>
      <w:i/>
      <w:iCs/>
      <w:color w:val="000000"/>
      <w:sz w:val="24"/>
      <w:szCs w:val="24"/>
    </w:rPr>
  </w:style>
  <w:style w:styleId="Heading6" w:type="paragraph">
    <w:name w:val="Heading 6"/>
    <w:basedOn w:val="Normal"/>
    <w:next w:val="BodyText"/>
    <w:uiPriority w:val="9"/>
    <w:unhideWhenUsed/>
    <w:qFormat/>
    <w:pPr>
      <w:keepNext/>
      <w:keepLines/>
      <w:widowControl/>
      <w:spacing w:after="0" w:before="240" w:line="480" w:lineRule="auto"/>
      <w:ind w:left="0" w:right="0" w:firstLine="0"/>
      <w:jc w:val="left"/>
      <w:outlineLvl w:val="5"/>
    </w:pPr>
    <w:rPr>
      <w:rFonts w:ascii="Times New Roman" w:cs="Times New Roman" w:eastAsia="Times New Roman" w:hAnsi="Times New Roman"/>
      <w:b w:val="0"/>
      <w:i/>
      <w:color w:val="000000"/>
      <w:sz w:val="24"/>
      <w:szCs w:val="24"/>
    </w:rPr>
  </w:style>
  <w:style w:styleId="Heading7" w:type="paragraph">
    <w:name w:val="Heading 7"/>
    <w:basedOn w:val="Normal"/>
    <w:next w:val="BodyText"/>
    <w:uiPriority w:val="9"/>
    <w:unhideWhenUsed/>
    <w:qFormat/>
    <w:pPr>
      <w:keepNext/>
      <w:keepLines/>
      <w:widowControl/>
      <w:spacing w:after="0" w:before="240" w:line="480" w:lineRule="auto"/>
      <w:ind w:left="0" w:right="0" w:firstLine="0"/>
      <w:jc w:val="left"/>
      <w:outlineLvl w:val="6"/>
    </w:pPr>
    <w:rPr>
      <w:rFonts w:ascii="Times New Roman" w:cs="Times New Roman" w:eastAsia="Times New Roman" w:hAnsi="Times New Roman"/>
      <w:b w:val="0"/>
      <w:i/>
      <w:color w:val="000000"/>
      <w:sz w:val="24"/>
      <w:szCs w:val="24"/>
    </w:rPr>
  </w:style>
  <w:style w:styleId="Heading8" w:type="paragraph">
    <w:name w:val="Heading 8"/>
    <w:basedOn w:val="Normal"/>
    <w:next w:val="BodyText"/>
    <w:uiPriority w:val="9"/>
    <w:unhideWhenUsed/>
    <w:qFormat/>
    <w:pPr>
      <w:keepNext/>
      <w:keepLines/>
      <w:widowControl/>
      <w:spacing w:after="0" w:before="240" w:line="480" w:lineRule="auto"/>
      <w:ind w:left="0" w:right="0" w:firstLine="0"/>
      <w:jc w:val="left"/>
      <w:outlineLvl w:val="7"/>
    </w:pPr>
    <w:rPr>
      <w:rFonts w:ascii="Times New Roman" w:cs="Times New Roman" w:eastAsia="Times New Roman" w:hAnsi="Times New Roman"/>
      <w:b w:val="0"/>
      <w:i/>
      <w:color w:val="000000"/>
      <w:sz w:val="24"/>
      <w:szCs w:val="24"/>
    </w:rPr>
  </w:style>
  <w:style w:styleId="Heading9" w:type="paragraph">
    <w:name w:val="Heading 9"/>
    <w:basedOn w:val="Normal"/>
    <w:next w:val="BodyText"/>
    <w:uiPriority w:val="9"/>
    <w:unhideWhenUsed/>
    <w:qFormat/>
    <w:pPr>
      <w:keepNext/>
      <w:keepLines/>
      <w:widowControl/>
      <w:spacing w:after="0" w:before="240" w:line="480" w:lineRule="auto"/>
      <w:ind w:left="0" w:right="0" w:firstLine="0"/>
      <w:jc w:val="left"/>
      <w:outlineLvl w:val="8"/>
    </w:pPr>
    <w:rPr>
      <w:rFonts w:ascii="Times New Roman" w:cs="Times New Roman" w:eastAsia="Times New Roman" w:hAnsi="Times New Roman"/>
      <w:b w:val="0"/>
      <w:i/>
      <w:color w:val="000000"/>
      <w:sz w:val="24"/>
      <w:szCs w:val="24"/>
    </w:rPr>
  </w:style>
  <w:style w:styleId="BlockText" w:type="paragraph">
    <w:name w:val="Block Text"/>
    <w:basedOn w:val="BodyText"/>
    <w:next w:val="BodyText"/>
    <w:uiPriority w:val="9"/>
    <w:unhideWhenUsed/>
    <w:qFormat/>
    <w:pPr>
      <w:keepNext w:val="0"/>
      <w:widowControl/>
      <w:spacing w:after="240" w:before="120" w:line="240" w:lineRule="auto"/>
      <w:ind w:left="720" w:right="720" w:firstLine="0"/>
      <w:jc w:val="left"/>
    </w:pPr>
    <w:rPr>
      <w:rFonts w:ascii="Times New Roman" w:cs="Times New Roman" w:eastAsia="Times New Roman" w:hAnsi="Times New Roman"/>
      <w:b w:val="0"/>
      <w:i w:val="0"/>
      <w:color w:val="000000"/>
      <w:sz w:val="24"/>
    </w:rPr>
  </w:style>
  <w:style w:styleId="FootnoteText" w:type="paragraph">
    <w:name w:val="Footnote Text"/>
    <w:basedOn w:val="Normal"/>
    <w:next w:val="FootnoteText"/>
    <w:uiPriority w:val="9"/>
    <w:unhideWhenUsed/>
    <w:qFormat/>
    <w:pPr>
      <w:keepNext w:val="0"/>
      <w:widowControl/>
      <w:spacing w:after="40" w:before="0" w:line="240" w:lineRule="auto"/>
      <w:ind w:left="0" w:right="0" w:firstLine="0"/>
      <w:jc w:val="left"/>
    </w:pPr>
    <w:rPr>
      <w:rFonts w:ascii="Times New Roman" w:cs="Times New Roman" w:eastAsia="Times New Roman" w:hAnsi="Times New Roman"/>
      <w:b w:val="0"/>
      <w:i w:val="0"/>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val="single" w:sz="12" w:space="0" w:color="000000"/>
        <w:left w:val="nil"/>
        <w:bottom w:val="single" w:sz="12" w:space="0" w:color="000000"/>
        <w:right w:val="nil"/>
        <w:insideH w:val="nil"/>
        <w:insideV w:val="nil"/>
      </w:tblBorders>
    </w:tblPr>
    <w:tblStylePr w:type="firstRow">
      <w:tcPr>
        <w:tcBorders>
          <w:bottom w:val="single" w:sz="6" w:space="0" w:color="000000"/>
        </w:tcBorders>
      </w:tcPr>
    </w:tblStylePr>
  </w:style>
  <w:style w:customStyle="1" w:styleId="DefinitionTerm" w:type="paragraph">
    <w:name w:val="Definition Term"/>
    <w:basedOn w:val="Normal"/>
    <w:next w:val="Definition"/>
    <w:pPr>
      <w:keepNext/>
      <w:keepLines/>
      <w:widowControl/>
      <w:spacing w:after="0" w:before="0" w:line="240" w:lineRule="auto"/>
      <w:ind w:left="0" w:right="0" w:firstLine="0"/>
      <w:jc w:val="left"/>
    </w:pPr>
    <w:rPr>
      <w:rFonts w:ascii="Times New Roman" w:cs="Times New Roman" w:eastAsia="Times New Roman" w:hAnsi="Times New Roman"/>
      <w:b/>
      <w:i w:val="0"/>
      <w:color w:val="000000"/>
      <w:sz w:val="24"/>
    </w:rPr>
  </w:style>
  <w:style w:customStyle="1" w:styleId="Definition" w:type="paragraph">
    <w:name w:val="Definition"/>
    <w:basedOn w:val="Normal"/>
    <w:pPr>
      <w:keepNext w:val="0"/>
      <w:widowControl/>
      <w:spacing w:after="120" w:before="0" w:line="240" w:lineRule="auto"/>
      <w:ind w:left="720" w:right="0" w:firstLine="0"/>
      <w:jc w:val="left"/>
    </w:pPr>
    <w:rPr>
      <w:rFonts w:ascii="Times New Roman" w:cs="Times New Roman" w:eastAsia="Times New Roman" w:hAnsi="Times New Roman"/>
      <w:b w:val="0"/>
      <w:i w:val="0"/>
      <w:color w:val="000000"/>
      <w:sz w:val="24"/>
    </w:rPr>
  </w:style>
  <w:style w:styleId="Caption" w:type="paragraph">
    <w:name w:val="Caption"/>
    <w:basedOn w:val="Normal"/>
    <w:link w:val="BodyTextChar"/>
    <w:pPr>
      <w:keepNext w:val="0"/>
      <w:widowControl/>
      <w:spacing w:after="240" w:before="120" w:line="240" w:lineRule="auto"/>
      <w:ind w:left="0" w:right="0" w:firstLine="0"/>
      <w:jc w:val="left"/>
    </w:pPr>
    <w:rPr>
      <w:rFonts w:ascii="Times New Roman" w:cs="Times New Roman" w:eastAsia="Times New Roman" w:hAnsi="Times New Roman"/>
      <w:b w:val="0"/>
      <w:i w:val="0"/>
      <w:color w:val="000000"/>
      <w:sz w:val="24"/>
    </w:rPr>
  </w:style>
  <w:style w:customStyle="1" w:styleId="TableCaption" w:type="paragraph">
    <w:name w:val="Table Caption"/>
    <w:basedOn w:val="Caption"/>
    <w:pPr>
      <w:keepNext/>
      <w:widowControl/>
      <w:spacing w:after="120" w:before="240" w:line="240" w:lineRule="auto"/>
      <w:ind w:left="0" w:right="0" w:firstLine="0"/>
      <w:jc w:val="left"/>
    </w:pPr>
    <w:rPr>
      <w:rFonts w:ascii="Times New Roman" w:cs="Times New Roman" w:eastAsia="Times New Roman" w:hAnsi="Times New Roman"/>
      <w:b w:val="0"/>
      <w:i w:val="0"/>
      <w:color w:val="000000"/>
      <w:sz w:val="24"/>
    </w:rPr>
  </w:style>
  <w:style w:customStyle="1" w:styleId="ImageCaption" w:type="paragraph">
    <w:name w:val="Image Caption"/>
    <w:basedOn w:val="Caption"/>
    <w:pPr>
      <w:keepNext w:val="0"/>
      <w:widowControl/>
      <w:spacing w:after="240" w:before="120" w:line="240" w:lineRule="auto"/>
      <w:ind w:left="0" w:right="0" w:firstLine="0"/>
      <w:jc w:val="left"/>
    </w:pPr>
    <w:rPr>
      <w:rFonts w:ascii="Times New Roman" w:cs="Times New Roman" w:eastAsia="Times New Roman" w:hAnsi="Times New Roman"/>
      <w:b w:val="0"/>
      <w:i w:val="0"/>
      <w:color w:val="000000"/>
      <w:sz w:val="24"/>
    </w:rPr>
  </w:style>
  <w:style w:customStyle="1" w:styleId="Figure" w:type="paragraph">
    <w:name w:val="Figure"/>
    <w:basedOn w:val="Normal"/>
    <w:pPr>
      <w:keepNext/>
      <w:widowControl/>
      <w:spacing w:after="0" w:before="240" w:line="240" w:lineRule="auto"/>
      <w:ind w:left="0" w:right="0" w:firstLine="0"/>
      <w:jc w:val="center"/>
    </w:pPr>
    <w:rPr>
      <w:rFonts w:ascii="Times New Roman" w:cs="Times New Roman" w:eastAsia="Times New Roman" w:hAnsi="Times New Roman"/>
      <w:b w:val="0"/>
      <w:i w:val="0"/>
      <w:color w:val="000000"/>
      <w:sz w:val="24"/>
    </w:rPr>
  </w:style>
  <w:style w:customStyle="1" w:styleId="CaptionedFigure" w:type="paragraph">
    <w:name w:val="Captioned Figure"/>
    <w:basedOn w:val="Figure"/>
    <w:pPr>
      <w:keepNext/>
      <w:widowControl/>
      <w:spacing w:after="0" w:before="240" w:line="240" w:lineRule="auto"/>
      <w:ind w:left="0" w:right="0" w:firstLine="0"/>
      <w:jc w:val="center"/>
    </w:pPr>
    <w:rPr>
      <w:rFonts w:ascii="Times New Roman" w:cs="Times New Roman" w:eastAsia="Times New Roman" w:hAnsi="Times New Roman"/>
      <w:b w:val="0"/>
      <w:i w:val="0"/>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b w:val="0"/>
      <w:i w:val="0"/>
      <w:color w:val="000000"/>
      <w:sz w:val="20"/>
      <w:u w:val="none"/>
    </w:rPr>
  </w:style>
  <w:style w:customStyle="1" w:styleId="SectionNumber" w:type="character">
    <w:name w:val="Section Number"/>
    <w:basedOn w:val="BodyTextChar"/>
  </w:style>
  <w:style w:styleId="FootnoteReference" w:type="character">
    <w:name w:val="Footnote Reference"/>
    <w:basedOn w:val="BodyTextChar"/>
    <w:rPr>
      <w:rFonts w:ascii="Times New Roman" w:cs="Times New Roman" w:eastAsia="Times New Roman" w:hAnsi="Times New Roman"/>
      <w:b w:val="0"/>
      <w:i w:val="0"/>
      <w:color w:val="000000"/>
      <w:sz w:val="24"/>
      <w:u w:val="none"/>
      <w:vertAlign w:val="superscript"/>
    </w:rPr>
  </w:style>
  <w:style w:styleId="Hyperlink" w:type="character">
    <w:name w:val="Hyperlink"/>
    <w:basedOn w:val="BodyTextChar"/>
    <w:rPr>
      <w:rFonts w:ascii="Times New Roman" w:cs="Times New Roman" w:eastAsia="Times New Roman" w:hAnsi="Times New Roman"/>
      <w:b w:val="0"/>
      <w:i w:val="0"/>
      <w:color w:val="000000"/>
      <w:sz w:val="24"/>
      <w:u w:val="none"/>
    </w:rPr>
  </w:style>
  <w:style w:styleId="TOCHeading" w:type="paragraph">
    <w:name w:val="TOC Heading"/>
    <w:basedOn w:val="Heading1"/>
    <w:next w:val="BodyText"/>
    <w:uiPriority w:val="39"/>
    <w:unhideWhenUsed/>
    <w:qFormat/>
    <w:pPr>
      <w:keepNext w:val="0"/>
      <w:widowControl/>
      <w:spacing w:after="120" w:before="240" w:line="240" w:lineRule="auto"/>
      <w:ind w:left="0" w:right="0" w:firstLine="0"/>
      <w:jc w:val="left"/>
      <w:outlineLvl w:val="9"/>
    </w:pPr>
    <w:rPr>
      <w:rFonts w:ascii="Times New Roman" w:cs="Times New Roman" w:eastAsia="Times New Roman" w:hAnsi="Times New Roman"/>
      <w:b/>
      <w:bCs w:val="0"/>
      <w:i w:val="0"/>
      <w:color w:val="000000"/>
      <w:sz w:val="24"/>
    </w:rPr>
  </w:style>
  <w:style w:customStyle="1" w:styleId="TableNote" w:type="paragraph">
    <w:name w:val="Table Note"/>
    <w:basedOn w:val="Normal"/>
    <w:pPr>
      <w:keepNext w:val="0"/>
      <w:widowControl/>
      <w:spacing w:after="80" w:before="0" w:line="240" w:lineRule="auto"/>
      <w:ind w:left="0" w:right="0" w:firstLine="0"/>
      <w:jc w:val="left"/>
    </w:pPr>
    <w:rPr>
      <w:rFonts w:ascii="Times New Roman" w:cs="Times New Roman" w:eastAsia="Times New Roman" w:hAnsi="Times New Roman"/>
      <w:b w:val="0"/>
      <w:i w:val="0"/>
      <w:color w:val="000000"/>
      <w:sz w:val="20"/>
    </w:rPr>
  </w:style>
  <w:style w:customStyle="1" w:styleId="FigureNote" w:type="paragraph">
    <w:name w:val="Figure Note"/>
    <w:basedOn w:val="Normal"/>
    <w:pPr>
      <w:keepNext w:val="0"/>
      <w:widowControl/>
      <w:spacing w:after="80" w:before="0" w:line="240" w:lineRule="auto"/>
      <w:ind w:left="0" w:right="0" w:firstLine="0"/>
      <w:jc w:val="left"/>
    </w:pPr>
    <w:rPr>
      <w:rFonts w:ascii="Times New Roman" w:cs="Times New Roman" w:eastAsia="Times New Roman" w:hAnsi="Times New Roman"/>
      <w:b w:val="0"/>
      <w:i w:val="0"/>
      <w:color w:val="00000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33" Type="http://schemas.openxmlformats.org/officeDocument/2006/relationships/image" Target="media/rId33.png"/><Relationship Id="rId43" Type="http://schemas.openxmlformats.org/officeDocument/2006/relationships/image" Target="media/rId43.png"/><Relationship Id="rId54" Type="http://schemas.openxmlformats.org/officeDocument/2006/relationships/image" Target="media/rId54.png"/><Relationship Id="rId62" Type="http://schemas.openxmlformats.org/officeDocument/2006/relationships/image" Target="media/rId62.png"/><Relationship Id="rId66" Type="http://schemas.openxmlformats.org/officeDocument/2006/relationships/image" Target="media/rId66.png"/><Relationship Id="rId72" Type="http://schemas.openxmlformats.org/officeDocument/2006/relationships/image" Target="media/rId72.png"/><Relationship Id="rId76" Type="http://schemas.openxmlformats.org/officeDocument/2006/relationships/image" Target="media/rId76.png"/><Relationship Id="rId81" Type="http://schemas.openxmlformats.org/officeDocument/2006/relationships/image" Target="media/rId81.png"/><Relationship Id="rId166" Type="http://schemas.openxmlformats.org/officeDocument/2006/relationships/image" Target="media/rId166.png"/><Relationship Id="rId169" Type="http://schemas.openxmlformats.org/officeDocument/2006/relationships/image" Target="media/rId169.png"/><Relationship Id="rId172" Type="http://schemas.openxmlformats.org/officeDocument/2006/relationships/image" Target="media/rId172.png"/><Relationship Id="rId175" Type="http://schemas.openxmlformats.org/officeDocument/2006/relationships/image" Target="media/rId175.png"/><Relationship Id="rId193" Type="http://schemas.openxmlformats.org/officeDocument/2006/relationships/hyperlink" Target="https://datacatalogfiles.worldbank.org/ddh-published/0066829/DR0095290/Global_Fuel_Prices_Database.xlsx" TargetMode="External"/><Relationship Id="rId157" Type="http://schemas.openxmlformats.org/officeDocument/2006/relationships/hyperlink" Target="https://doi.org/10.1002/jae.2333" TargetMode="External"/><Relationship Id="rId138" Type="http://schemas.openxmlformats.org/officeDocument/2006/relationships/hyperlink" Target="https://doi.org/10.1016/j.eneco.2017.06.017" TargetMode="External"/><Relationship Id="rId142" Type="http://schemas.openxmlformats.org/officeDocument/2006/relationships/hyperlink" Target="https://doi.org/10.1016/j.eneco.2022.105909" TargetMode="External"/><Relationship Id="rId153" Type="http://schemas.openxmlformats.org/officeDocument/2006/relationships/hyperlink" Target="https://doi.org/10.1016/j.enpol.2014.02.006" TargetMode="External"/><Relationship Id="rId155" Type="http://schemas.openxmlformats.org/officeDocument/2006/relationships/hyperlink" Target="https://doi.org/10.1016/j.enpol.2015.09.018" TargetMode="External"/><Relationship Id="rId140" Type="http://schemas.openxmlformats.org/officeDocument/2006/relationships/hyperlink" Target="https://doi.org/10.1016/j.enpol.2020.111999" TargetMode="External"/><Relationship Id="rId118" Type="http://schemas.openxmlformats.org/officeDocument/2006/relationships/hyperlink" Target="https://doi.org/10.1016/j.foodpol.2012.11.009" TargetMode="External"/><Relationship Id="rId120" Type="http://schemas.openxmlformats.org/officeDocument/2006/relationships/hyperlink" Target="https://doi.org/10.1016/j.jimonfin.2016.10.001" TargetMode="External"/><Relationship Id="rId104" Type="http://schemas.openxmlformats.org/officeDocument/2006/relationships/hyperlink" Target="https://doi.org/10.1016/j.jimonfin.2017.12.004" TargetMode="External"/><Relationship Id="rId132" Type="http://schemas.openxmlformats.org/officeDocument/2006/relationships/hyperlink" Target="https://doi.org/10.1016/j.jmoneco.2017.08.002" TargetMode="External"/><Relationship Id="rId93" Type="http://schemas.openxmlformats.org/officeDocument/2006/relationships/hyperlink" Target="https://doi.org/10.1016/j.latcb.2025.100180" TargetMode="External"/><Relationship Id="rId95" Type="http://schemas.openxmlformats.org/officeDocument/2006/relationships/hyperlink" Target="https://doi.org/10.1016/j.worlddev.2012.05.005" TargetMode="External"/><Relationship Id="rId112" Type="http://schemas.openxmlformats.org/officeDocument/2006/relationships/hyperlink" Target="https://doi.org/10.1016/j.worlddev.2018.11.015" TargetMode="External"/><Relationship Id="rId151" Type="http://schemas.openxmlformats.org/officeDocument/2006/relationships/hyperlink" Target="https://doi.org/10.1111/asej.12164" TargetMode="External"/><Relationship Id="rId159" Type="http://schemas.openxmlformats.org/officeDocument/2006/relationships/hyperlink" Target="https://doi.org/10.1111/j.1467-8381.2007.00244.x" TargetMode="External"/><Relationship Id="rId126" Type="http://schemas.openxmlformats.org/officeDocument/2006/relationships/hyperlink" Target="https://doi.org/10.1111/j.1467-8411.2011.01275.x" TargetMode="External"/><Relationship Id="rId122" Type="http://schemas.openxmlformats.org/officeDocument/2006/relationships/hyperlink" Target="https://doi.org/10.1111/j.1475-4991.2005.00170.x" TargetMode="External"/><Relationship Id="rId124" Type="http://schemas.openxmlformats.org/officeDocument/2006/relationships/hyperlink" Target="https://doi.org/10.1146/annurev-economics-091520-082042" TargetMode="External"/><Relationship Id="rId114" Type="http://schemas.openxmlformats.org/officeDocument/2006/relationships/hyperlink" Target="https://doi.org/10.1162/003465398557825" TargetMode="External"/><Relationship Id="rId128" Type="http://schemas.openxmlformats.org/officeDocument/2006/relationships/hyperlink" Target="https://doi.org/10.1257/0002828053828518" TargetMode="External"/><Relationship Id="rId99" Type="http://schemas.openxmlformats.org/officeDocument/2006/relationships/hyperlink" Target="https://doi.org/10.1257/aer.20151569" TargetMode="External"/><Relationship Id="rId130" Type="http://schemas.openxmlformats.org/officeDocument/2006/relationships/hyperlink" Target="https://doi.org/10.1257/aer.20190964" TargetMode="External"/><Relationship Id="rId136" Type="http://schemas.openxmlformats.org/officeDocument/2006/relationships/hyperlink" Target="https://doi.org/10.1257/aer.99.3.1053" TargetMode="External"/><Relationship Id="rId134" Type="http://schemas.openxmlformats.org/officeDocument/2006/relationships/hyperlink" Target="https://doi.org/10.1257/jel.46.4.871" TargetMode="External"/><Relationship Id="rId145" Type="http://schemas.openxmlformats.org/officeDocument/2006/relationships/hyperlink" Target="https://doi.org/10.2307/1913610" TargetMode="External"/><Relationship Id="rId108" Type="http://schemas.openxmlformats.org/officeDocument/2006/relationships/hyperlink" Target="https://doi.org/10.2307/2234068" TargetMode="External"/><Relationship Id="rId116" Type="http://schemas.openxmlformats.org/officeDocument/2006/relationships/hyperlink" Target="https://doi.org/10.2307/2673879" TargetMode="External"/><Relationship Id="rId97" Type="http://schemas.openxmlformats.org/officeDocument/2006/relationships/hyperlink" Target="https://doi.org/10.2499/p15738coll2.133994" TargetMode="External"/><Relationship Id="rId106" Type="http://schemas.openxmlformats.org/officeDocument/2006/relationships/hyperlink" Target="https://doi.org/10.5089/9781513501390.001" TargetMode="External"/><Relationship Id="rId110" Type="http://schemas.openxmlformats.org/officeDocument/2006/relationships/hyperlink" Target="https://doi.org/10.62986/dp2009.07" TargetMode="External"/><Relationship Id="rId102" Type="http://schemas.openxmlformats.org/officeDocument/2006/relationships/hyperlink" Target="https://doi.org/10.62986/pn2021.02" TargetMode="External"/><Relationship Id="rId179" Type="http://schemas.openxmlformats.org/officeDocument/2006/relationships/hyperlink" Target="https://github.com/liancataytayjk-coder/oil-shock-distribution" TargetMode="External"/><Relationship Id="rId149" Type="http://schemas.openxmlformats.org/officeDocument/2006/relationships/hyperlink" Target="https://lawphil.net/statutes/repacts/ra2026/ra_12316_2026.html" TargetMode="External"/><Relationship Id="rId147" Type="http://schemas.openxmlformats.org/officeDocument/2006/relationships/hyperlink" Target="https://openstat.psa.gov.ph" TargetMode="External"/><Relationship Id="rId191" Type="http://schemas.openxmlformats.org/officeDocument/2006/relationships/hyperlink" Target="https://openstat.psa.gov.ph/PXWeb/api/v1/en/DB/1F/FY/0031F3DF020.px" TargetMode="External"/><Relationship Id="rId187" Type="http://schemas.openxmlformats.org/officeDocument/2006/relationships/hyperlink" Target="https://openstat.psa.gov.ph/PXWeb/api/v1/en/DB/2M/PI/BIH/2018/0022M4ABOT1.px" TargetMode="External"/><Relationship Id="rId188" Type="http://schemas.openxmlformats.org/officeDocument/2006/relationships/hyperlink" Target="https://openstat.psa.gov.ph/PXWeb/api/v1/en/DB/2M/PI/BIH/2018/0022M4ABOT3.px" TargetMode="External"/><Relationship Id="rId186" Type="http://schemas.openxmlformats.org/officeDocument/2006/relationships/hyperlink" Target="https://openstat.psa.gov.ph/PXWeb/api/v1/en/DB/2M/PI/BIH/2018/0022M4ABOT4.px" TargetMode="External"/><Relationship Id="rId185" Type="http://schemas.openxmlformats.org/officeDocument/2006/relationships/hyperlink" Target="https://openstat.psa.gov.ph/PXWeb/api/v1/en/DB/2M/PI/BIH/2018/0022M4ABOT5.px" TargetMode="External"/><Relationship Id="rId189" Type="http://schemas.openxmlformats.org/officeDocument/2006/relationships/hyperlink" Target="https://openstat.psa.gov.ph/PXWeb/api/v1/en/DB/2M/PI/BIH/2018NEW/0022M4ABIR1.px" TargetMode="External"/><Relationship Id="rId190" Type="http://schemas.openxmlformats.org/officeDocument/2006/relationships/hyperlink" Target="https://openstat.psa.gov.ph/PXWeb/api/v1/en/DB/2M/PI/BIH/2018NEW/0022M4ABIR3.px" TargetMode="External"/><Relationship Id="rId181" Type="http://schemas.openxmlformats.org/officeDocument/2006/relationships/hyperlink" Target="https://openstat.psa.gov.ph/PXWeb/api/v1/en/DB/2M/PI/CPI/2018/0012M4ACP09.px" TargetMode="External"/><Relationship Id="rId182" Type="http://schemas.openxmlformats.org/officeDocument/2006/relationships/hyperlink" Target="https://openstat.psa.gov.ph/PXWeb/api/v1/en/DB/2M/PI/CPI/2018/0012M4ACP12.px" TargetMode="External"/><Relationship Id="rId180" Type="http://schemas.openxmlformats.org/officeDocument/2006/relationships/hyperlink" Target="https://openstat.psa.gov.ph/PXWeb/api/v1/en/DB/2M/PI/CPI/2018/0012M4ACP15.px" TargetMode="External"/><Relationship Id="rId183" Type="http://schemas.openxmlformats.org/officeDocument/2006/relationships/hyperlink" Target="https://openstat.psa.gov.ph/PXWeb/api/v1/en/DB/2M/PI/CPI/2018NEW/0012M4ACP22.px" TargetMode="External"/><Relationship Id="rId184" Type="http://schemas.openxmlformats.org/officeDocument/2006/relationships/hyperlink" Target="https://openstat.psa.gov.ph/PXWeb/api/v1/en/DB/2M/PI/CPI/2018NEW/0012M4ACP25.px" TargetMode="External"/><Relationship Id="rId195" Type="http://schemas.openxmlformats.org/officeDocument/2006/relationships/hyperlink" Target="https://stats.bis.org/api/v1/data/WS_CBPOL/M.PH?format=csv" TargetMode="External"/><Relationship Id="rId192" Type="http://schemas.openxmlformats.org/officeDocument/2006/relationships/hyperlink" Target="https://thedocs.worldbank.org/en/doc/74e8be41ceb20fa0da750cda2f6b9e4e-0050012026/related/CMO-Historical-Data-Monthly.xlsx" TargetMode="External"/><Relationship Id="rId194" Type="http://schemas.openxmlformats.org/officeDocument/2006/relationships/hyperlink" Target="https://www.bsp.gov.ph/Statistics/External/pesodollar.xlsx" TargetMode="External"/><Relationship Id="rId196" Type="http://schemas.openxmlformats.org/officeDocument/2006/relationships/hyperlink" Target="https://www.fao.org/media/docs/worldfoodsituationlibraries/wfs-library/food_price_indices_data.csv" TargetMode="External"/><Relationship Id="rId197" Type="http://schemas.openxmlformats.org/officeDocument/2006/relationships/hyperlink" Target="https://www.imf.org/en/publications/wp/issues/2021/11/12/the-distributional-implications-of-the-impact-of-fuel-price-increases-on-inflation-506822" TargetMode="External"/></Relationships>
</file>

<file path=word/_rels/footnotes.xml.rels><?xml version='1.0' encoding='UTF-8' standalone='yes'?>
<Relationships xmlns="http://schemas.openxmlformats.org/package/2006/relationships"><Relationship Id="rId193" Type="http://schemas.openxmlformats.org/officeDocument/2006/relationships/hyperlink" Target="https://datacatalogfiles.worldbank.org/ddh-published/0066829/DR0095290/Global_Fuel_Prices_Database.xlsx" TargetMode="External"/><Relationship Id="rId157" Type="http://schemas.openxmlformats.org/officeDocument/2006/relationships/hyperlink" Target="https://doi.org/10.1002/jae.2333" TargetMode="External"/><Relationship Id="rId138" Type="http://schemas.openxmlformats.org/officeDocument/2006/relationships/hyperlink" Target="https://doi.org/10.1016/j.eneco.2017.06.017" TargetMode="External"/><Relationship Id="rId142" Type="http://schemas.openxmlformats.org/officeDocument/2006/relationships/hyperlink" Target="https://doi.org/10.1016/j.eneco.2022.105909" TargetMode="External"/><Relationship Id="rId153" Type="http://schemas.openxmlformats.org/officeDocument/2006/relationships/hyperlink" Target="https://doi.org/10.1016/j.enpol.2014.02.006" TargetMode="External"/><Relationship Id="rId155" Type="http://schemas.openxmlformats.org/officeDocument/2006/relationships/hyperlink" Target="https://doi.org/10.1016/j.enpol.2015.09.018" TargetMode="External"/><Relationship Id="rId140" Type="http://schemas.openxmlformats.org/officeDocument/2006/relationships/hyperlink" Target="https://doi.org/10.1016/j.enpol.2020.111999" TargetMode="External"/><Relationship Id="rId118" Type="http://schemas.openxmlformats.org/officeDocument/2006/relationships/hyperlink" Target="https://doi.org/10.1016/j.foodpol.2012.11.009" TargetMode="External"/><Relationship Id="rId120" Type="http://schemas.openxmlformats.org/officeDocument/2006/relationships/hyperlink" Target="https://doi.org/10.1016/j.jimonfin.2016.10.001" TargetMode="External"/><Relationship Id="rId104" Type="http://schemas.openxmlformats.org/officeDocument/2006/relationships/hyperlink" Target="https://doi.org/10.1016/j.jimonfin.2017.12.004" TargetMode="External"/><Relationship Id="rId132" Type="http://schemas.openxmlformats.org/officeDocument/2006/relationships/hyperlink" Target="https://doi.org/10.1016/j.jmoneco.2017.08.002" TargetMode="External"/><Relationship Id="rId93" Type="http://schemas.openxmlformats.org/officeDocument/2006/relationships/hyperlink" Target="https://doi.org/10.1016/j.latcb.2025.100180" TargetMode="External"/><Relationship Id="rId95" Type="http://schemas.openxmlformats.org/officeDocument/2006/relationships/hyperlink" Target="https://doi.org/10.1016/j.worlddev.2012.05.005" TargetMode="External"/><Relationship Id="rId112" Type="http://schemas.openxmlformats.org/officeDocument/2006/relationships/hyperlink" Target="https://doi.org/10.1016/j.worlddev.2018.11.015" TargetMode="External"/><Relationship Id="rId151" Type="http://schemas.openxmlformats.org/officeDocument/2006/relationships/hyperlink" Target="https://doi.org/10.1111/asej.12164" TargetMode="External"/><Relationship Id="rId159" Type="http://schemas.openxmlformats.org/officeDocument/2006/relationships/hyperlink" Target="https://doi.org/10.1111/j.1467-8381.2007.00244.x" TargetMode="External"/><Relationship Id="rId126" Type="http://schemas.openxmlformats.org/officeDocument/2006/relationships/hyperlink" Target="https://doi.org/10.1111/j.1467-8411.2011.01275.x" TargetMode="External"/><Relationship Id="rId122" Type="http://schemas.openxmlformats.org/officeDocument/2006/relationships/hyperlink" Target="https://doi.org/10.1111/j.1475-4991.2005.00170.x" TargetMode="External"/><Relationship Id="rId124" Type="http://schemas.openxmlformats.org/officeDocument/2006/relationships/hyperlink" Target="https://doi.org/10.1146/annurev-economics-091520-082042" TargetMode="External"/><Relationship Id="rId114" Type="http://schemas.openxmlformats.org/officeDocument/2006/relationships/hyperlink" Target="https://doi.org/10.1162/003465398557825" TargetMode="External"/><Relationship Id="rId128" Type="http://schemas.openxmlformats.org/officeDocument/2006/relationships/hyperlink" Target="https://doi.org/10.1257/0002828053828518" TargetMode="External"/><Relationship Id="rId99" Type="http://schemas.openxmlformats.org/officeDocument/2006/relationships/hyperlink" Target="https://doi.org/10.1257/aer.20151569" TargetMode="External"/><Relationship Id="rId130" Type="http://schemas.openxmlformats.org/officeDocument/2006/relationships/hyperlink" Target="https://doi.org/10.1257/aer.20190964" TargetMode="External"/><Relationship Id="rId136" Type="http://schemas.openxmlformats.org/officeDocument/2006/relationships/hyperlink" Target="https://doi.org/10.1257/aer.99.3.1053" TargetMode="External"/><Relationship Id="rId134" Type="http://schemas.openxmlformats.org/officeDocument/2006/relationships/hyperlink" Target="https://doi.org/10.1257/jel.46.4.871" TargetMode="External"/><Relationship Id="rId145" Type="http://schemas.openxmlformats.org/officeDocument/2006/relationships/hyperlink" Target="https://doi.org/10.2307/1913610" TargetMode="External"/><Relationship Id="rId108" Type="http://schemas.openxmlformats.org/officeDocument/2006/relationships/hyperlink" Target="https://doi.org/10.2307/2234068" TargetMode="External"/><Relationship Id="rId116" Type="http://schemas.openxmlformats.org/officeDocument/2006/relationships/hyperlink" Target="https://doi.org/10.2307/2673879" TargetMode="External"/><Relationship Id="rId97" Type="http://schemas.openxmlformats.org/officeDocument/2006/relationships/hyperlink" Target="https://doi.org/10.2499/p15738coll2.133994" TargetMode="External"/><Relationship Id="rId106" Type="http://schemas.openxmlformats.org/officeDocument/2006/relationships/hyperlink" Target="https://doi.org/10.5089/9781513501390.001" TargetMode="External"/><Relationship Id="rId110" Type="http://schemas.openxmlformats.org/officeDocument/2006/relationships/hyperlink" Target="https://doi.org/10.62986/dp2009.07" TargetMode="External"/><Relationship Id="rId102" Type="http://schemas.openxmlformats.org/officeDocument/2006/relationships/hyperlink" Target="https://doi.org/10.62986/pn2021.02" TargetMode="External"/><Relationship Id="rId179" Type="http://schemas.openxmlformats.org/officeDocument/2006/relationships/hyperlink" Target="https://github.com/liancataytayjk-coder/oil-shock-distribution" TargetMode="External"/><Relationship Id="rId149" Type="http://schemas.openxmlformats.org/officeDocument/2006/relationships/hyperlink" Target="https://lawphil.net/statutes/repacts/ra2026/ra_12316_2026.html" TargetMode="External"/><Relationship Id="rId147" Type="http://schemas.openxmlformats.org/officeDocument/2006/relationships/hyperlink" Target="https://openstat.psa.gov.ph" TargetMode="External"/><Relationship Id="rId191" Type="http://schemas.openxmlformats.org/officeDocument/2006/relationships/hyperlink" Target="https://openstat.psa.gov.ph/PXWeb/api/v1/en/DB/1F/FY/0031F3DF020.px" TargetMode="External"/><Relationship Id="rId187" Type="http://schemas.openxmlformats.org/officeDocument/2006/relationships/hyperlink" Target="https://openstat.psa.gov.ph/PXWeb/api/v1/en/DB/2M/PI/BIH/2018/0022M4ABOT1.px" TargetMode="External"/><Relationship Id="rId188" Type="http://schemas.openxmlformats.org/officeDocument/2006/relationships/hyperlink" Target="https://openstat.psa.gov.ph/PXWeb/api/v1/en/DB/2M/PI/BIH/2018/0022M4ABOT3.px" TargetMode="External"/><Relationship Id="rId186" Type="http://schemas.openxmlformats.org/officeDocument/2006/relationships/hyperlink" Target="https://openstat.psa.gov.ph/PXWeb/api/v1/en/DB/2M/PI/BIH/2018/0022M4ABOT4.px" TargetMode="External"/><Relationship Id="rId185" Type="http://schemas.openxmlformats.org/officeDocument/2006/relationships/hyperlink" Target="https://openstat.psa.gov.ph/PXWeb/api/v1/en/DB/2M/PI/BIH/2018/0022M4ABOT5.px" TargetMode="External"/><Relationship Id="rId189" Type="http://schemas.openxmlformats.org/officeDocument/2006/relationships/hyperlink" Target="https://openstat.psa.gov.ph/PXWeb/api/v1/en/DB/2M/PI/BIH/2018NEW/0022M4ABIR1.px" TargetMode="External"/><Relationship Id="rId190" Type="http://schemas.openxmlformats.org/officeDocument/2006/relationships/hyperlink" Target="https://openstat.psa.gov.ph/PXWeb/api/v1/en/DB/2M/PI/BIH/2018NEW/0022M4ABIR3.px" TargetMode="External"/><Relationship Id="rId181" Type="http://schemas.openxmlformats.org/officeDocument/2006/relationships/hyperlink" Target="https://openstat.psa.gov.ph/PXWeb/api/v1/en/DB/2M/PI/CPI/2018/0012M4ACP09.px" TargetMode="External"/><Relationship Id="rId182" Type="http://schemas.openxmlformats.org/officeDocument/2006/relationships/hyperlink" Target="https://openstat.psa.gov.ph/PXWeb/api/v1/en/DB/2M/PI/CPI/2018/0012M4ACP12.px" TargetMode="External"/><Relationship Id="rId180" Type="http://schemas.openxmlformats.org/officeDocument/2006/relationships/hyperlink" Target="https://openstat.psa.gov.ph/PXWeb/api/v1/en/DB/2M/PI/CPI/2018/0012M4ACP15.px" TargetMode="External"/><Relationship Id="rId183" Type="http://schemas.openxmlformats.org/officeDocument/2006/relationships/hyperlink" Target="https://openstat.psa.gov.ph/PXWeb/api/v1/en/DB/2M/PI/CPI/2018NEW/0012M4ACP22.px" TargetMode="External"/><Relationship Id="rId184" Type="http://schemas.openxmlformats.org/officeDocument/2006/relationships/hyperlink" Target="https://openstat.psa.gov.ph/PXWeb/api/v1/en/DB/2M/PI/CPI/2018NEW/0012M4ACP25.px" TargetMode="External"/><Relationship Id="rId195" Type="http://schemas.openxmlformats.org/officeDocument/2006/relationships/hyperlink" Target="https://stats.bis.org/api/v1/data/WS_CBPOL/M.PH?format=csv" TargetMode="External"/><Relationship Id="rId192" Type="http://schemas.openxmlformats.org/officeDocument/2006/relationships/hyperlink" Target="https://thedocs.worldbank.org/en/doc/74e8be41ceb20fa0da750cda2f6b9e4e-0050012026/related/CMO-Historical-Data-Monthly.xlsx" TargetMode="External"/><Relationship Id="rId194" Type="http://schemas.openxmlformats.org/officeDocument/2006/relationships/hyperlink" Target="https://www.bsp.gov.ph/Statistics/External/pesodollar.xlsx" TargetMode="External"/><Relationship Id="rId196" Type="http://schemas.openxmlformats.org/officeDocument/2006/relationships/hyperlink" Target="https://www.fao.org/media/docs/worldfoodsituationlibraries/wfs-library/food_price_indices_data.csv" TargetMode="External"/><Relationship Id="rId197" Type="http://schemas.openxmlformats.org/officeDocument/2006/relationships/hyperlink" Target="https://www.imf.org/en/publications/wp/issues/2021/11/12/the-distributional-implications-of-the-impact-of-fuel-price-increases-on-inflation-5068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Pays for Oil Shocks? Fuel Price Pass-Through to the Inflation of Poor Households across Philippine Regions</dc:title>
  <dc:creator>Lian Cataytay</dc:creator>
  <cp:keywords/>
  <dcterms:created xsi:type="dcterms:W3CDTF">2026-10-22T07:16:14Z</dcterms:created>
  <dcterms:modified xsi:type="dcterms:W3CDTF">2026-10-22T07:16:14Z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asks whether poor Filipino households face larger price increases than other households when fuel prices rise, and whether the answer depends on where they live. It uses the Philippine Statistics Authority’s monthly consumer price index (CPI) for all income households and for the bottom 30% income households, nationally and for 17 regions, together with the CPI sub-index for retail motor fuels, from 2001 to August 2026. The paper has three objectives. Objective 1 describes the trends: bottom-30% prices rose 13.3 log points more than all-income prices between 2001 and 2025, and the poor’s inflation was higher in 6 of 9 fuel-shock episodes. Objective 2 estimates the local projection model of Kpodar and Liu (2022). A 1% rise in retail fuel prices raises the price level by 0.044 percentage points within the month and 0.102 after a year (RQ1). Contrary to the cross-country finding that fuel shocks are progressive, the poor’s prices rise 0.0214 percentage points more after six months in the regional panel (RQ2), because the prices they pay within food, utilities and other categories rise more; the effect is concentrated in 2001–2012. Objective 3 applies the model to the 2026 oil shock (RQ3): estimated on data to 2025, it explains about half of the 2026 price rise; the fuel-driven extra cost for a poverty-line family of five reached about PHP 467 a month; and rice accounted for most of the poor’s excess inflation. Relief on gasoline and diesel taxes would mainly help better-off households, relief on LPG is neutral, and transfers sized with the bottom-30% CPI, with attention to rice and fares, are better targeted.Keywords: oil price shock; inflation inequality; fuel price pass-through; local projections; bottom 30% CPI; PhilippinesJEL classification: E31, Q41, I32, D31, R12</vt:lpwstr>
  </property>
  <property fmtid="{D5CDD505-2E9C-101B-9397-08002B2CF9AE}" pid="3" name="bibliography">
    <vt:lpwstr>/home/user/oil-shock-distribution/paper/references.bib</vt:lpwstr>
  </property>
  <property fmtid="{D5CDD505-2E9C-101B-9397-08002B2CF9AE}" pid="4" name="date">
    <vt:lpwstr>November 2026</vt:lpwstr>
  </property>
  <property fmtid="{D5CDD505-2E9C-101B-9397-08002B2CF9AE}" pid="5" name="link-citations">
    <vt:lpwstr>True</vt:lpwstr>
  </property>
  <property fmtid="{D5CDD505-2E9C-101B-9397-08002B2CF9AE}" pid="6" name="subtitle">
    <vt:lpwstr>Working Paper</vt:lpwstr>
  </property>
</Properties>
</file>