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31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35.png" ContentType="image/png"/>
  <Override PartName="/word/media/rId52.png" ContentType="image/png"/>
  <Override PartName="/word/media/rId60.png" ContentType="image/png"/>
  <Override PartName="/word/media/rId56.png" ContentType="image/png"/>
  <Override PartName="/word/media/rId9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Rice Tariffication and Rice Prices: Analysis Report</w:t>
      </w:r>
    </w:p>
    <w:p>
      <w:pPr>
        <w:pStyle w:val="Subtitle"/>
      </w:pPr>
      <w:r>
        <w:t xml:space="preserve">One analysis per page — what was done, the figure, what it shows, what it means</w:t>
      </w:r>
    </w:p>
    <w:p>
      <w:pPr>
        <w:pStyle w:val="Date"/>
      </w:pPr>
      <w:r>
        <w:t xml:space="preserve">October 2026</w:t>
      </w:r>
    </w:p>
    <w:p>
      <w:pPr>
        <w:pStyle w:val="BlockText"/>
      </w:pPr>
      <w:r>
        <w:rPr>
          <w:b/>
          <w:bCs/>
        </w:rPr>
        <w:t xml:space="preserve">How to read this report.</w:t>
      </w:r>
      <w:r>
        <w:t xml:space="preserve"> </w:t>
      </w:r>
      <w:r>
        <w:rPr>
          <w:i/>
          <w:iCs/>
        </w:rPr>
        <w:t xml:space="preserve">Log points:</w:t>
      </w:r>
      <w:r>
        <w:t xml:space="preserve"> </w:t>
      </w:r>
      <w:r>
        <w:t xml:space="preserve">we measure changes as 100 × the change in</w:t>
      </w:r>
      <w:r>
        <w:t xml:space="preserve"> </w:t>
      </w:r>
      <w:r>
        <w:t xml:space="preserve">the natural log of a price, which is close to a percentage change.</w:t>
      </w:r>
      <w:r>
        <w:t xml:space="preserve"> </w:t>
      </w:r>
      <w:r>
        <w:rPr>
          <w:i/>
          <w:iCs/>
        </w:rPr>
        <w:t xml:space="preserve">Shock:</w:t>
      </w:r>
      <w:r>
        <w:t xml:space="preserve"> </w:t>
      </w:r>
      <w:r>
        <w:t xml:space="preserve">a 1% rise</w:t>
      </w:r>
      <w:r>
        <w:t xml:space="preserve"> </w:t>
      </w:r>
      <w:r>
        <w:t xml:space="preserve">in the world rice price (Thai 5% broken rice, in pesos).</w:t>
      </w:r>
      <w:r>
        <w:t xml:space="preserve"> </w:t>
      </w:r>
      <w:r>
        <w:rPr>
          <w:i/>
          <w:iCs/>
        </w:rPr>
        <w:t xml:space="preserve">Response or pass-through:</w:t>
      </w:r>
      <w:r>
        <w:t xml:space="preserve"> </w:t>
      </w:r>
      <w:r>
        <w:t xml:space="preserve">how many percentage points a domestic price has risen, in total, a given number of</w:t>
      </w:r>
      <w:r>
        <w:t xml:space="preserve"> </w:t>
      </w:r>
      <w:r>
        <w:t xml:space="preserve">months after that 1% shock; 0.5 means half of the world price change has reached the</w:t>
      </w:r>
      <w:r>
        <w:t xml:space="preserve"> </w:t>
      </w:r>
      <w:r>
        <w:t xml:space="preserve">domestic price.</w:t>
      </w:r>
      <w:r>
        <w:t xml:space="preserve"> </w:t>
      </w:r>
      <w:r>
        <w:rPr>
          <w:i/>
          <w:iCs/>
        </w:rPr>
        <w:t xml:space="preserve">Before/after the law:</w:t>
      </w:r>
      <w:r>
        <w:t xml:space="preserve"> </w:t>
      </w:r>
      <w:r>
        <w:t xml:space="preserve">before or from March 2019, when the Rice</w:t>
      </w:r>
      <w:r>
        <w:t xml:space="preserve"> </w:t>
      </w:r>
      <w:r>
        <w:t xml:space="preserve">Tariffication Law (RTL) replaced import quotas with a tariff.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all-income</w:t>
      </w:r>
      <w:r>
        <w:t xml:space="preserve"> </w:t>
      </w:r>
      <w:r>
        <w:t xml:space="preserve">inflation minus bottom-30% inflation; negative means the poor face more inflation.</w:t>
      </w:r>
      <w:r>
        <w:t xml:space="preserve"> </w:t>
      </w:r>
      <w:r>
        <w:rPr>
          <w:i/>
          <w:iCs/>
        </w:rPr>
        <w:t xml:space="preserve">Bands:</w:t>
      </w:r>
      <w:r>
        <w:t xml:space="preserve"> </w:t>
      </w:r>
      <w:r>
        <w:t xml:space="preserve">grey areas and dotted lines are 90% intervals; if a band excludes zero, the</w:t>
      </w:r>
      <w:r>
        <w:t xml:space="preserve"> </w:t>
      </w:r>
      <w:r>
        <w:t xml:space="preserve">estimate is significant at 10%. Full tables of every estimate are in the Statistical</w:t>
      </w:r>
      <w:r>
        <w:t xml:space="preserve"> </w:t>
      </w:r>
      <w:r>
        <w:t xml:space="preserve">Annex.</w:t>
      </w:r>
    </w:p>
    <w:p>
      <w:r>
        <w:br w:type="page"/>
      </w:r>
    </w:p>
    <w:bookmarkStart w:id="13" w:name="part-a.-checking-the-tools"/>
    <w:p>
      <w:pPr>
        <w:pStyle w:val="Heading1"/>
      </w:pPr>
      <w:r>
        <w:t xml:space="preserve">Part A. Checking the tools</w:t>
      </w:r>
    </w:p>
    <w:bookmarkStart w:id="12" w:name="a1.-can-we-reproduce-the-reference-study"/>
    <w:p>
      <w:pPr>
        <w:pStyle w:val="Heading2"/>
      </w:pPr>
      <w:r>
        <w:t xml:space="preserve">A1. Can we reproduce the reference study?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Before trusting any new number, we checked that our data and</w:t>
      </w:r>
      <w:r>
        <w:t xml:space="preserve"> </w:t>
      </w:r>
      <w:r>
        <w:t xml:space="preserve">code reproduce Antonio et al. (2024), who studied regional rice inflation from 1994 to</w:t>
      </w:r>
      <w:r>
        <w:t xml:space="preserve"> </w:t>
      </w:r>
      <w:r>
        <w:t xml:space="preserve">2023. We wrote down pass criteria before downloading any data, rebuilt their data from</w:t>
      </w:r>
      <w:r>
        <w:t xml:space="preserve"> </w:t>
      </w:r>
      <w:r>
        <w:t xml:space="preserve">PSA’s website and re-estimated their panel vector autoregression.</w:t>
      </w:r>
    </w:p>
    <w:p>
      <w:pPr>
        <w:pStyle w:val="CaptionedFigure"/>
      </w:pPr>
      <w:r>
        <w:drawing>
          <wp:inline>
            <wp:extent cx="4800600" cy="2365513"/>
            <wp:effectExtent b="0" l="0" r="0" t="0"/>
            <wp:docPr descr="Left: regional rice CPI means and standard deviations, theirs vs ours. Right: response of rice inflation to a world rice price shock in our replica." title="" id="10" name="Picture"/>
            <a:graphic>
              <a:graphicData uri="http://schemas.openxmlformats.org/drawingml/2006/picture">
                <pic:pic>
                  <pic:nvPicPr>
                    <pic:cNvPr descr="../output/figures/fig12_valid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regional rice CPI means and standard deviations, theirs vs ours. Right: response of rice inflation to a world rice price shock in our replica.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All 34 points on the left lie on the line of equality: our</w:t>
      </w:r>
      <w:r>
        <w:t xml:space="preserve"> </w:t>
      </w:r>
      <w:r>
        <w:t xml:space="preserve">regional means and standard deviations equal theirs (largest difference</w:t>
      </w:r>
      <w:r>
        <w:t xml:space="preserve"> </w:t>
      </w:r>
      <w:r>
        <w:t xml:space="preserve">0.000). On the right, rice inflation jumps after a world price shock, peaks</w:t>
      </w:r>
      <w:r>
        <w:t xml:space="preserve"> </w:t>
      </w:r>
      <w:r>
        <w:t xml:space="preserve">after one month at 0.256 points and is gone by month six, as in their paper.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data and the core method are right. One pre-registered check</w:t>
      </w:r>
      <w:r>
        <w:t xml:space="preserve"> </w:t>
      </w:r>
      <w:r>
        <w:t xml:space="preserve">failed: rice-deficit regions respond 1.26 times as strongly as surplus</w:t>
      </w:r>
      <w:r>
        <w:t xml:space="preserve"> </w:t>
      </w:r>
      <w:r>
        <w:t xml:space="preserve">regions at the peak, short of the 1.3 we required. Results by region group are therefore</w:t>
      </w:r>
      <w:r>
        <w:t xml:space="preserve"> </w:t>
      </w:r>
      <w:r>
        <w:t xml:space="preserve">labelled</w:t>
      </w:r>
      <w:r>
        <w:t xml:space="preserve"> </w:t>
      </w:r>
      <w:r>
        <w:t xml:space="preserve">“not validated”</w:t>
      </w:r>
      <w:r>
        <w:t xml:space="preserve"> </w:t>
      </w:r>
      <w:r>
        <w:t xml:space="preserve">throughout.</w:t>
      </w:r>
    </w:p>
    <w:p>
      <w:r>
        <w:br w:type="page"/>
      </w:r>
    </w:p>
    <w:bookmarkEnd w:id="12"/>
    <w:bookmarkEnd w:id="13"/>
    <w:bookmarkStart w:id="30" w:name="part-b.-the-data-at-a-glance-objective-1"/>
    <w:p>
      <w:pPr>
        <w:pStyle w:val="Heading1"/>
      </w:pPr>
      <w:r>
        <w:t xml:space="preserve">Part B. The data at a glance (Objective 1)</w:t>
      </w:r>
    </w:p>
    <w:bookmarkStart w:id="17" w:name="Xeb819e7383f9aa43b60685bfcd1e4aeb6be3c1a"/>
    <w:p>
      <w:pPr>
        <w:pStyle w:val="Heading2"/>
      </w:pPr>
      <w:r>
        <w:t xml:space="preserve">B1. Domestic and world rice prices since 1995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put the PSA rice consumer price index (CPI) and the world</w:t>
      </w:r>
      <w:r>
        <w:t xml:space="preserve"> </w:t>
      </w:r>
      <w:r>
        <w:t xml:space="preserve">rice price in pesos on the same scale (2018 = 100) to see whether they move together,</w:t>
      </w:r>
      <w:r>
        <w:t xml:space="preserve"> </w:t>
      </w:r>
      <w:r>
        <w:t xml:space="preserve">and how that changed with the law.</w:t>
      </w:r>
    </w:p>
    <w:p>
      <w:pPr>
        <w:pStyle w:val="CaptionedFigure"/>
      </w:pPr>
      <w:r>
        <w:drawing>
          <wp:inline>
            <wp:extent cx="5067300" cy="2282198"/>
            <wp:effectExtent b="0" l="0" r="0" t="0"/>
            <wp:docPr descr="Rice CPI and world rice price in pesos, index 2018 = 100, log scale." title="" id="15" name="Picture"/>
            <a:graphic>
              <a:graphicData uri="http://schemas.openxmlformats.org/drawingml/2006/picture">
                <pic:pic>
                  <pic:nvPicPr>
                    <pic:cNvPr descr="../output/figures/fig02_long_ru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CPI and world rice price in pesos, index 2018 = 100, log scale.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Under quotas (to 2019) the domestic price was smooth and</w:t>
      </w:r>
      <w:r>
        <w:t xml:space="preserve"> </w:t>
      </w:r>
      <w:r>
        <w:t xml:space="preserve">often far from the world price, for example in 2014–2016. After 2019 the two lines</w:t>
      </w:r>
      <w:r>
        <w:t xml:space="preserve"> </w:t>
      </w:r>
      <w:r>
        <w:t xml:space="preserve">move together much more, through the 2023 spike and the 2025 fall, until early 2026,</w:t>
      </w:r>
      <w:r>
        <w:t xml:space="preserve"> </w:t>
      </w:r>
      <w:r>
        <w:t xml:space="preserve">when domestic prices jumped while world prices were flat.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law tied domestic prices to world prices. Monthly rice inflation</w:t>
      </w:r>
      <w:r>
        <w:t xml:space="preserve"> </w:t>
      </w:r>
      <w:r>
        <w:t xml:space="preserve">became more volatile: its standard deviation rose from 0.82 under</w:t>
      </w:r>
      <w:r>
        <w:t xml:space="preserve"> </w:t>
      </w:r>
      <w:r>
        <w:t xml:space="preserve">quotas to 1.52 under the 35% tariff and 2.33</w:t>
      </w:r>
      <w:r>
        <w:t xml:space="preserve"> </w:t>
      </w:r>
      <w:r>
        <w:t xml:space="preserve">after July 2024.</w:t>
      </w:r>
    </w:p>
    <w:p>
      <w:r>
        <w:br w:type="page"/>
      </w:r>
    </w:p>
    <w:bookmarkEnd w:id="17"/>
    <w:bookmarkStart w:id="21" w:name="X39b3ed8d0b2d25c475922f5b6cf41bf75b8aa1c"/>
    <w:p>
      <w:pPr>
        <w:pStyle w:val="Heading2"/>
      </w:pPr>
      <w:r>
        <w:t xml:space="preserve">B2. The gap between domestic and world prices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compute how far the domestic price per kilogram is above</w:t>
      </w:r>
      <w:r>
        <w:t xml:space="preserve"> </w:t>
      </w:r>
      <w:r>
        <w:t xml:space="preserve">the world price per kilogram, in log points, every month since 2010.</w:t>
      </w:r>
    </w:p>
    <w:p>
      <w:pPr>
        <w:pStyle w:val="CaptionedFigure"/>
      </w:pPr>
      <w:r>
        <w:drawing>
          <wp:inline>
            <wp:extent cx="5067300" cy="2184619"/>
            <wp:effectExtent b="0" l="0" r="0" t="0"/>
            <wp:docPr descr="Border gap for wholesale (solid) and retail (dashed) regular-milled rice." title="" id="19" name="Picture"/>
            <a:graphic>
              <a:graphicData uri="http://schemas.openxmlformats.org/drawingml/2006/picture">
                <pic:pic>
                  <pic:nvPicPr>
                    <pic:cNvPr descr="../output/figures/fig03_border_ga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8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Border gap for wholesale (solid) and retail (dashed) regular-milled rice.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The gap averaged 46 log points under</w:t>
      </w:r>
      <w:r>
        <w:t xml:space="preserve"> </w:t>
      </w:r>
      <w:r>
        <w:t xml:space="preserve">quotas, 35 under the 35% tariff and 46</w:t>
      </w:r>
      <w:r>
        <w:t xml:space="preserve"> </w:t>
      </w:r>
      <w:r>
        <w:t xml:space="preserve">after the 2024 tariff cut.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law narrowed the gap, but cutting the tariff in 2024 did not</w:t>
      </w:r>
      <w:r>
        <w:t xml:space="preserve"> </w:t>
      </w:r>
      <w:r>
        <w:t xml:space="preserve">narrow it further; it widened. A lower duty that does not show up in the gap was kept</w:t>
      </w:r>
      <w:r>
        <w:t xml:space="preserve"> </w:t>
      </w:r>
      <w:r>
        <w:t xml:space="preserve">somewhere along the chain.</w:t>
      </w:r>
    </w:p>
    <w:p>
      <w:r>
        <w:br w:type="page"/>
      </w:r>
    </w:p>
    <w:bookmarkEnd w:id="21"/>
    <w:bookmarkStart w:id="25" w:name="X24724baecff9471ed638d0a74a2c7e54cad9a24"/>
    <w:p>
      <w:pPr>
        <w:pStyle w:val="Heading2"/>
      </w:pPr>
      <w:r>
        <w:t xml:space="preserve">B3. Are regional rice markets more integrated?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measure how different retail rice prices are across the 17</w:t>
      </w:r>
      <w:r>
        <w:t xml:space="preserve"> </w:t>
      </w:r>
      <w:r>
        <w:t xml:space="preserve">regions each year (coefficient of variation: standard deviation divided by the mean).</w:t>
      </w:r>
    </w:p>
    <w:p>
      <w:pPr>
        <w:pStyle w:val="CaptionedFigure"/>
      </w:pPr>
      <w:r>
        <w:drawing>
          <wp:inline>
            <wp:extent cx="4267200" cy="2442196"/>
            <wp:effectExtent b="0" l="0" r="0" t="0"/>
            <wp:docPr descr="Coefficient of variation of retail regular-milled rice prices across regions." title="" id="23" name="Picture"/>
            <a:graphic>
              <a:graphicData uri="http://schemas.openxmlformats.org/drawingml/2006/picture">
                <pic:pic>
                  <pic:nvPicPr>
                    <pic:cNvPr descr="../output/figures/fig14_regional_dispers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Coefficient of variation of retail regular-milled rice prices across regions.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Dispersion fell from 6.7% in 2015–2017 to</w:t>
      </w:r>
      <w:r>
        <w:t xml:space="preserve"> </w:t>
      </w:r>
      <w:r>
        <w:t xml:space="preserve">4.1% in 2021–2024, then rose to 5.6% in 2026.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With imports open to any trader, rice moves more freely across</w:t>
      </w:r>
      <w:r>
        <w:t xml:space="preserve"> </w:t>
      </w:r>
      <w:r>
        <w:t xml:space="preserve">regions and prices converge. The 2026 rise coincides with the price surge after the</w:t>
      </w:r>
      <w:r>
        <w:t xml:space="preserve"> </w:t>
      </w:r>
      <w:r>
        <w:t xml:space="preserve">import suspension.</w:t>
      </w:r>
    </w:p>
    <w:p>
      <w:r>
        <w:br w:type="page"/>
      </w:r>
    </w:p>
    <w:bookmarkEnd w:id="25"/>
    <w:bookmarkStart w:id="29" w:name="X3a78b8ae7905bb39004b9dddd9d23ce4b0beea1"/>
    <w:p>
      <w:pPr>
        <w:pStyle w:val="Heading2"/>
      </w:pPr>
      <w:r>
        <w:t xml:space="preserve">B4. When do world shocks show up in domestic inflation?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correlate this month’s world price change with rice</w:t>
      </w:r>
      <w:r>
        <w:t xml:space="preserve"> </w:t>
      </w:r>
      <w:r>
        <w:t xml:space="preserve">inflation k months later, separately before and after the law.</w:t>
      </w:r>
    </w:p>
    <w:p>
      <w:pPr>
        <w:pStyle w:val="CaptionedFigure"/>
      </w:pPr>
      <w:r>
        <w:drawing>
          <wp:inline>
            <wp:extent cx="4267200" cy="2332435"/>
            <wp:effectExtent b="0" l="0" r="0" t="0"/>
            <wp:docPr descr="Correlation between the world shock and rice inflation k months later." title="" id="27" name="Picture"/>
            <a:graphic>
              <a:graphicData uri="http://schemas.openxmlformats.org/drawingml/2006/picture">
                <pic:pic>
                  <pic:nvPicPr>
                    <pic:cNvPr descr="../output/figures/fig13_crosscor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2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between the world shock and rice inflation k months later.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Before the law the correlation peaks at 0.28</w:t>
      </w:r>
      <w:r>
        <w:t xml:space="preserve"> </w:t>
      </w:r>
      <w:r>
        <w:t xml:space="preserve">after 2 months; after the law at 0.35 after</w:t>
      </w:r>
      <w:r>
        <w:t xml:space="preserve"> </w:t>
      </w:r>
      <w:r>
        <w:t xml:space="preserve">4 months. Both lines are noisy.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In both regimes world price changes reach domestic inflation within</w:t>
      </w:r>
      <w:r>
        <w:t xml:space="preserve"> </w:t>
      </w:r>
      <w:r>
        <w:t xml:space="preserve">about half a year. Simple correlations cannot say more; the estimates in Part C control</w:t>
      </w:r>
      <w:r>
        <w:t xml:space="preserve"> </w:t>
      </w:r>
      <w:r>
        <w:t xml:space="preserve">for other influences.</w:t>
      </w:r>
    </w:p>
    <w:p>
      <w:r>
        <w:br w:type="page"/>
      </w:r>
    </w:p>
    <w:bookmarkEnd w:id="29"/>
    <w:bookmarkEnd w:id="30"/>
    <w:bookmarkStart w:id="51" w:name="part-c.-the-estimates-objective-2"/>
    <w:p>
      <w:pPr>
        <w:pStyle w:val="Heading1"/>
      </w:pPr>
      <w:r>
        <w:t xml:space="preserve">Part C. The estimates (Objective 2)</w:t>
      </w:r>
    </w:p>
    <w:bookmarkStart w:id="34" w:name="Xd82f16c1125bb045756c2e6266fd673604af8ff"/>
    <w:p>
      <w:pPr>
        <w:pStyle w:val="Heading2"/>
      </w:pPr>
      <w:r>
        <w:t xml:space="preserve">C1. Did pass-through to consumer rice prices rise? (RQ1)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For each horizon from 0 to 12 months we regress the total rice</w:t>
      </w:r>
      <w:r>
        <w:t xml:space="preserve"> </w:t>
      </w:r>
      <w:r>
        <w:t xml:space="preserve">inflation in each region on the world price shock, allowing the response to differ</w:t>
      </w:r>
      <w:r>
        <w:t xml:space="preserve"> </w:t>
      </w:r>
      <w:r>
        <w:t xml:space="preserve">before and after March 2019, with twelve lags, corrections for later shocks, a trend and</w:t>
      </w:r>
      <w:r>
        <w:t xml:space="preserve"> </w:t>
      </w:r>
      <w:r>
        <w:t xml:space="preserve">region effects (local projections).</w:t>
      </w:r>
    </w:p>
    <w:p>
      <w:pPr>
        <w:pStyle w:val="CaptionedFigure"/>
      </w:pPr>
      <w:r>
        <w:drawing>
          <wp:inline>
            <wp:extent cx="4267200" cy="2742994"/>
            <wp:effectExtent b="0" l="0" r="0" t="0"/>
            <wp:docPr descr="Cumulative response of regional rice CPIs to a 1% world price rise, before (solid) and after (dashed) the law." title="" id="32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regional rice CPIs to a 1% world price rise, before (solid) and after (dashed) the law.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Six months after a 1% world price rise, regional rice prices</w:t>
      </w:r>
      <w:r>
        <w:t xml:space="preserve"> </w:t>
      </w:r>
      <w:r>
        <w:t xml:space="preserve">are 0.16 points higher before the law and 0.46 after it. The bands</w:t>
      </w:r>
      <w:r>
        <w:t xml:space="preserve"> </w:t>
      </w:r>
      <w:r>
        <w:t xml:space="preserve">overlap at twelve months.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Pass-through to consumers rose after the law, but the evidence is</w:t>
      </w:r>
      <w:r>
        <w:t xml:space="preserve"> </w:t>
      </w:r>
      <w:r>
        <w:t xml:space="preserve">suggestive: the change (0.30) is significant only at 10% at six months and not</w:t>
      </w:r>
      <w:r>
        <w:t xml:space="preserve"> </w:t>
      </w:r>
      <w:r>
        <w:t xml:space="preserve">at twelve.</w:t>
      </w:r>
    </w:p>
    <w:p>
      <w:r>
        <w:br w:type="page"/>
      </w:r>
    </w:p>
    <w:bookmarkEnd w:id="34"/>
    <w:bookmarkStart w:id="38" w:name="c2.-how-robust-is-that-change"/>
    <w:p>
      <w:pPr>
        <w:pStyle w:val="Heading2"/>
      </w:pPr>
      <w:r>
        <w:t xml:space="preserve">C2. How robust is that change?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re-estimated the change in pass-through under fifteen</w:t>
      </w:r>
      <w:r>
        <w:t xml:space="preserve"> </w:t>
      </w:r>
      <w:r>
        <w:t xml:space="preserve">alternative choices fixed in advance: other world prices, controls, lag lengths,</w:t>
      </w:r>
      <w:r>
        <w:t xml:space="preserve"> </w:t>
      </w:r>
      <w:r>
        <w:t xml:space="preserve">excluded years, sample windows and error types.</w:t>
      </w:r>
    </w:p>
    <w:p>
      <w:pPr>
        <w:pStyle w:val="CaptionedFigure"/>
      </w:pPr>
      <w:r>
        <w:drawing>
          <wp:inline>
            <wp:extent cx="5067300" cy="2748849"/>
            <wp:effectExtent b="0" l="0" r="0" t="0"/>
            <wp:docPr descr="Change in pass-through after the law across checks, at 6 (left) and 12 (right) months." title="" id="36" name="Picture"/>
            <a:graphic>
              <a:graphicData uri="http://schemas.openxmlformats.org/drawingml/2006/picture">
                <pic:pic>
                  <pic:nvPicPr>
                    <pic:cNvPr descr="../output/figures/fig08_robustnes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pass-through after the law across checks, at 6 (left) and 12 (right) months.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At six months the change ranges from 0.13 to</w:t>
      </w:r>
      <w:r>
        <w:t xml:space="preserve"> </w:t>
      </w:r>
      <w:r>
        <w:t xml:space="preserve">0.44 and stays significant in 12 of 15 checks.</w:t>
      </w:r>
      <w:r>
        <w:t xml:space="preserve"> </w:t>
      </w:r>
      <w:r>
        <w:t xml:space="preserve">It is smallest with data ending June 2024 (0.13). At twelve months it</w:t>
      </w:r>
      <w:r>
        <w:t xml:space="preserve"> </w:t>
      </w:r>
      <w:r>
        <w:t xml:space="preserve">is significant in 2 checks.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direction is stable; the size and significance are not. At six</w:t>
      </w:r>
      <w:r>
        <w:t xml:space="preserve"> </w:t>
      </w:r>
      <w:r>
        <w:t xml:space="preserve">months, much of the measured rise depends on the months after mid-2024.</w:t>
      </w:r>
    </w:p>
    <w:p>
      <w:r>
        <w:br w:type="page"/>
      </w:r>
    </w:p>
    <w:bookmarkEnd w:id="38"/>
    <w:bookmarkStart w:id="42" w:name="Xc2c18d8dec1aa1bcbf0d75deae537834e9ab80f"/>
    <w:p>
      <w:pPr>
        <w:pStyle w:val="Heading2"/>
      </w:pPr>
      <w:r>
        <w:t xml:space="preserve">C3. Who along the chain feels world prices? (RQ2)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The same method on national farmgate palay, wholesale and</w:t>
      </w:r>
      <w:r>
        <w:t xml:space="preserve"> </w:t>
      </w:r>
      <w:r>
        <w:t xml:space="preserve">retail rice prices, 2011 to 2026.</w:t>
      </w:r>
    </w:p>
    <w:p>
      <w:pPr>
        <w:pStyle w:val="CaptionedFigure"/>
      </w:pPr>
      <w:r>
        <w:drawing>
          <wp:inline>
            <wp:extent cx="5334000" cy="2473954"/>
            <wp:effectExtent b="0" l="0" r="0" t="0"/>
            <wp:docPr descr="Response of farmgate, wholesale and retail prices before (solid) and after (dashed) the law." title="" id="40" name="Picture"/>
            <a:graphic>
              <a:graphicData uri="http://schemas.openxmlformats.org/drawingml/2006/picture">
                <pic:pic>
                  <pic:nvPicPr>
                    <pic:cNvPr descr="../output/figures/fig05_rq2_chai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 of farmgate, wholesale and retail prices before (solid) and after (dashed) the law.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Before the law the responses are flat at zero at every stage.</w:t>
      </w:r>
      <w:r>
        <w:t xml:space="preserve"> </w:t>
      </w:r>
      <w:r>
        <w:t xml:space="preserve">After it, six-month pass-through is 0.74 at the farmgate,</w:t>
      </w:r>
      <w:r>
        <w:t xml:space="preserve"> </w:t>
      </w:r>
      <w:r>
        <w:t xml:space="preserve">0.61 at wholesale and 0.53 at retail.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This is the clearest result of the study. Under quotas, farmers and</w:t>
      </w:r>
      <w:r>
        <w:t xml:space="preserve"> </w:t>
      </w:r>
      <w:r>
        <w:t xml:space="preserve">consumers were insulated from world prices; under tariffs they are not, and farmers most</w:t>
      </w:r>
      <w:r>
        <w:t xml:space="preserve"> </w:t>
      </w:r>
      <w:r>
        <w:t xml:space="preserve">of all. Low world prices now mean low palay prices.</w:t>
      </w:r>
    </w:p>
    <w:p>
      <w:r>
        <w:br w:type="page"/>
      </w:r>
    </w:p>
    <w:bookmarkEnd w:id="42"/>
    <w:bookmarkStart w:id="46" w:name="X56fbfed42f7b01a268fb67cd5a1750cff7e97be"/>
    <w:p>
      <w:pPr>
        <w:pStyle w:val="Heading2"/>
      </w:pPr>
      <w:r>
        <w:t xml:space="preserve">C4. Do world rice shocks hurt the poor more? (RQ5)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National all-items CPIs for all households and for the bottom</w:t>
      </w:r>
      <w:r>
        <w:t xml:space="preserve"> </w:t>
      </w:r>
      <w:r>
        <w:t xml:space="preserve">30%, and their gap, 2001–2026.</w:t>
      </w:r>
    </w:p>
    <w:p>
      <w:pPr>
        <w:pStyle w:val="CaptionedFigure"/>
      </w:pPr>
      <w:r>
        <w:drawing>
          <wp:inline>
            <wp:extent cx="5067300" cy="2347707"/>
            <wp:effectExtent b="0" l="0" r="0" t="0"/>
            <wp:docPr descr="Response of all-items CPIs (left) and of the gap between them (right)." title="" id="44" name="Picture"/>
            <a:graphic>
              <a:graphicData uri="http://schemas.openxmlformats.org/drawingml/2006/picture">
                <pic:pic>
                  <pic:nvPicPr>
                    <pic:cNvPr descr="../output/figures/fig06_rq5_poo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 of all-items CPIs (left) and of the gap between them (right).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Six months after a 1% world rice price rise the bottom-30%</w:t>
      </w:r>
      <w:r>
        <w:t xml:space="preserve"> </w:t>
      </w:r>
      <w:r>
        <w:t xml:space="preserve">CPI is 0.110 points higher, against 0.045 for all households; the gap</w:t>
      </w:r>
      <w:r>
        <w:t xml:space="preserve"> </w:t>
      </w:r>
      <w:r>
        <w:t xml:space="preserve">falls by −0.060.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World rice shocks are regressive: they raise the cost of living of</w:t>
      </w:r>
      <w:r>
        <w:t xml:space="preserve"> </w:t>
      </w:r>
      <w:r>
        <w:t xml:space="preserve">the poor 2.4 times as much. Rice’s larger weight in the poor’s basket</w:t>
      </w:r>
      <w:r>
        <w:t xml:space="preserve"> </w:t>
      </w:r>
      <w:r>
        <w:t xml:space="preserve">(17.9% against 8.9%) explains about 36% of</w:t>
      </w:r>
      <w:r>
        <w:t xml:space="preserve"> </w:t>
      </w:r>
      <w:r>
        <w:t xml:space="preserve">this.</w:t>
      </w:r>
    </w:p>
    <w:p>
      <w:r>
        <w:br w:type="page"/>
      </w:r>
    </w:p>
    <w:bookmarkEnd w:id="46"/>
    <w:bookmarkStart w:id="50" w:name="c5.-do-regions-differ-rq4-not-validated"/>
    <w:p>
      <w:pPr>
        <w:pStyle w:val="Heading2"/>
      </w:pPr>
      <w:r>
        <w:t xml:space="preserve">C5. Do regions differ? (RQ4, not validated)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allowed the post-law change to differ in rice-deficit and</w:t>
      </w:r>
      <w:r>
        <w:t xml:space="preserve"> </w:t>
      </w:r>
      <w:r>
        <w:t xml:space="preserve">high-poverty regions (groups from Antonio et al.).</w:t>
      </w:r>
    </w:p>
    <w:p>
      <w:pPr>
        <w:pStyle w:val="CaptionedFigure"/>
      </w:pPr>
      <w:r>
        <w:drawing>
          <wp:inline>
            <wp:extent cx="4267200" cy="2495909"/>
            <wp:effectExtent b="0" l="0" r="0" t="0"/>
            <wp:docPr descr="Extra post-law change in rice-deficit (solid) and high-poverty (dashed) regions." title="" id="48" name="Picture"/>
            <a:graphic>
              <a:graphicData uri="http://schemas.openxmlformats.org/drawingml/2006/picture">
                <pic:pic>
                  <pic:nvPicPr>
                    <pic:cNvPr descr="../output/figures/fig07_rq4_regio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 post-law change in rice-deficit (solid) and high-poverty (dashed) regions.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At twelve months the extra change is −0.05</w:t>
      </w:r>
      <w:r>
        <w:t xml:space="preserve"> </w:t>
      </w:r>
      <w:r>
        <w:t xml:space="preserve">(deficit) and 0.06 (high poverty); neither is significant.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We find no robust regional difference in how the law changed</w:t>
      </w:r>
      <w:r>
        <w:t xml:space="preserve"> </w:t>
      </w:r>
      <w:r>
        <w:t xml:space="preserve">pass-through. Because the reference paper’s group pattern did not replicate, this part</w:t>
      </w:r>
      <w:r>
        <w:t xml:space="preserve"> </w:t>
      </w:r>
      <w:r>
        <w:t xml:space="preserve">carries little weight.</w:t>
      </w:r>
    </w:p>
    <w:p>
      <w:r>
        <w:br w:type="page"/>
      </w:r>
    </w:p>
    <w:bookmarkEnd w:id="50"/>
    <w:bookmarkEnd w:id="51"/>
    <w:bookmarkStart w:id="64" w:name="X1e9607d6868fe083d3a5e5f9c499dcef2cd730e"/>
    <w:p>
      <w:pPr>
        <w:pStyle w:val="Heading1"/>
      </w:pPr>
      <w:r>
        <w:t xml:space="preserve">Part D. The current episode and policy (Objective 3)</w:t>
      </w:r>
    </w:p>
    <w:bookmarkStart w:id="55" w:name="X39ec15b9a1bc700e6048b033e406643c8f460f4"/>
    <w:p>
      <w:pPr>
        <w:pStyle w:val="Heading2"/>
      </w:pPr>
      <w:r>
        <w:t xml:space="preserve">D1. Did the 2024 tariff cut reach consumers?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Using only data up to June 2024, we predicted how much the rice</w:t>
      </w:r>
      <w:r>
        <w:t xml:space="preserve"> </w:t>
      </w:r>
      <w:r>
        <w:t xml:space="preserve">CPI should fall after July 2024 from world prices and from the cut of the tariff from 35%</w:t>
      </w:r>
      <w:r>
        <w:t xml:space="preserve"> </w:t>
      </w:r>
      <w:r>
        <w:t xml:space="preserve">to 15% (−16.0 log points in the import cost), and compared with what happened.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Rice CPI since June 2024: actual, predicted from world prices, and predicted from world prices plus the tariff cut." title="" id="53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CPI since June 2024: actual, predicted from world prices, and predicted from world prices plus the tariff cut.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By June 2025 the rice CPI fell −15.4 log</w:t>
      </w:r>
      <w:r>
        <w:t xml:space="preserve"> </w:t>
      </w:r>
      <w:r>
        <w:t xml:space="preserve">points. World prices alone predicted −15.0; world prices and the</w:t>
      </w:r>
      <w:r>
        <w:t xml:space="preserve"> </w:t>
      </w:r>
      <w:r>
        <w:t xml:space="preserve">tariff cut, −21.3.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Consumers got the fall in world prices but not the tariff cut. For a</w:t>
      </w:r>
      <w:r>
        <w:t xml:space="preserve"> </w:t>
      </w:r>
      <w:r>
        <w:t xml:space="preserve">poverty-line family of five, which spends about PHP 2,479 a month on</w:t>
      </w:r>
      <w:r>
        <w:t xml:space="preserve"> </w:t>
      </w:r>
      <w:r>
        <w:t xml:space="preserve">rice, the predicted tariff saving of about PHP 151 a month did</w:t>
      </w:r>
      <w:r>
        <w:t xml:space="preserve"> </w:t>
      </w:r>
      <w:r>
        <w:t xml:space="preserve">not materialise.</w:t>
      </w:r>
    </w:p>
    <w:p>
      <w:r>
        <w:br w:type="page"/>
      </w:r>
    </w:p>
    <w:bookmarkEnd w:id="55"/>
    <w:bookmarkStart w:id="59" w:name="d2.-the-tariff-cut-by-region"/>
    <w:p>
      <w:pPr>
        <w:pStyle w:val="Heading2"/>
      </w:pPr>
      <w:r>
        <w:t xml:space="preserve">D2. The tariff cut by region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The same comparison for each region’s rice CPI.</w:t>
      </w:r>
    </w:p>
    <w:p>
      <w:pPr>
        <w:pStyle w:val="CaptionedFigure"/>
      </w:pPr>
      <w:r>
        <w:drawing>
          <wp:inline>
            <wp:extent cx="4267200" cy="2497632"/>
            <wp:effectExtent b="0" l="0" r="0" t="0"/>
            <wp:docPr descr="Change in regional rice CPIs, June 2024 to June 2025, and the predicted change." title="" id="57" name="Picture"/>
            <a:graphic>
              <a:graphicData uri="http://schemas.openxmlformats.org/drawingml/2006/picture">
                <pic:pic>
                  <pic:nvPicPr>
                    <pic:cNvPr descr="../output/figures/fig11_regions_episod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regional rice CPIs, June 2024 to June 2025, and the predicted change.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Falls range from −7.7 in</w:t>
      </w:r>
      <w:r>
        <w:t xml:space="preserve"> </w:t>
      </w:r>
      <w:r>
        <w:t xml:space="preserve">CAR to −23.6 in</w:t>
      </w:r>
      <w:r>
        <w:t xml:space="preserve"> </w:t>
      </w:r>
      <w:r>
        <w:t xml:space="preserve">Cagayan Valley; only 2 regions fell by more</w:t>
      </w:r>
      <w:r>
        <w:t xml:space="preserve"> </w:t>
      </w:r>
      <w:r>
        <w:t xml:space="preserve">than predicted.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shortfall was general, not confined to a few regions.</w:t>
      </w:r>
    </w:p>
    <w:p>
      <w:r>
        <w:br w:type="page"/>
      </w:r>
    </w:p>
    <w:bookmarkEnd w:id="59"/>
    <w:bookmarkStart w:id="63" w:name="Xadfadd6720403dd949d1426b274fc05df535685"/>
    <w:p>
      <w:pPr>
        <w:pStyle w:val="Heading2"/>
      </w:pPr>
      <w:r>
        <w:t xml:space="preserve">D3. The 2025 import suspension (exploratory)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compared farmgate and retail prices after August 2025 with</w:t>
      </w:r>
      <w:r>
        <w:t xml:space="preserve"> </w:t>
      </w:r>
      <w:r>
        <w:t xml:space="preserve">the path predicted from world prices alone.</w:t>
      </w:r>
    </w:p>
    <w:p>
      <w:pPr>
        <w:pStyle w:val="CaptionedFigure"/>
      </w:pPr>
      <w:r>
        <w:drawing>
          <wp:inline>
            <wp:extent cx="5067300" cy="2512141"/>
            <wp:effectExtent b="0" l="0" r="0" t="0"/>
            <wp:docPr descr="Farmgate (left) and retail (right) prices since August 2025, actual and predicted from world prices; grey = suspension." title="" id="61" name="Picture"/>
            <a:graphic>
              <a:graphicData uri="http://schemas.openxmlformats.org/drawingml/2006/picture">
                <pic:pic>
                  <pic:nvPicPr>
                    <pic:cNvPr descr="../output/figures/fig10_episode_suspens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Farmgate (left) and retail (right) prices since August 2025, actual and predicted from world prices; grey = suspension.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Farmgate prices first fell (−8.9% in</w:t>
      </w:r>
      <w:r>
        <w:t xml:space="preserve"> </w:t>
      </w:r>
      <w:r>
        <w:t xml:space="preserve">September 2025), then rose 31.1% by April 2026; retail prices</w:t>
      </w:r>
      <w:r>
        <w:t xml:space="preserve"> </w:t>
      </w:r>
      <w:r>
        <w:t xml:space="preserve">rose 24.2%. World prices predicted 7.6%</w:t>
      </w:r>
      <w:r>
        <w:t xml:space="preserve"> </w:t>
      </w:r>
      <w:r>
        <w:t xml:space="preserve">and 4.7%.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Closing the border was followed by a price surge far beyond what world</w:t>
      </w:r>
      <w:r>
        <w:t xml:space="preserve"> </w:t>
      </w:r>
      <w:r>
        <w:t xml:space="preserve">prices explain, felt by consumers months after the suspension ended. The model was not</w:t>
      </w:r>
      <w:r>
        <w:t xml:space="preserve"> </w:t>
      </w:r>
      <w:r>
        <w:t xml:space="preserve">built for a closed border, so we treat this as descriptive.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5" Target="media/rId35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Rice Tariffication and Rice Prices: Analysis Report</dc:title>
  <dc:creator/>
  <cp:keywords/>
  <dcterms:created xsi:type="dcterms:W3CDTF">2026-10-14T18:38:48Z</dcterms:created>
  <dcterms:modified xsi:type="dcterms:W3CDTF">2026-10-14T18:38:48Z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One analysis per page — what was done, the figure, what it shows, what it means</vt:lpwstr>
  </property>
</Properties>
</file>