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38.png" ContentType="image/png"/>
  <Override PartName="/word/media/rId44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Did Rice Tariffication Open the Border? World Price Pass-Through to Philippine Consumers, Farmers and the Poor</w:t>
      </w:r>
    </w:p>
    <w:p>
      <w:pPr>
        <w:pStyle w:val="Author"/>
      </w:pPr>
      <w:r>
        <w:t xml:space="preserve">[Name 1], [Name 2], [Name 3]</w:t>
      </w:r>
    </w:p>
    <w:p>
      <w:pPr>
        <w:pStyle w:val="Date"/>
      </w:pPr>
      <w:r>
        <w:t xml:space="preserve">October 2026</w:t>
      </w:r>
    </w:p>
    <w:p>
      <w:pPr>
        <w:pStyle w:val="FirstParagraph"/>
      </w:pPr>
      <w:r>
        <w:rPr>
          <w:b/>
          <w:bCs/>
        </w:rPr>
        <w:t xml:space="preserve">Abstract.</w:t>
      </w:r>
      <w:r>
        <w:t xml:space="preserve"> </w:t>
      </w:r>
      <w:r>
        <w:t xml:space="preserve">The Philippines replaced quantitative restrictions on rice imports with a</w:t>
      </w:r>
      <w:r>
        <w:t xml:space="preserve"> </w:t>
      </w:r>
      <w:r>
        <w:t xml:space="preserve">35% tariff in March 2019. Using monthly official data for 17 regions from 1995 to</w:t>
      </w:r>
      <w:r>
        <w:t xml:space="preserve"> </w:t>
      </w:r>
      <w:r>
        <w:t xml:space="preserve">September 2026 and local projections, we estimate how much of a world rice price change</w:t>
      </w:r>
      <w:r>
        <w:t xml:space="preserve"> </w:t>
      </w:r>
      <w:r>
        <w:t xml:space="preserve">reaches domestic prices before and after the reform. We first reproduce the data and the</w:t>
      </w:r>
      <w:r>
        <w:t xml:space="preserve"> </w:t>
      </w:r>
      <w:r>
        <w:t xml:space="preserve">main impulse response of Antonio et al. (2025) exactly; one pre-registered criterion on</w:t>
      </w:r>
      <w:r>
        <w:t xml:space="preserve"> </w:t>
      </w:r>
      <w:r>
        <w:t xml:space="preserve">region groups fails. Six-month pass-through to regional rice consumer prices rises from</w:t>
      </w:r>
      <w:r>
        <w:t xml:space="preserve"> </w:t>
      </w:r>
      <w:r>
        <w:t xml:space="preserve">0.16 to 0.46 percentage points per 1%, a change significant</w:t>
      </w:r>
      <w:r>
        <w:t xml:space="preserve"> </w:t>
      </w:r>
      <w:r>
        <w:t xml:space="preserve">only at the 10% level and sensitive to the sample end and to macroeconomic controls.</w:t>
      </w:r>
      <w:r>
        <w:t xml:space="preserve"> </w:t>
      </w:r>
      <w:r>
        <w:t xml:space="preserve">Along the supply chain, pass-through rises from about zero to 0.74</w:t>
      </w:r>
      <w:r>
        <w:t xml:space="preserve"> </w:t>
      </w:r>
      <w:r>
        <w:t xml:space="preserve">(farmgate), 0.61 (wholesale) and 0.53</w:t>
      </w:r>
      <w:r>
        <w:t xml:space="preserve"> </w:t>
      </w:r>
      <w:r>
        <w:t xml:space="preserve">(retail). World rice shocks raise the bottom-30% consumer price index 2.4</w:t>
      </w:r>
      <w:r>
        <w:t xml:space="preserve"> </w:t>
      </w:r>
      <w:r>
        <w:t xml:space="preserve">times as much as the all-income index. An out-of-sample test shows that the 2024 tariff</w:t>
      </w:r>
      <w:r>
        <w:t xml:space="preserve"> </w:t>
      </w:r>
      <w:r>
        <w:t xml:space="preserve">cut from 35% to 15% did not reach consumers within a year, and the domestic–world price</w:t>
      </w:r>
      <w:r>
        <w:t xml:space="preserve"> </w:t>
      </w:r>
      <w:r>
        <w:t xml:space="preserve">gap widened.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rice; tariffication; price transmission; local projections; Philippines.</w:t>
      </w:r>
      <w:r>
        <w:t xml:space="preserve"> </w:t>
      </w:r>
      <w:r>
        <w:rPr>
          <w:b/>
          <w:bCs/>
        </w:rPr>
        <w:t xml:space="preserve">JEL:</w:t>
      </w:r>
      <w:r>
        <w:t xml:space="preserve"> </w:t>
      </w:r>
      <w:r>
        <w:t xml:space="preserve">F13, Q17, Q18, E31.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Rice takes 8.9% of the average Filipino household’s consumer basket and</w:t>
      </w:r>
      <w:r>
        <w:t xml:space="preserve"> </w:t>
      </w:r>
      <w:r>
        <w:t xml:space="preserve">17.9% of the poorest 30% households’ basket. For decades, quantitative</w:t>
      </w:r>
      <w:r>
        <w:t xml:space="preserve"> </w:t>
      </w:r>
      <w:r>
        <w:t xml:space="preserve">restrictions (QR) and a state importer insulated domestic prices from the world market.</w:t>
      </w:r>
      <w:r>
        <w:t xml:space="preserve"> </w:t>
      </w:r>
      <w:r>
        <w:t xml:space="preserve">Republic Act 11203, the Rice Tariffication Law (RTL), replaced them with a 35% tariff</w:t>
      </w:r>
      <w:r>
        <w:t xml:space="preserve"> </w:t>
      </w:r>
      <w:r>
        <w:t xml:space="preserve">from March 2019. Later measures moved the border back and forth: a 15% tariff from July</w:t>
      </w:r>
      <w:r>
        <w:t xml:space="preserve"> </w:t>
      </w:r>
      <w:r>
        <w:t xml:space="preserve">2024, an import suspension from September to December 2025, and a price-indexed tariff</w:t>
      </w:r>
      <w:r>
        <w:t xml:space="preserve"> </w:t>
      </w:r>
      <w:r>
        <w:t xml:space="preserve">from January 2026.</w:t>
      </w:r>
    </w:p>
    <w:p>
      <w:pPr>
        <w:pStyle w:val="BodyText"/>
      </w:pPr>
      <w:r>
        <w:t xml:space="preserve">Each measure assumes something about pass-through, the share of a change in the cost</w:t>
      </w:r>
      <w:r>
        <w:t xml:space="preserve"> </w:t>
      </w:r>
      <w:r>
        <w:t xml:space="preserve">of imported rice that reaches domestic prices. The trade-reform literature predicts</w:t>
      </w:r>
      <w:r>
        <w:t xml:space="preserve"> </w:t>
      </w:r>
      <w:r>
        <w:t xml:space="preserve">that replacing quotas with tariffs raises pass-through</w:t>
      </w:r>
      <w:r>
        <w:t xml:space="preserve"> </w:t>
      </w:r>
      <w:r>
        <w:t xml:space="preserve">(</w:t>
      </w:r>
      <w:hyperlink w:anchor="ref-baffes2003">
        <w:r>
          <w:rPr>
            <w:rStyle w:val="Hyperlink"/>
          </w:rPr>
          <w:t xml:space="preserve">Baffes and Gardner 2003</w:t>
        </w:r>
      </w:hyperlink>
      <w:r>
        <w:t xml:space="preserve">;</w:t>
      </w:r>
      <w:r>
        <w:t xml:space="preserve"> </w:t>
      </w:r>
      <w:hyperlink w:anchor="ref-mundlak1992">
        <w:r>
          <w:rPr>
            <w:rStyle w:val="Hyperlink"/>
          </w:rPr>
          <w:t xml:space="preserve">Mundlak and Larson 1992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Studies of the Philippine chain since 2019 find weak links to world prices and market</w:t>
      </w:r>
      <w:r>
        <w:t xml:space="preserve"> </w:t>
      </w:r>
      <w:r>
        <w:t xml:space="preserve">power downstream</w:t>
      </w:r>
      <w:r>
        <w:t xml:space="preserve"> </w:t>
      </w:r>
      <w:r>
        <w:t xml:space="preserve">(</w:t>
      </w:r>
      <w:hyperlink w:anchor="ref-bathan2025">
        <w:r>
          <w:rPr>
            <w:rStyle w:val="Hyperlink"/>
          </w:rPr>
          <w:t xml:space="preserve">Bathan et al. 2025</w:t>
        </w:r>
      </w:hyperlink>
      <w:r>
        <w:t xml:space="preserve">;</w:t>
      </w:r>
      <w:r>
        <w:t xml:space="preserve"> </w:t>
      </w:r>
      <w:hyperlink w:anchor="ref-trinidad2026">
        <w:r>
          <w:rPr>
            <w:rStyle w:val="Hyperlink"/>
          </w:rPr>
          <w:t xml:space="preserve">Trinidad et al. 2026</w:t>
        </w:r>
      </w:hyperlink>
      <w:r>
        <w:t xml:space="preserve">)</w:t>
      </w:r>
      <w:r>
        <w:t xml:space="preserve">. Antonio et al.</w:t>
      </w:r>
      <w:r>
        <w:t xml:space="preserve"> </w:t>
      </w:r>
      <w:r>
        <w:t xml:space="preserve">(</w:t>
      </w:r>
      <w:hyperlink w:anchor="ref-antonio2025"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 </w:t>
      </w:r>
      <w:r>
        <w:t xml:space="preserve">show that</w:t>
      </w:r>
      <w:r>
        <w:t xml:space="preserve"> </w:t>
      </w:r>
      <w:r>
        <w:t xml:space="preserve">world rice prices are the main driver of regional rice inflation, but do not test for a</w:t>
      </w:r>
      <w:r>
        <w:t xml:space="preserve"> </w:t>
      </w:r>
      <w:r>
        <w:t xml:space="preserve">change with the law.</w:t>
      </w:r>
    </w:p>
    <w:p>
      <w:pPr>
        <w:pStyle w:val="BodyText"/>
      </w:pPr>
      <w:r>
        <w:t xml:space="preserve">We make three contributions. First, we replicate Antonio et al. on the same public</w:t>
      </w:r>
      <w:r>
        <w:t xml:space="preserve"> </w:t>
      </w:r>
      <w:r>
        <w:t xml:space="preserve">data, with pass criteria fixed in advance, and report one failure. Second, we estimate</w:t>
      </w:r>
      <w:r>
        <w:t xml:space="preserve"> </w:t>
      </w:r>
      <w:r>
        <w:t xml:space="preserve">the change in pass-through with the law for consumer, retail, wholesale and farmgate</w:t>
      </w:r>
      <w:r>
        <w:t xml:space="preserve"> </w:t>
      </w:r>
      <w:r>
        <w:t xml:space="preserve">prices, and for the consumer price index (CPI) of the poorest 30%. Third, we test the</w:t>
      </w:r>
      <w:r>
        <w:t xml:space="preserve"> </w:t>
      </w:r>
      <w:r>
        <w:t xml:space="preserve">2024 tariff cut out of sample.</w:t>
      </w:r>
    </w:p>
    <w:bookmarkEnd w:id="9"/>
    <w:bookmarkStart w:id="10" w:name="methods"/>
    <w:p>
      <w:pPr>
        <w:pStyle w:val="Heading1"/>
      </w:pPr>
      <w:r>
        <w:t xml:space="preserve">2. Methods</w:t>
      </w:r>
    </w:p>
    <w:p>
      <w:pPr>
        <w:pStyle w:val="FirstParagraph"/>
      </w:pPr>
      <w:r>
        <w:rPr>
          <w:b/>
          <w:bCs/>
        </w:rPr>
        <w:t xml:space="preserve">Data.</w:t>
      </w:r>
      <w:r>
        <w:t xml:space="preserve"> </w:t>
      </w:r>
      <w:r>
        <w:t xml:space="preserve">Philippine Statistics Authority (PSA) regional rice CPI (2018 = 100, item</w:t>
      </w:r>
      <w:r>
        <w:t xml:space="preserve"> </w:t>
      </w:r>
      <w:r>
        <w:t xml:space="preserve">01.1.1.12), all-income and bottom-30% CPIs and weights, and national retail, wholesale</w:t>
      </w:r>
      <w:r>
        <w:t xml:space="preserve"> </w:t>
      </w:r>
      <w:r>
        <w:t xml:space="preserve">and farmgate rice prices; World Bank Pink Sheet rice prices (Thai 5%); Bangko Sentral ng</w:t>
      </w:r>
      <w:r>
        <w:t xml:space="preserve"> </w:t>
      </w:r>
      <w:r>
        <w:t xml:space="preserve">Pilipinas (BSP) exchange rates. The shock is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the world</w:t>
      </w:r>
      <w:r>
        <w:t xml:space="preserve"> </w:t>
      </w:r>
      <w:r>
        <w:t xml:space="preserve">price in pesos. The 17-region panel uses the PSA’s old geographic code, extended to 2026</w:t>
      </w:r>
      <w:r>
        <w:t xml:space="preserve"> </w:t>
      </w:r>
      <w:r>
        <w:t xml:space="preserve">with new-code growth; the rice CPI and the separate retail price survey correlate at</w:t>
      </w:r>
      <w:r>
        <w:t xml:space="preserve"> </w:t>
      </w:r>
      <w:r>
        <w:t xml:space="preserve">0.98 in monthly changes.</w:t>
      </w:r>
    </w:p>
    <w:p>
      <w:pPr>
        <w:pStyle w:val="BodyText"/>
      </w:pPr>
      <w:r>
        <w:rPr>
          <w:b/>
          <w:bCs/>
        </w:rPr>
        <w:t xml:space="preserve">Specification.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we regress cumulative rice inflation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≤</m:t>
            </m:r>
            <m:r>
              <m:t>h</m:t>
            </m:r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(post = 1 from March 2019),</w:t>
      </w:r>
      <w:r>
        <w:t xml:space="preserve"> </w:t>
      </w:r>
      <w:r>
        <w:t xml:space="preserve">twelve lags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Teulings–Zubanov leads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ref-teulings2014">
        <w:r>
          <w:rPr>
            <w:rStyle w:val="Hyperlink"/>
          </w:rPr>
          <w:t xml:space="preserve">Teulings and Zubanov 2014</w:t>
        </w:r>
      </w:hyperlink>
      <w:r>
        <w:t xml:space="preserve">)</w:t>
      </w:r>
      <w:r>
        <w:t xml:space="preserve">, a trend and region fixed effects</w:t>
      </w:r>
      <w:r>
        <w:t xml:space="preserve"> </w:t>
      </w:r>
      <w:r>
        <w:t xml:space="preserve">(</w:t>
      </w:r>
      <w:hyperlink w:anchor="ref-jorda2005">
        <w:r>
          <w:rPr>
            <w:rStyle w:val="Hyperlink"/>
          </w:rPr>
          <w:t xml:space="preserve">Jordà 2005</w:t>
        </w:r>
      </w:hyperlink>
      <w:r>
        <w:t xml:space="preserve">)</w:t>
      </w:r>
      <w:r>
        <w:t xml:space="preserve">.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cumulative</w:t>
      </w:r>
      <w:r>
        <w:t xml:space="preserve"> </w:t>
      </w:r>
      <w:r>
        <w:t xml:space="preserve">pass-through and</w:t>
      </w:r>
      <w:r>
        <w:t xml:space="preserve"> </w:t>
      </w:r>
      <m:oMath>
        <m:sSub>
          <m:e>
            <m:r>
              <m:t>θ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its change. Panel standard errors are Driscoll–Kraay</w:t>
      </w:r>
      <w:r>
        <w:t xml:space="preserve"> </w:t>
      </w:r>
      <w:r>
        <w:t xml:space="preserve">(</w:t>
      </w:r>
      <w:hyperlink w:anchor="ref-driscoll1998">
        <w:r>
          <w:rPr>
            <w:rStyle w:val="Hyperlink"/>
          </w:rPr>
          <w:t xml:space="preserve">Driscoll and Kraay 1998</w:t>
        </w:r>
      </w:hyperlink>
      <w:r>
        <w:t xml:space="preserve">)</w:t>
      </w:r>
      <w:r>
        <w:t xml:space="preserve">; national ones Newey–West. Decisive horizons,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</m:oMath>
      <w:r>
        <w:t xml:space="preserve">, and</w:t>
      </w:r>
      <w:r>
        <w:t xml:space="preserve"> </w:t>
      </w:r>
      <w:r>
        <w:t xml:space="preserve">a fifteen-item robustness menu were fixed before estimation.</w:t>
      </w:r>
    </w:p>
    <w:p>
      <w:pPr>
        <w:pStyle w:val="BodyText"/>
      </w:pPr>
      <w:r>
        <w:rPr>
          <w:b/>
          <w:bCs/>
        </w:rPr>
        <w:t xml:space="preserve">Validation.</w:t>
      </w:r>
      <w:r>
        <w:t xml:space="preserve"> </w:t>
      </w:r>
      <w:r>
        <w:t xml:space="preserve">Before downloading data we registered a replication gate (Table 1). Our</w:t>
      </w:r>
      <w:r>
        <w:t xml:space="preserve"> </w:t>
      </w:r>
      <w:r>
        <w:t xml:space="preserve">rice CPI statistics match Antonio et al.’s Table 1 exactly in all 17 regions; a panel VAR</w:t>
      </w:r>
      <w:r>
        <w:t xml:space="preserve"> </w:t>
      </w:r>
      <w:r>
        <w:t xml:space="preserve">replica reproduces their response to a world price shock (0.256 at one month,</w:t>
      </w:r>
      <w:r>
        <w:t xml:space="preserve"> </w:t>
      </w:r>
      <w:r>
        <w:t xml:space="preserve">fading by month six). The ratio of peak responses in rice-deficit to surplus regions is</w:t>
      </w:r>
      <w:r>
        <w:t xml:space="preserve"> </w:t>
      </w:r>
      <w:r>
        <w:t xml:space="preserve">1.26, below the registered range [1.3, 3.0], and the poverty ordering is</w:t>
      </w:r>
      <w:r>
        <w:t xml:space="preserve"> </w:t>
      </w:r>
      <w:r>
        <w:t xml:space="preserve">not reproduced. We proceed, with region-group results labelled as not validated.</w:t>
      </w:r>
    </w:p>
    <w:p>
      <w:pPr>
        <w:pStyle w:val="TableCaption"/>
      </w:pPr>
      <w:r>
        <w:t xml:space="preserve">Table 1. Pre-registered replication gate against Antonio et al. (2024 working paper version).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Pre-registered replication gate against Antonio et al. (2024 working paper version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means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SDs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G1b fuel CPI means within 0.5 (better candidate)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cpi_fuel_tr: 17 of 17 (median |dev| 0.000; other cpi_fuel_hh: 6.338)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G2(i) THAI-&gt;RPI 95% band above zero at h=1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irf 0.256 [0.215, 0.303]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G2(ii) THAI-&gt;RPI peaks at h=1 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in {1,2}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at h=1 (0.256)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G2(iii) THAI-&gt;RPI below 25% of peak by h=6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h=6: 0.002 (0.01 of 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G2(iv) FPI-&gt;RPI positive at h=0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 [0.143, 0.143]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G2(v) FPI-&gt;RPI below 25% of impact by h=3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h=3: -0.006 (-0.04 of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ratio insufficient/sufficient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[1.3, 3.0]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 (0.296 / 0.235)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high poverty &lt; low poverty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&lt;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0.260 vs low 0.255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Border gap and episode.</w:t>
      </w:r>
      <w:r>
        <w:t xml:space="preserve"> </w:t>
      </w:r>
      <w:r>
        <w:t xml:space="preserve">The gap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ln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dom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t</m:t>
            </m:r>
          </m:sub>
        </m:sSub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regressed on dummies for the law, the 15% tariff and the suspension, with month dummies.</w:t>
      </w:r>
      <w:r>
        <w:t xml:space="preserve"> </w:t>
      </w:r>
      <w:r>
        <w:t xml:space="preserve">For the 2024 cut we apply post-law pass-through estimated on data ending June 2024 to</w:t>
      </w:r>
      <w:r>
        <w:t xml:space="preserve"> </w:t>
      </w:r>
      <w:r>
        <w:t xml:space="preserve">world shocks and to the tariff shock</w:t>
      </w:r>
      <w:r>
        <w:t xml:space="preserve"> </w:t>
      </w:r>
      <m:oMath>
        <m:r>
          <m:t>100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1.15</m:t>
        </m:r>
        <m:r>
          <m:rPr>
            <m:sty m:val="p"/>
          </m:rPr>
          <m:t>/</m:t>
        </m:r>
        <m:r>
          <m:t>1.35</m:t>
        </m:r>
        <m:r>
          <m:rPr>
            <m:sty m:val="p"/>
          </m:rPr>
          <m:t>)</m:t>
        </m:r>
      </m:oMath>
      <w:r>
        <w:t xml:space="preserve"> </w:t>
      </w:r>
      <w:r>
        <w:t xml:space="preserve">= −16.0.</w:t>
      </w:r>
    </w:p>
    <w:bookmarkEnd w:id="10"/>
    <w:bookmarkStart w:id="11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rPr>
          <w:b/>
          <w:bCs/>
        </w:rPr>
        <w:t xml:space="preserve">Pass-through to consumers.</w:t>
      </w:r>
      <w:r>
        <w:t xml:space="preserve"> </w:t>
      </w:r>
      <w:r>
        <w:t xml:space="preserve">Table 2 reports cumulative pass-through to regional rice</w:t>
      </w:r>
      <w:r>
        <w:t xml:space="preserve"> </w:t>
      </w:r>
      <w:r>
        <w:t xml:space="preserve">CPIs. The change at six months, 0.30 (0.16), is significant at</w:t>
      </w:r>
      <w:r>
        <w:t xml:space="preserve"> </w:t>
      </w:r>
      <w:r>
        <w:t xml:space="preserve">10% (p = 0.06); at twelve months, 0.20 (0.21), it</w:t>
      </w:r>
      <w:r>
        <w:t xml:space="preserve"> </w:t>
      </w:r>
      <w:r>
        <w:t xml:space="preserve">is not.</w:t>
      </w:r>
    </w:p>
    <w:p>
      <w:pPr>
        <w:pStyle w:val="TableCaption"/>
      </w:pPr>
      <w:r>
        <w:t xml:space="preserve">Table 2. Cumulative pass-through to regional rice CPIs (pp per 1%), 1995M1–2026M9; Driscoll–Kraay standard errors; * p&lt;0.10, ** p&lt;0.05, *** p&lt;0.01.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Cumulative pass-through to regional rice CPIs (pp per 1%), 1995M1–2026M9; Driscoll–Kraay standard errors; * p&lt;0.10, ** p&lt;0.05, *** p&lt;0.01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Months (h)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 the law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 the law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 (0.02)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0.07** (0.03)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(0.04)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0.15** (0.06)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0.30*** (0.10)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0.16***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0.46***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0.17***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0.48***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0.20*** (0.07)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0.40**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</w:tr>
    </w:tbl>
    <w:p>
      <w:pPr>
        <w:pStyle w:val="BodyText"/>
      </w:pPr>
      <w:r>
        <w:rPr>
          <w:b/>
          <w:bCs/>
        </w:rPr>
        <w:t xml:space="preserve">Robustness.</w:t>
      </w:r>
      <w:r>
        <w:t xml:space="preserve"> </w:t>
      </w:r>
      <w:r>
        <w:t xml:space="preserve">Across checks the six-month change ranges from 0.13 to</w:t>
      </w:r>
      <w:r>
        <w:t xml:space="preserve"> </w:t>
      </w:r>
      <w:r>
        <w:t xml:space="preserve">0.44. It is larger in a symmetric 2012–2026 window (0.44)</w:t>
      </w:r>
      <w:r>
        <w:t xml:space="preserve"> </w:t>
      </w:r>
      <w:r>
        <w:t xml:space="preserve">and without the 2007–08 crisis (0.37), but only</w:t>
      </w:r>
      <w:r>
        <w:t xml:space="preserve"> </w:t>
      </w:r>
      <w:r>
        <w:t xml:space="preserve">0.13 (0.18) with data ending June 2024, and the</w:t>
      </w:r>
      <w:r>
        <w:t xml:space="preserve"> </w:t>
      </w:r>
      <w:r>
        <w:t xml:space="preserve">twelve-month change is 0.06 with macroeconomic controls. A</w:t>
      </w:r>
      <w:r>
        <w:t xml:space="preserve"> </w:t>
      </w:r>
      <w:r>
        <w:t xml:space="preserve">placebo law date in 2016 gives 0.07 (0.10). Full results</w:t>
      </w:r>
      <w:r>
        <w:t xml:space="preserve"> </w:t>
      </w:r>
      <w:r>
        <w:t xml:space="preserve">are in Table 3.</w:t>
      </w:r>
    </w:p>
    <w:p>
      <w:pPr>
        <w:pStyle w:val="TableCaption"/>
      </w:pPr>
      <w:r>
        <w:t xml:space="preserve">Table 3. Change in pass-through after the law, θ, across robustness checks.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Change in pass-through after the law, θ, across robustness check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θ, h =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θ, h =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Real 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Viet 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 (0.22)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(0.26)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 USD price + FX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(0.26)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(d) Macro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 (0.16)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(e) 6 lags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(e) 18 lags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(f) Without 2007–08 crisis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(0.20)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(g) Without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0.39**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Ending June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(i) 2012–2026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0.44**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 (0.24)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(j) Asymmetry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 (0.20)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(k) Drop chained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(o) Clustered 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0.30*** (0.03)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0.20*** (0.03)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(l) Leave one region out (range)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to 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to 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(m) Separate pre/post 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0.25*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 (0.10)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Along the chain.</w:t>
      </w:r>
      <w:r>
        <w:t xml:space="preserve"> </w:t>
      </w:r>
      <w:r>
        <w:t xml:space="preserve">From 2011 to February 2019 pass-through was statistically zero at</w:t>
      </w:r>
      <w:r>
        <w:t xml:space="preserve"> </w:t>
      </w:r>
      <w:r>
        <w:t xml:space="preserve">the farmgate, wholesale and retail levels; after the law it is large and significant at</w:t>
      </w:r>
      <w:r>
        <w:t xml:space="preserve"> </w:t>
      </w:r>
      <w:r>
        <w:t xml:space="preserve">six months (Table 4), and largest at the farmgate.</w:t>
      </w:r>
    </w:p>
    <w:p>
      <w:pPr>
        <w:pStyle w:val="TableCaption"/>
      </w:pPr>
      <w:r>
        <w:t xml:space="preserve">Table 4. Pass-through to national farmgate, wholesale and retail rice prices, 2011M1–2026M9; Newey–West standard errors.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Pass-through to national farmgate, wholesale and retail rice prices, 2011M1–2026M9; Newey–West standard error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Before, h=12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After, h=12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Change, h=12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Farmgate palay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(0.22)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0.74*** (0.25)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0.74** (0.35)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(0.29)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0.59***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 (0.39)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 RMR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 (0.19)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0.61***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0.77*** (0.26)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 (0.29)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 (0.39)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RMR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0.53***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0.56*** (0.19)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0.49* (0.29)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 CPI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 (0.11)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0.45*** (0.12)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0.44* (0.24)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Regions (not validated).</w:t>
      </w:r>
      <w:r>
        <w:t xml:space="preserve"> </w:t>
      </w:r>
      <w:r>
        <w:t xml:space="preserve">The extra post-law change is −0.05</w:t>
      </w:r>
      <w:r>
        <w:t xml:space="preserve"> </w:t>
      </w:r>
      <w:r>
        <w:t xml:space="preserve">(0.07) in rice-deficit and 0.06 (0.05)</w:t>
      </w:r>
      <w:r>
        <w:t xml:space="preserve"> </w:t>
      </w:r>
      <w:r>
        <w:t xml:space="preserve">in high-poverty regions at twelve months, neither significant.</w:t>
      </w:r>
    </w:p>
    <w:p>
      <w:pPr>
        <w:pStyle w:val="BodyText"/>
      </w:pPr>
      <w:r>
        <w:rPr>
          <w:b/>
          <w:bCs/>
        </w:rPr>
        <w:t xml:space="preserve">The poor.</w:t>
      </w:r>
      <w:r>
        <w:t xml:space="preserve"> </w:t>
      </w:r>
      <w:r>
        <w:t xml:space="preserve">A 1% world price rise raises the all-items CPI by 0.045 pp for all</w:t>
      </w:r>
      <w:r>
        <w:t xml:space="preserve"> </w:t>
      </w:r>
      <w:r>
        <w:t xml:space="preserve">households and 0.110 pp for the bottom 30% within six months; the gap falls by</w:t>
      </w:r>
      <w:r>
        <w:t xml:space="preserve"> </w:t>
      </w:r>
      <w:r>
        <w:t xml:space="preserve">−0.060 (0.010). Rice weights explain about 36%</w:t>
      </w:r>
      <w:r>
        <w:t xml:space="preserve"> </w:t>
      </w:r>
      <w:r>
        <w:t xml:space="preserve">of the gap. The pattern did not change with the law.</w:t>
      </w:r>
    </w:p>
    <w:p>
      <w:pPr>
        <w:pStyle w:val="BodyText"/>
      </w:pPr>
      <w:r>
        <w:rPr>
          <w:b/>
          <w:bCs/>
        </w:rPr>
        <w:t xml:space="preserve">Border gap.</w:t>
      </w:r>
      <w:r>
        <w:t xml:space="preserve"> </w:t>
      </w:r>
      <w:r>
        <w:t xml:space="preserve">The wholesale gap fell −11.2 log points after the</w:t>
      </w:r>
      <w:r>
        <w:t xml:space="preserve"> </w:t>
      </w:r>
      <w:r>
        <w:t xml:space="preserve">law (p = 0.089) and rose 10.6 after</w:t>
      </w:r>
      <w:r>
        <w:t xml:space="preserve"> </w:t>
      </w:r>
      <w:r>
        <w:t xml:space="preserve">the 2024 tariff cut (p = 0.020); controlling for the world</w:t>
      </w:r>
      <w:r>
        <w:t xml:space="preserve"> </w:t>
      </w:r>
      <w:r>
        <w:t xml:space="preserve">price, the rise is 15.2 (Table 5).</w:t>
      </w:r>
    </w:p>
    <w:p>
      <w:pPr>
        <w:pStyle w:val="TableCaption"/>
      </w:pPr>
      <w:r>
        <w:t xml:space="preserve">Table 5. Border gap regressions, 2010M1–2026M9; Newey–West standard errors.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Border gap regressions, 2010M1–2026M9; Newey–West standard error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Wholesale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Wholesale 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 in force (from Mar 2019)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−11.2* (6.6)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 (5.4)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−11.4 (7.2)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 (5.1)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tariff (from Jul 2024)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15.2***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9.4** (4.8)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14.6*** (3.6)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suspension (Sep–Dec 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(4.3)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−13.8*** (4.2)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 (4.0)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−15.4*** (3.5)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price (log × 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−0.83*** (0.18)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−0.93*** (0.17)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2024 tariff cut.</w:t>
      </w:r>
      <w:r>
        <w:t xml:space="preserve"> </w:t>
      </w:r>
      <w:r>
        <w:t xml:space="preserve">The model predicted a fall of −21.3 log points</w:t>
      </w:r>
      <w:r>
        <w:t xml:space="preserve"> </w:t>
      </w:r>
      <w:r>
        <w:t xml:space="preserve">in the rice CPI from June 2024 to June 2025 (−15.0 from world prices,</w:t>
      </w:r>
      <w:r>
        <w:t xml:space="preserve"> </w:t>
      </w:r>
      <w:r>
        <w:t xml:space="preserve">−6.3 from the tariff). The actual fall, −15.4,</w:t>
      </w:r>
      <w:r>
        <w:t xml:space="preserve"> </w:t>
      </w:r>
      <w:r>
        <w:t xml:space="preserve">matches the world-price part alone. For a poverty-line family of five the forgone saving</w:t>
      </w:r>
      <w:r>
        <w:t xml:space="preserve"> </w:t>
      </w:r>
      <w:r>
        <w:t xml:space="preserve">is about PHP 151 a month on predicted pass-through, out of a</w:t>
      </w:r>
      <w:r>
        <w:t xml:space="preserve"> </w:t>
      </w:r>
      <w:r>
        <w:t xml:space="preserve">full tariff wedge of PHP 367.</w:t>
      </w:r>
    </w:p>
    <w:p>
      <w:pPr>
        <w:pStyle w:val="BodyText"/>
      </w:pPr>
      <w:r>
        <w:rPr>
          <w:b/>
          <w:bCs/>
        </w:rPr>
        <w:t xml:space="preserve">The 2025 suspension (exploratory).</w:t>
      </w:r>
      <w:r>
        <w:t xml:space="preserve"> </w:t>
      </w:r>
      <w:r>
        <w:t xml:space="preserve">Between November 2025 and April 2026 the rice CPI</w:t>
      </w:r>
      <w:r>
        <w:t xml:space="preserve"> </w:t>
      </w:r>
      <w:r>
        <w:t xml:space="preserve">rose 21.1% while the world price in pesos rose</w:t>
      </w:r>
      <w:r>
        <w:t xml:space="preserve"> </w:t>
      </w:r>
      <w:r>
        <w:t xml:space="preserve">11.4%.</w:t>
      </w:r>
    </w:p>
    <w:bookmarkEnd w:id="11"/>
    <w:bookmarkStart w:id="12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The law opened the border most visibly for farmers: farmgate prices now follow world</w:t>
      </w:r>
      <w:r>
        <w:t xml:space="preserve"> </w:t>
      </w:r>
      <w:r>
        <w:t xml:space="preserve">prices closely, which is the intended transmission of a tariff regime and the source of</w:t>
      </w:r>
      <w:r>
        <w:t xml:space="preserve"> </w:t>
      </w:r>
      <w:r>
        <w:t xml:space="preserve">farmers’ complaints about low palay prices. For consumers the evidence of higher</w:t>
      </w:r>
      <w:r>
        <w:t xml:space="preserve"> </w:t>
      </w:r>
      <w:r>
        <w:t xml:space="preserve">pass-through is suggestive rather than conclusive, and later tariff cuts appear to have</w:t>
      </w:r>
      <w:r>
        <w:t xml:space="preserve"> </w:t>
      </w:r>
      <w:r>
        <w:t xml:space="preserve">been absorbed along the chain, consistent with Trinidad, Ravago and Balisacan</w:t>
      </w:r>
      <w:r>
        <w:t xml:space="preserve"> </w:t>
      </w:r>
      <w:r>
        <w:t xml:space="preserve">(</w:t>
      </w:r>
      <w:hyperlink w:anchor="ref-trinidad2026">
        <w:r>
          <w:rPr>
            <w:rStyle w:val="Hyperlink"/>
          </w:rPr>
          <w:t xml:space="preserve">2026</w:t>
        </w:r>
      </w:hyperlink>
      <w:r>
        <w:t xml:space="preserve">)</w:t>
      </w:r>
      <w:r>
        <w:t xml:space="preserve">. World rice shocks remain regressive.</w:t>
      </w:r>
    </w:p>
    <w:p>
      <w:pPr>
        <w:pStyle w:val="BodyText"/>
      </w:pPr>
      <w:r>
        <w:rPr>
          <w:b/>
          <w:bCs/>
        </w:rPr>
        <w:t xml:space="preserve">Policy.</w:t>
      </w:r>
      <w:r>
        <w:t xml:space="preserve"> </w:t>
      </w:r>
      <w:r>
        <w:t xml:space="preserve">Tariff changes should be judged by measured pass-through, not by the size of</w:t>
      </w:r>
      <w:r>
        <w:t xml:space="preserve"> </w:t>
      </w:r>
      <w:r>
        <w:t xml:space="preserve">the tariff change; the chain’s margins after the 2024 cut deserve scrutiny by competition</w:t>
      </w:r>
      <w:r>
        <w:t xml:space="preserve"> </w:t>
      </w:r>
      <w:r>
        <w:t xml:space="preserve">authorities; and support during world price spikes is best targeted at poor households.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 law is a single national event, so</w:t>
      </w:r>
      <w:r>
        <w:t xml:space="preserve"> </w:t>
      </w:r>
      <w:r>
        <w:t xml:space="preserve">“after the law”</w:t>
      </w:r>
      <w:r>
        <w:t xml:space="preserve"> </w:t>
      </w:r>
      <w:r>
        <w:t xml:space="preserve">mixes the law with</w:t>
      </w:r>
      <w:r>
        <w:t xml:space="preserve"> </w:t>
      </w:r>
      <w:r>
        <w:t xml:space="preserve">the pandemic, the 2023 world price spike and the 2024 tariff cut. The replication failed</w:t>
      </w:r>
      <w:r>
        <w:t xml:space="preserve"> </w:t>
      </w:r>
      <w:r>
        <w:t xml:space="preserve">on region groups. The 2025–26 episode is descriptive. The policy calculations use 2018</w:t>
      </w:r>
      <w:r>
        <w:t xml:space="preserve"> </w:t>
      </w:r>
      <w:r>
        <w:t xml:space="preserve">basket weights and the 2023 poverty threshold.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Tariffication tied Philippine rice prices more closely to the world</w:t>
      </w:r>
      <w:r>
        <w:t xml:space="preserve"> </w:t>
      </w:r>
      <w:r>
        <w:t xml:space="preserve">market, especially at the farmgate, but tariff cuts after 2019 did not lower consumer</w:t>
      </w:r>
      <w:r>
        <w:t xml:space="preserve"> </w:t>
      </w:r>
      <w:r>
        <w:t xml:space="preserve">prices as intended.</w:t>
      </w:r>
    </w:p>
    <w:bookmarkEnd w:id="12"/>
    <w:bookmarkStart w:id="13" w:name="declarations"/>
    <w:p>
      <w:pPr>
        <w:pStyle w:val="Heading1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Funding:</w:t>
      </w:r>
      <w:r>
        <w:t xml:space="preserve"> </w:t>
      </w:r>
      <w:r>
        <w:t xml:space="preserve">[to be completed].</w:t>
      </w:r>
      <w:r>
        <w:t xml:space="preserve"> </w:t>
      </w:r>
      <w:r>
        <w:rPr>
          <w:b/>
          <w:bCs/>
        </w:rPr>
        <w:t xml:space="preserve">Competing interests:</w:t>
      </w:r>
      <w:r>
        <w:t xml:space="preserve"> </w:t>
      </w:r>
      <w:r>
        <w:t xml:space="preserve">none declared.</w:t>
      </w:r>
      <w:r>
        <w:t xml:space="preserve"> </w:t>
      </w:r>
      <w:r>
        <w:rPr>
          <w:b/>
          <w:bCs/>
        </w:rPr>
        <w:t xml:space="preserve">Data and code</w:t>
      </w:r>
      <w:r>
        <w:rPr>
          <w:b/>
          <w:bCs/>
        </w:rPr>
        <w:t xml:space="preserve"> </w:t>
      </w:r>
      <w:r>
        <w:rPr>
          <w:b/>
          <w:bCs/>
        </w:rPr>
        <w:t xml:space="preserve">availability:</w:t>
      </w:r>
      <w:r>
        <w:t xml:space="preserve"> </w:t>
      </w:r>
      <w:r>
        <w:t xml:space="preserve">all data are public (PSA OpenSTAT, World Bank, BSP, NOAA); raw files,</w:t>
      </w:r>
      <w:r>
        <w:t xml:space="preserve"> </w:t>
      </w:r>
      <w:r>
        <w:t xml:space="preserve">code and a one-command rebuild are in the replication package.</w:t>
      </w:r>
      <w:r>
        <w:t xml:space="preserve"> </w:t>
      </w:r>
      <w:r>
        <w:rPr>
          <w:b/>
          <w:bCs/>
        </w:rPr>
        <w:t xml:space="preserve">Author contributions:</w:t>
      </w:r>
      <w:r>
        <w:t xml:space="preserve"> </w:t>
      </w:r>
      <w:r>
        <w:t xml:space="preserve">[to be completed].</w:t>
      </w:r>
    </w:p>
    <w:bookmarkEnd w:id="13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Start w:id="15" w:name="ref-antonio2025"/>
    <w:p>
      <w:pPr>
        <w:pStyle w:val="Bibliography"/>
      </w:pPr>
      <w:r>
        <w:t xml:space="preserve">Antonio, Ronald Jeremy, Harold Glenn Valera, Ashok K. Mishra, Valerien Pede, and Takashi Yamano. 2025.</w:t>
      </w:r>
      <w:r>
        <w:t xml:space="preserve"> </w:t>
      </w:r>
      <w:r>
        <w:t xml:space="preserve">“Rice Price Inflation Dynamics in the Philippines.”</w:t>
      </w:r>
      <w:r>
        <w:t xml:space="preserve"> </w:t>
      </w:r>
      <w:r>
        <w:rPr>
          <w:i/>
          <w:iCs/>
        </w:rPr>
        <w:t xml:space="preserve">Australian Journal of Agricultural and Resource Economics</w:t>
      </w:r>
      <w:r>
        <w:t xml:space="preserve"> </w:t>
      </w:r>
      <w:r>
        <w:t xml:space="preserve">69 (2): 440–52.</w:t>
      </w:r>
      <w:r>
        <w:t xml:space="preserve"> </w:t>
      </w:r>
      <w:hyperlink r:id="rId14">
        <w:r>
          <w:rPr>
            <w:rStyle w:val="Hyperlink"/>
          </w:rPr>
          <w:t xml:space="preserve">https://doi.org/10.1111/1467-8489.70012</w:t>
        </w:r>
      </w:hyperlink>
      <w:r>
        <w:t xml:space="preserve">.</w:t>
      </w:r>
    </w:p>
    <w:bookmarkEnd w:id="15"/>
    <w:bookmarkStart w:id="17" w:name="ref-baffes2003"/>
    <w:p>
      <w:pPr>
        <w:pStyle w:val="Bibliography"/>
      </w:pPr>
      <w:r>
        <w:t xml:space="preserve">Baffes, John, and Bruce Gardner. 2003.</w:t>
      </w:r>
      <w:r>
        <w:t xml:space="preserve"> </w:t>
      </w:r>
      <w:r>
        <w:t xml:space="preserve">“The Transmission of World Commodity Prices to Domestic Markets Under Policy Reforms in Developing Countries.”</w:t>
      </w:r>
      <w:r>
        <w:t xml:space="preserve"> </w:t>
      </w:r>
      <w:r>
        <w:rPr>
          <w:i/>
          <w:iCs/>
        </w:rPr>
        <w:t xml:space="preserve">Journal of Policy Reform</w:t>
      </w:r>
      <w:r>
        <w:t xml:space="preserve"> </w:t>
      </w:r>
      <w:r>
        <w:t xml:space="preserve">6 (3): 159–80.</w:t>
      </w:r>
      <w:r>
        <w:t xml:space="preserve"> </w:t>
      </w:r>
      <w:hyperlink r:id="rId16">
        <w:r>
          <w:rPr>
            <w:rStyle w:val="Hyperlink"/>
          </w:rPr>
          <w:t xml:space="preserve">https://doi.org/10.1080/0951274032000175770</w:t>
        </w:r>
      </w:hyperlink>
      <w:r>
        <w:t xml:space="preserve">.</w:t>
      </w:r>
    </w:p>
    <w:bookmarkEnd w:id="17"/>
    <w:bookmarkStart w:id="19" w:name="ref-bathan2025"/>
    <w:p>
      <w:pPr>
        <w:pStyle w:val="Bibliography"/>
      </w:pPr>
      <w:r>
        <w:t xml:space="preserve">Bathan, Bates M., Apichart Daloonpate, and Itthipong Mahathanseth. 2025.</w:t>
      </w:r>
      <w:r>
        <w:t xml:space="preserve"> </w:t>
      </w:r>
      <w:r>
        <w:t xml:space="preserve">“The Dynamics of Price Transmission in the</w:t>
      </w:r>
      <w:r>
        <w:t xml:space="preserve"> </w:t>
      </w:r>
      <w:r>
        <w:t xml:space="preserve">Philippine</w:t>
      </w:r>
      <w:r>
        <w:t xml:space="preserve"> </w:t>
      </w:r>
      <w:r>
        <w:t xml:space="preserve">Rice Supply Chain.”</w:t>
      </w:r>
      <w:r>
        <w:t xml:space="preserve"> </w:t>
      </w:r>
      <w:r>
        <w:rPr>
          <w:i/>
          <w:iCs/>
        </w:rPr>
        <w:t xml:space="preserve">Journal of the International Society for Southeast Asian Agricultural Sciences</w:t>
      </w:r>
      <w:r>
        <w:t xml:space="preserve"> </w:t>
      </w:r>
      <w:r>
        <w:t xml:space="preserve">31 (1): 63–82.</w:t>
      </w:r>
      <w:r>
        <w:t xml:space="preserve"> </w:t>
      </w:r>
      <w:hyperlink r:id="rId18">
        <w:r>
          <w:rPr>
            <w:rStyle w:val="Hyperlink"/>
          </w:rPr>
          <w:t xml:space="preserve">http://issaasphil.org/wp-content/uploads/2025/06/5.-Bathan-et-al.-2025-The-dynamics-of-price-transmission-FINAL.pdf</w:t>
        </w:r>
      </w:hyperlink>
      <w:r>
        <w:t xml:space="preserve">.</w:t>
      </w:r>
    </w:p>
    <w:bookmarkEnd w:id="19"/>
    <w:bookmarkStart w:id="21" w:name="ref-driscoll1998"/>
    <w:p>
      <w:pPr>
        <w:pStyle w:val="Bibliography"/>
      </w:pPr>
      <w:r>
        <w:t xml:space="preserve">Driscoll, John C., and Aart C. Kraay. 1998.</w:t>
      </w:r>
      <w:r>
        <w:t xml:space="preserve"> </w:t>
      </w:r>
      <w:r>
        <w:t xml:space="preserve">“Consistent Covariance Matrix Estimation with Spatially Dependent Panel Data.”</w:t>
      </w:r>
      <w:r>
        <w:t xml:space="preserve"> </w:t>
      </w:r>
      <w:r>
        <w:rPr>
          <w:i/>
          <w:iCs/>
        </w:rPr>
        <w:t xml:space="preserve">Review of Economics and Statistics</w:t>
      </w:r>
      <w:r>
        <w:t xml:space="preserve"> </w:t>
      </w:r>
      <w:r>
        <w:t xml:space="preserve">80 (4): 549–60.</w:t>
      </w:r>
      <w:r>
        <w:t xml:space="preserve"> </w:t>
      </w:r>
      <w:hyperlink r:id="rId20">
        <w:r>
          <w:rPr>
            <w:rStyle w:val="Hyperlink"/>
          </w:rPr>
          <w:t xml:space="preserve">https://doi.org/10.1162/003465398557825</w:t>
        </w:r>
      </w:hyperlink>
      <w:r>
        <w:t xml:space="preserve">.</w:t>
      </w:r>
    </w:p>
    <w:bookmarkEnd w:id="21"/>
    <w:bookmarkStart w:id="23" w:name="ref-jorda2005"/>
    <w:p>
      <w:pPr>
        <w:pStyle w:val="Bibliography"/>
      </w:pPr>
      <w:r>
        <w:t xml:space="preserve">Jordà, Òscar. 2005.</w:t>
      </w:r>
      <w:r>
        <w:t xml:space="preserve"> </w:t>
      </w:r>
      <w:r>
        <w:t xml:space="preserve">“Estimation and Inference of Impulse Responses by Local Projections.”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95 (1): 161–82.</w:t>
      </w:r>
      <w:r>
        <w:t xml:space="preserve"> </w:t>
      </w:r>
      <w:hyperlink r:id="rId22">
        <w:r>
          <w:rPr>
            <w:rStyle w:val="Hyperlink"/>
          </w:rPr>
          <w:t xml:space="preserve">https://doi.org/10.1257/0002828053828518</w:t>
        </w:r>
      </w:hyperlink>
      <w:r>
        <w:t xml:space="preserve">.</w:t>
      </w:r>
    </w:p>
    <w:bookmarkEnd w:id="23"/>
    <w:bookmarkStart w:id="25" w:name="ref-mundlak1992"/>
    <w:p>
      <w:pPr>
        <w:pStyle w:val="Bibliography"/>
      </w:pPr>
      <w:r>
        <w:t xml:space="preserve">Mundlak, Yair, and Donald F. Larson. 1992.</w:t>
      </w:r>
      <w:r>
        <w:t xml:space="preserve"> </w:t>
      </w:r>
      <w:r>
        <w:t xml:space="preserve">“On the Transmission of World Agricultural Prices.”</w:t>
      </w:r>
      <w:r>
        <w:t xml:space="preserve"> </w:t>
      </w:r>
      <w:r>
        <w:rPr>
          <w:i/>
          <w:iCs/>
        </w:rPr>
        <w:t xml:space="preserve">The World Bank Economic Review</w:t>
      </w:r>
      <w:r>
        <w:t xml:space="preserve"> </w:t>
      </w:r>
      <w:r>
        <w:t xml:space="preserve">6 (3): 399–422.</w:t>
      </w:r>
      <w:r>
        <w:t xml:space="preserve"> </w:t>
      </w:r>
      <w:hyperlink r:id="rId24">
        <w:r>
          <w:rPr>
            <w:rStyle w:val="Hyperlink"/>
          </w:rPr>
          <w:t xml:space="preserve">https://doi.org/10.1093/wber/6.3.399</w:t>
        </w:r>
      </w:hyperlink>
      <w:r>
        <w:t xml:space="preserve">.</w:t>
      </w:r>
    </w:p>
    <w:bookmarkEnd w:id="25"/>
    <w:bookmarkStart w:id="27" w:name="ref-teulings2014"/>
    <w:p>
      <w:pPr>
        <w:pStyle w:val="Bibliography"/>
      </w:pPr>
      <w:r>
        <w:t xml:space="preserve">Teulings, Coen N., and Nikolay Zubanov. 2014.</w:t>
      </w:r>
      <w:r>
        <w:t xml:space="preserve"> </w:t>
      </w:r>
      <w:r>
        <w:t xml:space="preserve">“Is Economic Recovery a Myth? Robust Estimation of Impulse Responses.”</w:t>
      </w:r>
      <w:r>
        <w:t xml:space="preserve"> </w:t>
      </w:r>
      <w:r>
        <w:rPr>
          <w:i/>
          <w:iCs/>
        </w:rPr>
        <w:t xml:space="preserve">Journal of Applied Econometrics</w:t>
      </w:r>
      <w:r>
        <w:t xml:space="preserve"> </w:t>
      </w:r>
      <w:r>
        <w:t xml:space="preserve">29 (3): 497–514.</w:t>
      </w:r>
      <w:r>
        <w:t xml:space="preserve"> </w:t>
      </w:r>
      <w:hyperlink r:id="rId26">
        <w:r>
          <w:rPr>
            <w:rStyle w:val="Hyperlink"/>
          </w:rPr>
          <w:t xml:space="preserve">https://doi.org/10.1002/jae.2333</w:t>
        </w:r>
      </w:hyperlink>
      <w:r>
        <w:t xml:space="preserve">.</w:t>
      </w:r>
    </w:p>
    <w:bookmarkEnd w:id="27"/>
    <w:bookmarkStart w:id="29" w:name="ref-trinidad2026"/>
    <w:p>
      <w:pPr>
        <w:pStyle w:val="Bibliography"/>
      </w:pPr>
      <w:r>
        <w:t xml:space="preserve">Trinidad, Emmanuel G., Majah-Leah V. Ravago, and Arsenio M. Balisacan. 2026.</w:t>
      </w:r>
      <w:r>
        <w:t xml:space="preserve"> </w:t>
      </w:r>
      <w:r>
        <w:t xml:space="preserve">“Tariff Cuts Without Consumer Gains?</w:t>
      </w:r>
      <w:r>
        <w:t xml:space="preserve"> </w:t>
      </w:r>
      <w:r>
        <w:t xml:space="preserve">A</w:t>
      </w:r>
      <w:r>
        <w:t xml:space="preserve"> </w:t>
      </w:r>
      <w:r>
        <w:t xml:space="preserve">Competition Policy Perspective on</w:t>
      </w:r>
      <w:r>
        <w:t xml:space="preserve"> </w:t>
      </w:r>
      <w:r>
        <w:t xml:space="preserve">Philippine</w:t>
      </w:r>
      <w:r>
        <w:t xml:space="preserve"> </w:t>
      </w:r>
      <w:r>
        <w:t xml:space="preserve">Price Trends.”</w:t>
      </w:r>
      <w:r>
        <w:t xml:space="preserve"> </w:t>
      </w:r>
      <w:r>
        <w:rPr>
          <w:i/>
          <w:iCs/>
        </w:rPr>
        <w:t xml:space="preserve">The Philippine Review of Economics</w:t>
      </w:r>
      <w:r>
        <w:t xml:space="preserve"> </w:t>
      </w:r>
      <w:r>
        <w:t xml:space="preserve">63 (1): 5–42.</w:t>
      </w:r>
      <w:r>
        <w:t xml:space="preserve"> </w:t>
      </w:r>
      <w:hyperlink r:id="rId28">
        <w:r>
          <w:rPr>
            <w:rStyle w:val="Hyperlink"/>
          </w:rPr>
          <w:t xml:space="preserve">https://doi.org/10.37907/2erp6202j</w:t>
        </w:r>
      </w:hyperlink>
      <w:r>
        <w:t xml:space="preserve">.</w:t>
      </w:r>
    </w:p>
    <w:bookmarkEnd w:id="29"/>
    <w:bookmarkEnd w:id="30"/>
    <w:bookmarkEnd w:id="31"/>
    <w:bookmarkStart w:id="47" w:name="figures"/>
    <w:p>
      <w:pPr>
        <w:pStyle w:val="Heading1"/>
      </w:pPr>
      <w:r>
        <w:t xml:space="preserve">Figures</w:t>
      </w:r>
    </w:p>
    <w:p>
      <w:pPr>
        <w:pStyle w:val="CaptionedFigure"/>
      </w:pPr>
      <w:r>
        <w:drawing>
          <wp:inline>
            <wp:extent cx="4267200" cy="2742994"/>
            <wp:effectExtent b="0" l="0" r="0" t="0"/>
            <wp:docPr descr="Figure 1. Cumulative response of regional rice CPIs to a 1% world rice price rise (pesos), before the law (solid, grey 90% band) and after it (dashed, dotted 90% band), percentage points." title="" id="33" name="Picture"/>
            <a:graphic>
              <a:graphicData uri="http://schemas.openxmlformats.org/drawingml/2006/picture">
                <pic:pic>
                  <pic:nvPicPr>
                    <pic:cNvPr descr="../output/figures/fig04_rq1_passthrough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4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Cumulative response of regional rice CPIs to a 1% world rice price rise (pesos), before the law (solid, grey 90% band) and after it (dashed, dotted 90% band), percentage points.</w:t>
      </w:r>
    </w:p>
    <w:p>
      <w:pPr>
        <w:pStyle w:val="CaptionedFigure"/>
      </w:pPr>
      <w:r>
        <w:drawing>
          <wp:inline>
            <wp:extent cx="5334000" cy="2473954"/>
            <wp:effectExtent b="0" l="0" r="0" t="0"/>
            <wp:docPr descr="Figure 2. Cumulative response of national farmgate palay, wholesale and retail regular-milled rice prices to a 1% world rice price rise, before (solid) and after (dashed) the law, 90% bands." title="" id="36" name="Picture"/>
            <a:graphic>
              <a:graphicData uri="http://schemas.openxmlformats.org/drawingml/2006/picture">
                <pic:pic>
                  <pic:nvPicPr>
                    <pic:cNvPr descr="../output/figures/fig05_rq2_chai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Cumulative response of national farmgate palay, wholesale and retail regular-milled rice prices to a 1% world rice price rise, before (solid) and after (dashed) the law, 90% bands.</w:t>
      </w:r>
    </w:p>
    <w:p>
      <w:pPr>
        <w:pStyle w:val="CaptionedFigure"/>
      </w:pPr>
      <w:r>
        <w:drawing>
          <wp:inline>
            <wp:extent cx="5067300" cy="2347707"/>
            <wp:effectExtent b="0" l="0" r="0" t="0"/>
            <wp:docPr descr="Figure 3. Left: response of the all-items CPI for all income households (solid) and the bottom 30% (dashed). Right: response of the inflation gap, all income minus bottom 30%. Percentage points per 1%, 90% bands." title="" id="39" name="Picture"/>
            <a:graphic>
              <a:graphicData uri="http://schemas.openxmlformats.org/drawingml/2006/picture">
                <pic:pic>
                  <pic:nvPicPr>
                    <pic:cNvPr descr="../output/figures/fig06_rq5_poo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4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Left: response of the all-items CPI for all income households (solid) and the bottom 30% (dashed). Right: response of the inflation gap, all income minus bottom 30%. Percentage points per 1%, 90% bands.</w:t>
      </w:r>
    </w:p>
    <w:p>
      <w:pPr>
        <w:pStyle w:val="CaptionedFigure"/>
      </w:pPr>
      <w:r>
        <w:drawing>
          <wp:inline>
            <wp:extent cx="4267200" cy="2604100"/>
            <wp:effectExtent b="0" l="0" r="0" t="0"/>
            <wp:docPr descr="Figure 4. Change in the national rice CPI since June 2024 (log points): actual, predicted from world prices only, and predicted from world prices plus the July 2024 tariff cut, using post-law pass-through estimated on data ending June 2024." title="" id="42" name="Picture"/>
            <a:graphic>
              <a:graphicData uri="http://schemas.openxmlformats.org/drawingml/2006/picture">
                <pic:pic>
                  <pic:nvPicPr>
                    <pic:cNvPr descr="../output/figures/fig09_episode_tariff_cu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0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Change in the national rice CPI since June 2024 (log points): actual, predicted from world prices only, and predicted from world prices plus the July 2024 tariff cut, using post-law pass-through estimated on data ending June 2024.</w:t>
      </w:r>
    </w:p>
    <w:p>
      <w:pPr>
        <w:pStyle w:val="CaptionedFigure"/>
      </w:pPr>
      <w:r>
        <w:drawing>
          <wp:inline>
            <wp:extent cx="5067300" cy="2748849"/>
            <wp:effectExtent b="0" l="0" r="0" t="0"/>
            <wp:docPr descr="Figure 5. Change in cumulative pass-through after the law across robustness checks, at 6 and 12 months, with 90% intervals." title="" id="45" name="Picture"/>
            <a:graphic>
              <a:graphicData uri="http://schemas.openxmlformats.org/drawingml/2006/picture">
                <pic:pic>
                  <pic:nvPicPr>
                    <pic:cNvPr descr="../output/figures/fig08_robustnes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4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Change in cumulative pass-through after the law across robustness checks, at 6 and 12 months, with 90% intervals.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hyperlink" Id="rId18" Target="http://issaasphil.org/wp-content/uploads/2025/06/5.-Bathan-et-al.-2025-The-dynamics-of-price-transmission-FINAL.pdf" TargetMode="External" /><Relationship Type="http://schemas.openxmlformats.org/officeDocument/2006/relationships/hyperlink" Id="rId26" Target="https://doi.org/10.1002/jae.2333" TargetMode="External" /><Relationship Type="http://schemas.openxmlformats.org/officeDocument/2006/relationships/hyperlink" Id="rId16" Target="https://doi.org/10.1080/0951274032000175770" TargetMode="External" /><Relationship Type="http://schemas.openxmlformats.org/officeDocument/2006/relationships/hyperlink" Id="rId24" Target="https://doi.org/10.1093/wber/6.3.399" TargetMode="External" /><Relationship Type="http://schemas.openxmlformats.org/officeDocument/2006/relationships/hyperlink" Id="rId14" Target="https://doi.org/10.1111/1467-8489.70012" TargetMode="External" /><Relationship Type="http://schemas.openxmlformats.org/officeDocument/2006/relationships/hyperlink" Id="rId20" Target="https://doi.org/10.1162/003465398557825" TargetMode="External" /><Relationship Type="http://schemas.openxmlformats.org/officeDocument/2006/relationships/hyperlink" Id="rId22" Target="https://doi.org/10.1257/0002828053828518" TargetMode="External" /><Relationship Type="http://schemas.openxmlformats.org/officeDocument/2006/relationships/hyperlink" Id="rId28" Target="https://doi.org/10.37907/2erp6202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issaasphil.org/wp-content/uploads/2025/06/5.-Bathan-et-al.-2025-The-dynamics-of-price-transmission-FINAL.pdf" TargetMode="External" /><Relationship Type="http://schemas.openxmlformats.org/officeDocument/2006/relationships/hyperlink" Id="rId26" Target="https://doi.org/10.1002/jae.2333" TargetMode="External" /><Relationship Type="http://schemas.openxmlformats.org/officeDocument/2006/relationships/hyperlink" Id="rId16" Target="https://doi.org/10.1080/0951274032000175770" TargetMode="External" /><Relationship Type="http://schemas.openxmlformats.org/officeDocument/2006/relationships/hyperlink" Id="rId24" Target="https://doi.org/10.1093/wber/6.3.399" TargetMode="External" /><Relationship Type="http://schemas.openxmlformats.org/officeDocument/2006/relationships/hyperlink" Id="rId14" Target="https://doi.org/10.1111/1467-8489.70012" TargetMode="External" /><Relationship Type="http://schemas.openxmlformats.org/officeDocument/2006/relationships/hyperlink" Id="rId20" Target="https://doi.org/10.1162/003465398557825" TargetMode="External" /><Relationship Type="http://schemas.openxmlformats.org/officeDocument/2006/relationships/hyperlink" Id="rId22" Target="https://doi.org/10.1257/0002828053828518" TargetMode="External" /><Relationship Type="http://schemas.openxmlformats.org/officeDocument/2006/relationships/hyperlink" Id="rId28" Target="https://doi.org/10.37907/2erp6202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Did Rice Tariffication Open the Border? World Price Pass-Through to Philippine Consumers, Farmers and the Poor</dc:title>
  <dc:creator>[Name 1], [Name 2], [Name 3]</dc:creator>
  <cp:keywords/>
  <dcterms:created xsi:type="dcterms:W3CDTF">2026-10-14T18:38:47Z</dcterms:created>
  <dcterms:modified xsi:type="dcterms:W3CDTF">2026-10-14T18:38:47Z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/home/user/publication-d/paper/references.bib</vt:lpwstr>
  </property>
  <property fmtid="{D5CDD505-2E9C-101B-9397-08002B2CF9AE}" pid="3" name="date">
    <vt:lpwstr>October 2026</vt:lpwstr>
  </property>
  <property fmtid="{D5CDD505-2E9C-101B-9397-08002B2CF9AE}" pid="4" name="link-citations">
    <vt:lpwstr>True</vt:lpwstr>
  </property>
</Properties>
</file>