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6.png" ContentType="image/png"/>
  <Override PartName="/word/media/rId52.png" ContentType="image/png"/>
  <Override PartName="/word/media/rId56.png" ContentType="image/png"/>
  <Override PartName="/word/media/rId62.png" ContentType="image/png"/>
  <Override PartName="/word/media/rId68.png" ContentType="image/png"/>
  <Override PartName="/word/media/rId65.png" ContentType="image/png"/>
  <Override PartName="/word/media/rId59.png" ContentType="image/png"/>
  <Override PartName="/word/media/rId72.png" ContentType="image/png"/>
  <Override PartName="/word/media/rId78.png" ContentType="image/png"/>
  <Override PartName="/word/media/rId75.png" ContentType="image/png"/>
  <Override PartName="/word/media/rId39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Opening the Rice Border: World Price Pass-Through, Domestic Rice Prices and the Poor after the Philippine Rice Tariffication Law</w:t>
      </w:r>
    </w:p>
    <w:p>
      <w:pPr>
        <w:pStyle w:val="Subtitle"/>
      </w:pPr>
      <w:r>
        <w:t xml:space="preserve">Working paper</w:t>
      </w:r>
    </w:p>
    <w:p>
      <w:pPr>
        <w:pStyle w:val="Author"/>
      </w:pPr>
      <w:r>
        <w:t xml:space="preserve">[Name 1], [Name 2], [Name 3]</w:t>
      </w:r>
    </w:p>
    <w:p>
      <w:pPr>
        <w:pStyle w:val="Date"/>
      </w:pPr>
      <w:r>
        <w:t xml:space="preserve">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Abstract.</w:t>
      </w:r>
      <w:r>
        <w:t xml:space="preserve"> </w:t>
      </w:r>
      <w:r>
        <w:t xml:space="preserve">In March 2019 the Philippines replaced its quantitative restrictions on</w:t>
      </w:r>
      <w:r>
        <w:t xml:space="preserve"> </w:t>
      </w:r>
      <w:r>
        <w:t xml:space="preserve">rice imports with a 35% tariff (Republic Act 11203, the Rice Tariffication Law). We ask</w:t>
      </w:r>
      <w:r>
        <w:t xml:space="preserve"> </w:t>
      </w:r>
      <w:r>
        <w:t xml:space="preserve">whether the law changed how much of a world rice price movement reaches Filipino</w:t>
      </w:r>
      <w:r>
        <w:t xml:space="preserve"> </w:t>
      </w:r>
      <w:r>
        <w:t xml:space="preserve">consumers and farmers. We first reproduce the data and the main impulse response of</w:t>
      </w:r>
      <w:r>
        <w:t xml:space="preserve"> </w:t>
      </w:r>
      <w:r>
        <w:t xml:space="preserve">Antonio et al.</w:t>
      </w:r>
      <w:r>
        <w:t xml:space="preserve"> </w:t>
      </w:r>
      <w:r>
        <w:t xml:space="preserve">(</w:t>
      </w:r>
      <w:hyperlink w:anchor="ref-antonio2025"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 </w:t>
      </w:r>
      <w:r>
        <w:t xml:space="preserve">exactly, then estimate local projections on a panel of</w:t>
      </w:r>
      <w:r>
        <w:t xml:space="preserve"> </w:t>
      </w:r>
      <w:r>
        <w:t xml:space="preserve">17 regions from 1995 to September 2026. Before the law, a 1% rise in the world rice</w:t>
      </w:r>
      <w:r>
        <w:t xml:space="preserve"> </w:t>
      </w:r>
      <w:r>
        <w:t xml:space="preserve">price in pesos raised regional rice consumer prices by 0.16 percentage</w:t>
      </w:r>
      <w:r>
        <w:t xml:space="preserve"> </w:t>
      </w:r>
      <w:r>
        <w:t xml:space="preserve">points within six months; after the law, by 0.46. The increase is</w:t>
      </w:r>
      <w:r>
        <w:t xml:space="preserve"> </w:t>
      </w:r>
      <w:r>
        <w:t xml:space="preserve">significant only at the 10% level and is fragile: it is smaller with data ending in</w:t>
      </w:r>
      <w:r>
        <w:t xml:space="preserve"> </w:t>
      </w:r>
      <w:r>
        <w:t xml:space="preserve">June 2024 and with macroeconomic controls at twelve months. Along the supply chain,</w:t>
      </w:r>
      <w:r>
        <w:t xml:space="preserve"> </w:t>
      </w:r>
      <w:r>
        <w:t xml:space="preserve">pass-through to farmgate palay, wholesale and retail prices was close to zero from</w:t>
      </w:r>
      <w:r>
        <w:t xml:space="preserve"> </w:t>
      </w:r>
      <w:r>
        <w:t xml:space="preserve">2011 to 2019 and between 0.53 and 0.74</w:t>
      </w:r>
      <w:r>
        <w:t xml:space="preserve"> </w:t>
      </w:r>
      <w:r>
        <w:t xml:space="preserve">afterwards, so farmers are now more exposed to world prices than consumers. World rice</w:t>
      </w:r>
      <w:r>
        <w:t xml:space="preserve"> </w:t>
      </w:r>
      <w:r>
        <w:t xml:space="preserve">shocks are regressive: the consumer price index (CPI) of the poorest 30% of households</w:t>
      </w:r>
      <w:r>
        <w:t xml:space="preserve"> </w:t>
      </w:r>
      <w:r>
        <w:t xml:space="preserve">responds 2.4 times as strongly as the all-income CPI. The 2024 tariff cut</w:t>
      </w:r>
      <w:r>
        <w:t xml:space="preserve"> </w:t>
      </w:r>
      <w:r>
        <w:t xml:space="preserve">from 35% to 15% did not reach consumers: rice prices fell by about what world prices</w:t>
      </w:r>
      <w:r>
        <w:t xml:space="preserve"> </w:t>
      </w:r>
      <w:r>
        <w:t xml:space="preserve">alone predicted, and the gap between domestic and world prices widened. The</w:t>
      </w:r>
      <w:r>
        <w:t xml:space="preserve"> </w:t>
      </w:r>
      <w:r>
        <w:t xml:space="preserve">2025 import suspension was followed by a 21.1% rise in the rice</w:t>
      </w:r>
      <w:r>
        <w:t xml:space="preserve"> </w:t>
      </w:r>
      <w:r>
        <w:t xml:space="preserve">CPI between November 2025 and April 2026.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rice; tariffication; price transmission; local projections; inflation</w:t>
      </w:r>
      <w:r>
        <w:t xml:space="preserve"> </w:t>
      </w:r>
      <w:r>
        <w:t xml:space="preserve">inequality; Philippines.</w:t>
      </w:r>
      <w:r>
        <w:t xml:space="preserve"> </w:t>
      </w:r>
      <w:r>
        <w:rPr>
          <w:b/>
          <w:bCs/>
        </w:rPr>
        <w:t xml:space="preserve">JEL:</w:t>
      </w:r>
      <w:r>
        <w:t xml:space="preserve"> </w:t>
      </w:r>
      <w:r>
        <w:t xml:space="preserve">F13, Q17, Q18, E31.</w:t>
      </w:r>
    </w:p>
    <w:bookmarkStart w:id="15" w:name="chapter-1.-introduction"/>
    <w:p>
      <w:pPr>
        <w:pStyle w:val="Heading1"/>
      </w:pPr>
      <w:r>
        <w:t xml:space="preserve">Chapter 1. Introduction</w:t>
      </w:r>
    </w:p>
    <w:bookmarkStart w:id="9" w:name="background"/>
    <w:p>
      <w:pPr>
        <w:pStyle w:val="Heading2"/>
      </w:pPr>
      <w:r>
        <w:t xml:space="preserve">1.1 Background</w:t>
      </w:r>
    </w:p>
    <w:p>
      <w:pPr>
        <w:pStyle w:val="FirstParagraph"/>
      </w:pPr>
      <w:r>
        <w:t xml:space="preserve">Rice is the Philippine staple. In the 2018 consumer basket rice takes</w:t>
      </w:r>
      <w:r>
        <w:t xml:space="preserve"> </w:t>
      </w:r>
      <w:r>
        <w:t xml:space="preserve">8.9% of spending for the average household and 17.9% for the</w:t>
      </w:r>
      <w:r>
        <w:t xml:space="preserve"> </w:t>
      </w:r>
      <w:r>
        <w:t xml:space="preserve">poorest 30% (the PSA’s official CPI weights). About two million farm households sell</w:t>
      </w:r>
      <w:r>
        <w:t xml:space="preserve"> </w:t>
      </w:r>
      <w:r>
        <w:t xml:space="preserve">palay, the unmilled grain. A change in the price of rice therefore moves the cost of</w:t>
      </w:r>
      <w:r>
        <w:t xml:space="preserve"> </w:t>
      </w:r>
      <w:r>
        <w:t xml:space="preserve">living of the poor, the income of farmers and headline inflation at the same time.</w:t>
      </w:r>
    </w:p>
    <w:p>
      <w:pPr>
        <w:pStyle w:val="BodyText"/>
      </w:pPr>
      <w:r>
        <w:t xml:space="preserve">For decades the government kept imported rice out with</w:t>
      </w:r>
      <w:r>
        <w:t xml:space="preserve"> </w:t>
      </w:r>
      <w:r>
        <w:rPr>
          <w:i/>
          <w:iCs/>
        </w:rPr>
        <w:t xml:space="preserve">quantitative restrictions</w:t>
      </w:r>
      <w:r>
        <w:t xml:space="preserve"> </w:t>
      </w:r>
      <w:r>
        <w:t xml:space="preserve">(QR): only the National Food Authority (NFA), or traders holding its permits, could</w:t>
      </w:r>
      <w:r>
        <w:t xml:space="preserve"> </w:t>
      </w:r>
      <w:r>
        <w:t xml:space="preserve">import, and only in the volumes the government allowed. Republic Act (RA) 11203, the</w:t>
      </w:r>
      <w:r>
        <w:t xml:space="preserve"> </w:t>
      </w:r>
      <w:r>
        <w:rPr>
          <w:i/>
          <w:iCs/>
        </w:rPr>
        <w:t xml:space="preserve">Rice Tariffication Law</w:t>
      </w:r>
      <w:r>
        <w:t xml:space="preserve"> </w:t>
      </w:r>
      <w:r>
        <w:t xml:space="preserve">(RTL), approved on 14 February 2019 and in force from March</w:t>
      </w:r>
      <w:r>
        <w:t xml:space="preserve"> </w:t>
      </w:r>
      <w:r>
        <w:t xml:space="preserve">2019, replaced the quotas with a tariff: 35% on rice from countries of the Association</w:t>
      </w:r>
      <w:r>
        <w:t xml:space="preserve"> </w:t>
      </w:r>
      <w:r>
        <w:t xml:space="preserve">of Southeast Asian Nations (ASEAN), with any private importer free to bring in any</w:t>
      </w:r>
      <w:r>
        <w:t xml:space="preserve"> </w:t>
      </w:r>
      <w:r>
        <w:t xml:space="preserve">amount once the duty is paid. The tariff revenue funds the Rice Competitiveness</w:t>
      </w:r>
      <w:r>
        <w:t xml:space="preserve"> </w:t>
      </w:r>
      <w:r>
        <w:t xml:space="preserve">Enhancement Fund (RCEF) for farmers. The border kept changing afterwards. Executive</w:t>
      </w:r>
      <w:r>
        <w:t xml:space="preserve"> </w:t>
      </w:r>
      <w:r>
        <w:t xml:space="preserve">Order (EO) 62 cut the tariff to 15% from July 2024; EO 93 and EO 102 suspended imports</w:t>
      </w:r>
      <w:r>
        <w:t xml:space="preserve"> </w:t>
      </w:r>
      <w:r>
        <w:t xml:space="preserve">of regular- and well-milled rice from September to December 2025; and from January</w:t>
      </w:r>
      <w:r>
        <w:t xml:space="preserve"> </w:t>
      </w:r>
      <w:r>
        <w:t xml:space="preserve">2026 EO 105 ties the tariff (15–35%) to world prices. All policy facts are listed with</w:t>
      </w:r>
      <w:r>
        <w:t xml:space="preserve"> </w:t>
      </w:r>
      <w:r>
        <w:t xml:space="preserve">their sources in</w:t>
      </w:r>
      <w:r>
        <w:t xml:space="preserve"> </w:t>
      </w:r>
      <w:r>
        <w:rPr>
          <w:rStyle w:val="VerbatimChar"/>
        </w:rPr>
        <w:t xml:space="preserve">paper/policy_context.md</w:t>
      </w:r>
      <w:r>
        <w:t xml:space="preserve">.</w:t>
      </w:r>
    </w:p>
    <w:bookmarkEnd w:id="9"/>
    <w:bookmarkStart w:id="10" w:name="rationale"/>
    <w:p>
      <w:pPr>
        <w:pStyle w:val="Heading2"/>
      </w:pPr>
      <w:r>
        <w:t xml:space="preserve">1.2 Rationale</w:t>
      </w:r>
    </w:p>
    <w:p>
      <w:pPr>
        <w:pStyle w:val="FirstParagraph"/>
      </w:pPr>
      <w:r>
        <w:t xml:space="preserve">Each of these measures rests on a claim about</w:t>
      </w:r>
      <w:r>
        <w:t xml:space="preserve"> </w:t>
      </w:r>
      <w:r>
        <w:rPr>
          <w:i/>
          <w:iCs/>
        </w:rPr>
        <w:t xml:space="preserve">pass-through</w:t>
      </w:r>
      <w:r>
        <w:t xml:space="preserve">, that is, about how much</w:t>
      </w:r>
      <w:r>
        <w:t xml:space="preserve"> </w:t>
      </w:r>
      <w:r>
        <w:t xml:space="preserve">of a change in the cost of imported rice reaches domestic prices. The law’s promise</w:t>
      </w:r>
      <w:r>
        <w:t xml:space="preserve"> </w:t>
      </w:r>
      <w:r>
        <w:t xml:space="preserve">was that open imports would tie domestic prices to cheaper world prices. The 2024 tariff</w:t>
      </w:r>
      <w:r>
        <w:t xml:space="preserve"> </w:t>
      </w:r>
      <w:r>
        <w:t xml:space="preserve">cut assumed that a lower duty would lower retail prices. The 2025 suspension assumed</w:t>
      </w:r>
      <w:r>
        <w:t xml:space="preserve"> </w:t>
      </w:r>
      <w:r>
        <w:t xml:space="preserve">that keeping imports out would raise palay prices. Yet the evidence on pass-through</w:t>
      </w:r>
      <w:r>
        <w:t xml:space="preserve"> </w:t>
      </w:r>
      <w:r>
        <w:t xml:space="preserve">since 2019 is thin and mixed. Simulation studies predicted large falls in retail prices</w:t>
      </w:r>
      <w:r>
        <w:t xml:space="preserve"> </w:t>
      </w:r>
      <w:r>
        <w:t xml:space="preserve">(</w:t>
      </w:r>
      <w:hyperlink w:anchor="ref-balie2020">
        <w:r>
          <w:rPr>
            <w:rStyle w:val="Hyperlink"/>
          </w:rPr>
          <w:t xml:space="preserve">Balié and Valera 2020</w:t>
        </w:r>
      </w:hyperlink>
      <w:r>
        <w:t xml:space="preserve">;</w:t>
      </w:r>
      <w:r>
        <w:t xml:space="preserve"> </w:t>
      </w:r>
      <w:hyperlink w:anchor="ref-briones2019">
        <w:r>
          <w:rPr>
            <w:rStyle w:val="Hyperlink"/>
          </w:rPr>
          <w:t xml:space="preserve">Briones 2019</w:t>
        </w:r>
      </w:hyperlink>
      <w:r>
        <w:t xml:space="preserve">)</w:t>
      </w:r>
      <w:r>
        <w:t xml:space="preserve">; time-series studies find weak long-run links between world</w:t>
      </w:r>
      <w:r>
        <w:t xml:space="preserve"> </w:t>
      </w:r>
      <w:r>
        <w:t xml:space="preserve">and domestic prices and strong market power downstream</w:t>
      </w:r>
      <w:r>
        <w:t xml:space="preserve"> </w:t>
      </w:r>
      <w:r>
        <w:t xml:space="preserve">(</w:t>
      </w:r>
      <w:hyperlink w:anchor="ref-bathan2025">
        <w:r>
          <w:rPr>
            <w:rStyle w:val="Hyperlink"/>
          </w:rPr>
          <w:t xml:space="preserve">Bathan et al. 2025</w:t>
        </w:r>
      </w:hyperlink>
      <w:r>
        <w:t xml:space="preserve">;</w:t>
      </w:r>
      <w:r>
        <w:t xml:space="preserve"> </w:t>
      </w:r>
      <w:hyperlink w:anchor="ref-trinidad2026">
        <w:r>
          <w:rPr>
            <w:rStyle w:val="Hyperlink"/>
          </w:rPr>
          <w:t xml:space="preserve">Trinidad et al. 2026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The closest study to ours, Antonio et al.</w:t>
      </w:r>
      <w:r>
        <w:t xml:space="preserve"> </w:t>
      </w:r>
      <w:r>
        <w:t xml:space="preserve">(</w:t>
      </w:r>
      <w:hyperlink w:anchor="ref-antonio2025"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, shows that world rice prices</w:t>
      </w:r>
      <w:r>
        <w:t xml:space="preserve"> </w:t>
      </w:r>
      <w:r>
        <w:t xml:space="preserve">are the largest driver of regional rice inflation from 1994 to 2023, but it does not</w:t>
      </w:r>
      <w:r>
        <w:t xml:space="preserve"> </w:t>
      </w:r>
      <w:r>
        <w:t xml:space="preserve">ask whether the law changed that link.</w:t>
      </w:r>
    </w:p>
    <w:bookmarkEnd w:id="10"/>
    <w:bookmarkStart w:id="11" w:name="objectives"/>
    <w:p>
      <w:pPr>
        <w:pStyle w:val="Heading2"/>
      </w:pPr>
      <w:r>
        <w:t xml:space="preserve">1.3 Objectives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general objective</w:t>
      </w:r>
      <w:r>
        <w:t xml:space="preserve"> </w:t>
      </w:r>
      <w:r>
        <w:t xml:space="preserve">is to measure whether, and for whom, the RTL changed the</w:t>
      </w:r>
      <w:r>
        <w:t xml:space="preserve"> </w:t>
      </w:r>
      <w:r>
        <w:t xml:space="preserve">transmission of world rice prices to Philippine rice prices.</w:t>
      </w:r>
    </w:p>
    <w:p>
      <w:pPr>
        <w:pStyle w:val="BodyText"/>
      </w:pPr>
      <w:r>
        <w:rPr>
          <w:i/>
          <w:iCs/>
        </w:rPr>
        <w:t xml:space="preserve">Objective 1 (descriptive)</w:t>
      </w:r>
      <w:r>
        <w:t xml:space="preserve"> </w:t>
      </w:r>
      <w:r>
        <w:t xml:space="preserve">is to document how rice prices, their volatility, their gap</w:t>
      </w:r>
      <w:r>
        <w:t xml:space="preserve"> </w:t>
      </w:r>
      <w:r>
        <w:t xml:space="preserve">to world prices and their dispersion across regions behaved before and after the law,</w:t>
      </w:r>
      <w:r>
        <w:t xml:space="preserve"> </w:t>
      </w:r>
      <w:r>
        <w:t xml:space="preserve">and how much rice contributed to inflation for all households and for the poorest 30%.</w:t>
      </w:r>
    </w:p>
    <w:p>
      <w:pPr>
        <w:pStyle w:val="BodyText"/>
      </w:pPr>
      <w:r>
        <w:rPr>
          <w:i/>
          <w:iCs/>
        </w:rPr>
        <w:t xml:space="preserve">Objective 2 (estimation)</w:t>
      </w:r>
      <w:r>
        <w:t xml:space="preserve"> </w:t>
      </w:r>
      <w:r>
        <w:t xml:space="preserve">is to estimate pass-through and its change with the law. It</w:t>
      </w:r>
      <w:r>
        <w:t xml:space="preserve"> </w:t>
      </w:r>
      <w:r>
        <w:t xml:space="preserve">answers five research questions (RQs).</w:t>
      </w:r>
      <w:r>
        <w:t xml:space="preserve"> </w:t>
      </w:r>
      <w:r>
        <w:rPr>
          <w:b/>
          <w:bCs/>
        </w:rPr>
        <w:t xml:space="preserve">RQ1:</w:t>
      </w:r>
      <w:r>
        <w:t xml:space="preserve"> </w:t>
      </w:r>
      <w:r>
        <w:t xml:space="preserve">how much of a 1% change in the world</w:t>
      </w:r>
      <w:r>
        <w:t xml:space="preserve"> </w:t>
      </w:r>
      <w:r>
        <w:t xml:space="preserve">rice price, in pesos, reaches regional consumer rice prices within 6 and 12 months, and</w:t>
      </w:r>
      <w:r>
        <w:t xml:space="preserve"> </w:t>
      </w:r>
      <w:r>
        <w:t xml:space="preserve">did this change after March 2019?</w:t>
      </w:r>
      <w:r>
        <w:t xml:space="preserve"> </w:t>
      </w:r>
      <w:r>
        <w:rPr>
          <w:b/>
          <w:bCs/>
        </w:rPr>
        <w:t xml:space="preserve">RQ2:</w:t>
      </w:r>
      <w:r>
        <w:t xml:space="preserve"> </w:t>
      </w:r>
      <w:r>
        <w:t xml:space="preserve">did the law change pass-through to farmgate,</w:t>
      </w:r>
      <w:r>
        <w:t xml:space="preserve"> </w:t>
      </w:r>
      <w:r>
        <w:t xml:space="preserve">wholesale and retail prices differently?</w:t>
      </w:r>
      <w:r>
        <w:t xml:space="preserve"> </w:t>
      </w:r>
      <w:r>
        <w:rPr>
          <w:b/>
          <w:bCs/>
        </w:rPr>
        <w:t xml:space="preserve">RQ3:</w:t>
      </w:r>
      <w:r>
        <w:t xml:space="preserve"> </w:t>
      </w:r>
      <w:r>
        <w:t xml:space="preserve">did the gap between domestic and</w:t>
      </w:r>
      <w:r>
        <w:t xml:space="preserve"> </w:t>
      </w:r>
      <w:r>
        <w:t xml:space="preserve">world prices fall after the law, and again after the 2024 tariff cut?</w:t>
      </w:r>
      <w:r>
        <w:t xml:space="preserve"> </w:t>
      </w:r>
      <w:r>
        <w:rPr>
          <w:b/>
          <w:bCs/>
        </w:rPr>
        <w:t xml:space="preserve">RQ4:</w:t>
      </w:r>
      <w:r>
        <w:t xml:space="preserve"> </w:t>
      </w:r>
      <w:r>
        <w:t xml:space="preserve">did the</w:t>
      </w:r>
      <w:r>
        <w:t xml:space="preserve"> </w:t>
      </w:r>
      <w:r>
        <w:t xml:space="preserve">change differ between rice-deficit and rice-surplus regions, and between high- and</w:t>
      </w:r>
      <w:r>
        <w:t xml:space="preserve"> </w:t>
      </w:r>
      <w:r>
        <w:t xml:space="preserve">low-poverty regions?</w:t>
      </w:r>
      <w:r>
        <w:t xml:space="preserve"> </w:t>
      </w:r>
      <w:r>
        <w:rPr>
          <w:b/>
          <w:bCs/>
        </w:rPr>
        <w:t xml:space="preserve">RQ5:</w:t>
      </w:r>
      <w:r>
        <w:t xml:space="preserve"> </w:t>
      </w:r>
      <w:r>
        <w:t xml:space="preserve">do world rice shocks raise the CPI of the poorest 30%</w:t>
      </w:r>
      <w:r>
        <w:t xml:space="preserve"> </w:t>
      </w:r>
      <w:r>
        <w:t xml:space="preserve">more than the all-income CPI?</w:t>
      </w:r>
    </w:p>
    <w:p>
      <w:pPr>
        <w:pStyle w:val="BodyText"/>
      </w:pPr>
      <w:r>
        <w:t xml:space="preserve">We test competing hypotheses.</w:t>
      </w:r>
      <w:r>
        <w:t xml:space="preserve"> </w:t>
      </w:r>
      <w:r>
        <w:rPr>
          <w:b/>
          <w:bCs/>
        </w:rPr>
        <w:t xml:space="preserve">H1a (integration):</w:t>
      </w:r>
      <w:r>
        <w:t xml:space="preserve"> </w:t>
      </w:r>
      <w:r>
        <w:t xml:space="preserve">pass-through rose, as the</w:t>
      </w:r>
      <w:r>
        <w:t xml:space="preserve"> </w:t>
      </w:r>
      <w:r>
        <w:t xml:space="preserve">trade-reform literature predicts when quotas become an ad valorem tariff</w:t>
      </w:r>
      <w:r>
        <w:t xml:space="preserve"> </w:t>
      </w:r>
      <w:r>
        <w:t xml:space="preserve">(</w:t>
      </w:r>
      <w:hyperlink w:anchor="ref-baffes2003">
        <w:r>
          <w:rPr>
            <w:rStyle w:val="Hyperlink"/>
          </w:rPr>
          <w:t xml:space="preserve">Baffes and Gardner 2003</w:t>
        </w:r>
      </w:hyperlink>
      <w:r>
        <w:t xml:space="preserve">;</w:t>
      </w:r>
      <w:r>
        <w:t xml:space="preserve"> </w:t>
      </w:r>
      <w:hyperlink w:anchor="ref-mundlak1992">
        <w:r>
          <w:rPr>
            <w:rStyle w:val="Hyperlink"/>
          </w:rPr>
          <w:t xml:space="preserve">Mundlak and Larson 1992</w:t>
        </w:r>
      </w:hyperlink>
      <w:r>
        <w:t xml:space="preserve">)</w:t>
      </w:r>
      <w:r>
        <w:t xml:space="preserve">.</w:t>
      </w:r>
      <w:r>
        <w:t xml:space="preserve"> </w:t>
      </w:r>
      <w:r>
        <w:rPr>
          <w:b/>
          <w:bCs/>
        </w:rPr>
        <w:t xml:space="preserve">H1b (rigidity):</w:t>
      </w:r>
      <w:r>
        <w:t xml:space="preserve"> </w:t>
      </w:r>
      <w:r>
        <w:t xml:space="preserve">it did not rise, because of market</w:t>
      </w:r>
      <w:r>
        <w:t xml:space="preserve"> </w:t>
      </w:r>
      <w:r>
        <w:t xml:space="preserve">power and downward price rigidity in the domestic chain</w:t>
      </w:r>
      <w:r>
        <w:t xml:space="preserve"> </w:t>
      </w:r>
      <w:r>
        <w:t xml:space="preserve">(</w:t>
      </w:r>
      <w:hyperlink w:anchor="ref-trinidad2026">
        <w:r>
          <w:rPr>
            <w:rStyle w:val="Hyperlink"/>
          </w:rPr>
          <w:t xml:space="preserve">Trinidad et al. 2026</w:t>
        </w:r>
      </w:hyperlink>
      <w:r>
        <w:t xml:space="preserve">;</w:t>
      </w:r>
      <w:r>
        <w:t xml:space="preserve"> </w:t>
      </w:r>
      <w:hyperlink w:anchor="ref-bathan2025">
        <w:r>
          <w:rPr>
            <w:rStyle w:val="Hyperlink"/>
          </w:rPr>
          <w:t xml:space="preserve">Bathan et al. 2025</w:t>
        </w:r>
      </w:hyperlink>
      <w:r>
        <w:t xml:space="preserve">)</w:t>
      </w:r>
      <w:r>
        <w:t xml:space="preserve">.</w:t>
      </w:r>
      <w:r>
        <w:t xml:space="preserve"> </w:t>
      </w:r>
      <w:r>
        <w:rPr>
          <w:b/>
          <w:bCs/>
        </w:rPr>
        <w:t xml:space="preserve">H2:</w:t>
      </w:r>
      <w:r>
        <w:t xml:space="preserve"> </w:t>
      </w:r>
      <w:r>
        <w:t xml:space="preserve">farmgate pass-through rose more than retail pass-through.</w:t>
      </w:r>
      <w:r>
        <w:t xml:space="preserve"> </w:t>
      </w:r>
      <w:r>
        <w:rPr>
          <w:b/>
          <w:bCs/>
        </w:rPr>
        <w:t xml:space="preserve">H3:</w:t>
      </w:r>
      <w:r>
        <w:t xml:space="preserve"> </w:t>
      </w:r>
      <w:r>
        <w:t xml:space="preserve">the gap fell,</w:t>
      </w:r>
      <w:r>
        <w:t xml:space="preserve"> </w:t>
      </w:r>
      <w:r>
        <w:t xml:space="preserve">but by less than the tariff change implies.</w:t>
      </w:r>
      <w:r>
        <w:t xml:space="preserve"> </w:t>
      </w:r>
      <w:r>
        <w:rPr>
          <w:b/>
          <w:bCs/>
        </w:rPr>
        <w:t xml:space="preserve">H4a:</w:t>
      </w:r>
      <w:r>
        <w:t xml:space="preserve"> </w:t>
      </w:r>
      <w:r>
        <w:t xml:space="preserve">the increase was larger in</w:t>
      </w:r>
      <w:r>
        <w:t xml:space="preserve"> </w:t>
      </w:r>
      <w:r>
        <w:t xml:space="preserve">rice-deficit regions;</w:t>
      </w:r>
      <w:r>
        <w:t xml:space="preserve"> </w:t>
      </w:r>
      <w:r>
        <w:rPr>
          <w:b/>
          <w:bCs/>
        </w:rPr>
        <w:t xml:space="preserve">H4b:</w:t>
      </w:r>
      <w:r>
        <w:t xml:space="preserve"> </w:t>
      </w:r>
      <w:r>
        <w:t xml:space="preserve">no difference.</w:t>
      </w:r>
      <w:r>
        <w:t xml:space="preserve"> </w:t>
      </w:r>
      <w:r>
        <w:rPr>
          <w:b/>
          <w:bCs/>
        </w:rPr>
        <w:t xml:space="preserve">H5:</w:t>
      </w:r>
      <w:r>
        <w:t xml:space="preserve"> </w:t>
      </w:r>
      <w:r>
        <w:t xml:space="preserve">world rice shocks are regressive.</w:t>
      </w:r>
    </w:p>
    <w:p>
      <w:pPr>
        <w:pStyle w:val="BodyText"/>
      </w:pPr>
      <w:r>
        <w:rPr>
          <w:i/>
          <w:iCs/>
        </w:rPr>
        <w:t xml:space="preserve">Objective 3 (policy)</w:t>
      </w:r>
      <w:r>
        <w:t xml:space="preserve"> </w:t>
      </w:r>
      <w:r>
        <w:t xml:space="preserve">is to use the estimates to assess the 2024 tariff cut, the 2025</w:t>
      </w:r>
      <w:r>
        <w:t xml:space="preserve"> </w:t>
      </w:r>
      <w:r>
        <w:t xml:space="preserve">import suspension and the 2026 price-indexed tariff, in pesos for a poverty-line family.</w:t>
      </w:r>
    </w:p>
    <w:bookmarkEnd w:id="11"/>
    <w:bookmarkStart w:id="12" w:name="significance"/>
    <w:p>
      <w:pPr>
        <w:pStyle w:val="Heading2"/>
      </w:pPr>
      <w:r>
        <w:t xml:space="preserve">1.4 Significance</w:t>
      </w:r>
    </w:p>
    <w:p>
      <w:pPr>
        <w:pStyle w:val="FirstParagraph"/>
      </w:pPr>
      <w:r>
        <w:t xml:space="preserve">For the Department of Agriculture (DA), the National Economic and Development</w:t>
      </w:r>
      <w:r>
        <w:t xml:space="preserve"> </w:t>
      </w:r>
      <w:r>
        <w:t xml:space="preserve">Authority’s successor, the Department of Economy, Planning and Development (DEPDev),</w:t>
      </w:r>
      <w:r>
        <w:t xml:space="preserve"> </w:t>
      </w:r>
      <w:r>
        <w:t xml:space="preserve">and the Tariff Commission, the study says how much a tariff change is likely to move</w:t>
      </w:r>
      <w:r>
        <w:t xml:space="preserve"> </w:t>
      </w:r>
      <w:r>
        <w:t xml:space="preserve">retail and farmgate prices, and how quickly. For the Bangko Sentral ng Pilipinas (BSP),</w:t>
      </w:r>
      <w:r>
        <w:t xml:space="preserve"> </w:t>
      </w:r>
      <w:r>
        <w:t xml:space="preserve">it measures how strongly world rice shocks feed into the CPI. For social protection,</w:t>
      </w:r>
      <w:r>
        <w:t xml:space="preserve"> </w:t>
      </w:r>
      <w:r>
        <w:t xml:space="preserve">it shows how much more these shocks hurt the poorest households.</w:t>
      </w:r>
    </w:p>
    <w:bookmarkEnd w:id="12"/>
    <w:bookmarkStart w:id="13" w:name="scope-and-limitations"/>
    <w:p>
      <w:pPr>
        <w:pStyle w:val="Heading2"/>
      </w:pPr>
      <w:r>
        <w:t xml:space="preserve">1.5 Scope and limitations</w:t>
      </w:r>
    </w:p>
    <w:p>
      <w:pPr>
        <w:pStyle w:val="FirstParagraph"/>
      </w:pPr>
      <w:r>
        <w:t xml:space="preserve">The study uses monthly official data for 17 regions from 1994 to September 2026. It</w:t>
      </w:r>
      <w:r>
        <w:t xml:space="preserve"> </w:t>
      </w:r>
      <w:r>
        <w:t xml:space="preserve">measures</w:t>
      </w:r>
      <w:r>
        <w:t xml:space="preserve"> </w:t>
      </w:r>
      <w:r>
        <w:rPr>
          <w:i/>
          <w:iCs/>
        </w:rPr>
        <w:t xml:space="preserve">price</w:t>
      </w:r>
      <w:r>
        <w:t xml:space="preserve"> </w:t>
      </w:r>
      <w:r>
        <w:t xml:space="preserve">responses; it does not measure quantities, profits or welfare</w:t>
      </w:r>
      <w:r>
        <w:t xml:space="preserve"> </w:t>
      </w:r>
      <w:r>
        <w:t xml:space="preserve">directly. The law is a single national event, so the comparison is between periods,</w:t>
      </w:r>
      <w:r>
        <w:t xml:space="preserve"> </w:t>
      </w:r>
      <w:r>
        <w:t xml:space="preserve">not between treated and untreated places, and other things changed after 2019</w:t>
      </w:r>
      <w:r>
        <w:t xml:space="preserve"> </w:t>
      </w:r>
      <w:r>
        <w:t xml:space="preserve">(the pandemic, the 2023 world price spike, the 2024 tariff cut). We address this with</w:t>
      </w:r>
      <w:r>
        <w:t xml:space="preserve"> </w:t>
      </w:r>
      <w:r>
        <w:t xml:space="preserve">robustness checks, a placebo law date and an out-of-sample test, but the</w:t>
      </w:r>
      <w:r>
        <w:t xml:space="preserve"> </w:t>
      </w:r>
      <w:r>
        <w:t xml:space="preserve">“after the</w:t>
      </w:r>
      <w:r>
        <w:t xml:space="preserve"> </w:t>
      </w:r>
      <w:r>
        <w:t xml:space="preserve">law”</w:t>
      </w:r>
      <w:r>
        <w:t xml:space="preserve"> </w:t>
      </w:r>
      <w:r>
        <w:t xml:space="preserve">period mixes the law with everything that followed. Finally, the replication of</w:t>
      </w:r>
      <w:r>
        <w:t xml:space="preserve"> </w:t>
      </w:r>
      <w:r>
        <w:t xml:space="preserve">the reference paper passed on data and on the main response but failed on one</w:t>
      </w:r>
      <w:r>
        <w:t xml:space="preserve"> </w:t>
      </w:r>
      <w:r>
        <w:t xml:space="preserve">pre-registered criterion about region groups (Section 4.4); results by region group</w:t>
      </w:r>
      <w:r>
        <w:t xml:space="preserve"> </w:t>
      </w:r>
      <w:r>
        <w:t xml:space="preserve">are therefore labelled as not validated.</w:t>
      </w:r>
    </w:p>
    <w:bookmarkEnd w:id="13"/>
    <w:bookmarkStart w:id="14" w:name="definition-of-terms"/>
    <w:p>
      <w:pPr>
        <w:pStyle w:val="Heading2"/>
      </w:pPr>
      <w:r>
        <w:t xml:space="preserve">1.6 Definition of terms</w:t>
      </w:r>
    </w:p>
    <w:p>
      <w:pPr>
        <w:pStyle w:val="FirstParagraph"/>
      </w:pPr>
      <w:r>
        <w:rPr>
          <w:b/>
          <w:bCs/>
        </w:rPr>
        <w:t xml:space="preserve">Log change and inflation.</w:t>
      </w:r>
      <w:r>
        <w:t xml:space="preserve"> </w:t>
      </w:r>
      <w:r>
        <w:t xml:space="preserve">We measure every change as 100 times the change in the</w:t>
      </w:r>
      <w:r>
        <w:t xml:space="preserve"> </w:t>
      </w:r>
      <w:r>
        <w:t xml:space="preserve">natural logarithm, which is close to the percentage change for small changes:</w:t>
      </w:r>
      <w:r>
        <w:t xml:space="preserve"> </w:t>
      </w:r>
      <m:oMath>
        <m:sSub>
          <m:e>
            <m:r>
              <m:t>π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[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 If the rice CPI goes from 100 to 101,</w:t>
      </w:r>
      <w:r>
        <w:t xml:space="preserve"> </w:t>
      </w:r>
      <m:oMath>
        <m:sSub>
          <m:e>
            <m:r>
              <m:t>π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1.0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World rice price shock.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W</m:t>
            </m:r>
          </m:sup>
        </m:sSubSup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W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w:r>
        <w:t xml:space="preserve">World Bank’s Thai 5% broken rice price in US dollars per tonne and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pesos per</w:t>
      </w:r>
      <w:r>
        <w:t xml:space="preserve"> </w:t>
      </w:r>
      <w:r>
        <w:t xml:space="preserve">dollar. If the dollar price rises 3% and the peso is unchanged,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Pass-through.</w:t>
      </w:r>
      <w:r>
        <w:t xml:space="preserve"> </w:t>
      </w:r>
      <w:r>
        <w:t xml:space="preserve">How many percentage points domestic prices rise for each 1% rise in</w:t>
      </w:r>
      <w:r>
        <w:t xml:space="preserve"> </w:t>
      </w:r>
      <w:r>
        <w:t xml:space="preserve">the world price. The cumulative pass-through after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months is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h</m:t>
            </m:r>
          </m:sup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. A value of</w:t>
      </w:r>
      <w:r>
        <w:t xml:space="preserve"> </w:t>
      </w:r>
      <m:oMath>
        <m:sSub>
          <m:e>
            <m:r>
              <m:t>B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means that a 10% world price</w:t>
      </w:r>
      <w:r>
        <w:t xml:space="preserve"> </w:t>
      </w:r>
      <w:r>
        <w:t xml:space="preserve">rise raises the domestic price by about 4% within six months.</w:t>
      </w:r>
    </w:p>
    <w:p>
      <w:pPr>
        <w:pStyle w:val="BodyText"/>
      </w:pPr>
      <w:r>
        <w:rPr>
          <w:b/>
          <w:bCs/>
        </w:rPr>
        <w:t xml:space="preserve">Change in pass-through.</w:t>
      </w:r>
      <w:r>
        <w:t xml:space="preserve"> </w:t>
      </w:r>
      <m:oMath>
        <m:sSub>
          <m:e>
            <m:r>
              <m:t>θ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Sup>
          <m:e>
            <m:r>
              <m:t>B</m:t>
            </m:r>
          </m:e>
          <m:sub>
            <m:r>
              <m:t>h</m:t>
            </m:r>
          </m:sub>
          <m:sup>
            <m:r>
              <m:rPr>
                <m:nor/>
                <m:sty m:val="p"/>
              </m:rPr>
              <m:t>after</m:t>
            </m:r>
          </m:sup>
        </m:sSubSup>
        <m:r>
          <m:rPr>
            <m:sty m:val="p"/>
          </m:rPr>
          <m:t>−</m:t>
        </m:r>
        <m:sSubSup>
          <m:e>
            <m:r>
              <m:t>B</m:t>
            </m:r>
          </m:e>
          <m:sub>
            <m:r>
              <m:t>h</m:t>
            </m:r>
          </m:sub>
          <m:sup>
            <m:r>
              <m:rPr>
                <m:nor/>
                <m:sty m:val="p"/>
              </m:rPr>
              <m:t>before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Inflation gap.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ln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B</m:t>
            </m:r>
            <m:r>
              <m:t>30</m:t>
            </m:r>
          </m:sup>
        </m:sSubSup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all-income CPI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30</m:t>
        </m:r>
      </m:oMath>
      <w:r>
        <w:t xml:space="preserve"> </w:t>
      </w:r>
      <w:r>
        <w:t xml:space="preserve">the bottom-30% CPI; its monthly change is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B</m:t>
            </m:r>
            <m:r>
              <m:t>30</m:t>
            </m:r>
          </m:sup>
        </m:sSubSup>
      </m:oMath>
      <w:r>
        <w:t xml:space="preserve">. If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is negative, prices rose faster for the poor: the shock is</w:t>
      </w:r>
      <w:r>
        <w:t xml:space="preserve"> </w:t>
      </w:r>
      <w:r>
        <w:rPr>
          <w:i/>
          <w:iCs/>
        </w:rPr>
        <w:t xml:space="preserve">regressive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Border gap.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ln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dom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W</m:t>
            </m:r>
          </m:sup>
        </m:sSubSup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the domestic</w:t>
      </w:r>
      <w:r>
        <w:t xml:space="preserve"> </w:t>
      </w:r>
      <w:r>
        <w:t xml:space="preserve">price per kilogram relative to the world price per kilogram, both in pesos.</w:t>
      </w:r>
    </w:p>
    <w:p>
      <w:pPr>
        <w:pStyle w:val="BodyText"/>
      </w:pPr>
      <w:r>
        <w:rPr>
          <w:b/>
          <w:bCs/>
        </w:rPr>
        <w:t xml:space="preserve">Official statistics and our constructions.</w:t>
      </w:r>
      <w:r>
        <w:t xml:space="preserve"> </w:t>
      </w:r>
      <w:r>
        <w:t xml:space="preserve">The CPIs (all income and bottom 30%),</w:t>
      </w:r>
      <w:r>
        <w:t xml:space="preserve"> </w:t>
      </w:r>
      <w:r>
        <w:t xml:space="preserve">their weights, and the retail, wholesale and farmgate prices are the Philippine</w:t>
      </w:r>
      <w:r>
        <w:t xml:space="preserve"> </w:t>
      </w:r>
      <w:r>
        <w:t xml:space="preserve">Statistics Authority’s (PSA). The shock, the gaps, the spliced series, the region</w:t>
      </w:r>
      <w:r>
        <w:t xml:space="preserve"> </w:t>
      </w:r>
      <w:r>
        <w:t xml:space="preserve">groups (taken from Antonio et al.) and all estimates are ours.</w:t>
      </w:r>
    </w:p>
    <w:bookmarkEnd w:id="14"/>
    <w:bookmarkEnd w:id="15"/>
    <w:bookmarkStart w:id="25" w:name="chapter-2.-review-of-related-literature"/>
    <w:p>
      <w:pPr>
        <w:pStyle w:val="Heading1"/>
      </w:pPr>
      <w:r>
        <w:t xml:space="preserve">Chapter 2. Review of Related Literature</w:t>
      </w:r>
    </w:p>
    <w:bookmarkStart w:id="16" w:name="how-world-prices-reach-domestic-markets"/>
    <w:p>
      <w:pPr>
        <w:pStyle w:val="Heading2"/>
      </w:pPr>
      <w:r>
        <w:t xml:space="preserve">2.1 How world prices reach domestic markets</w:t>
      </w:r>
    </w:p>
    <w:p>
      <w:pPr>
        <w:pStyle w:val="FirstParagraph"/>
      </w:pPr>
      <w:r>
        <w:t xml:space="preserve">The law of one price says that, with free trade, the domestic price of an imported good</w:t>
      </w:r>
      <w:r>
        <w:t xml:space="preserve"> </w:t>
      </w:r>
      <w:r>
        <w:t xml:space="preserve">equals the world price times the exchange rate, plus the tariff and transport costs.</w:t>
      </w:r>
      <w:r>
        <w:t xml:space="preserve"> </w:t>
      </w:r>
      <w:r>
        <w:t xml:space="preserve">Mundlak and Larson</w:t>
      </w:r>
      <w:r>
        <w:t xml:space="preserve"> </w:t>
      </w:r>
      <w:r>
        <w:t xml:space="preserve">(</w:t>
      </w:r>
      <w:hyperlink w:anchor="ref-mundlak1992">
        <w:r>
          <w:rPr>
            <w:rStyle w:val="Hyperlink"/>
          </w:rPr>
          <w:t xml:space="preserve">1992</w:t>
        </w:r>
      </w:hyperlink>
      <w:r>
        <w:t xml:space="preserve">)</w:t>
      </w:r>
      <w:r>
        <w:t xml:space="preserve"> </w:t>
      </w:r>
      <w:r>
        <w:t xml:space="preserve">estimate that domestic agricultural prices move</w:t>
      </w:r>
      <w:r>
        <w:t xml:space="preserve"> </w:t>
      </w:r>
      <w:r>
        <w:t xml:space="preserve">almost one-for-one with world prices on average, while Baffes and Gardner</w:t>
      </w:r>
      <w:r>
        <w:t xml:space="preserve"> </w:t>
      </w:r>
      <w:r>
        <w:t xml:space="preserve">(</w:t>
      </w:r>
      <w:hyperlink w:anchor="ref-baffes2003">
        <w:r>
          <w:rPr>
            <w:rStyle w:val="Hyperlink"/>
          </w:rPr>
          <w:t xml:space="preserve">2003</w:t>
        </w:r>
      </w:hyperlink>
      <w:r>
        <w:t xml:space="preserve">)</w:t>
      </w:r>
      <w:r>
        <w:t xml:space="preserve"> </w:t>
      </w:r>
      <w:r>
        <w:t xml:space="preserve">show that transmission depends on policy: it is weak under quotas and</w:t>
      </w:r>
      <w:r>
        <w:t xml:space="preserve"> </w:t>
      </w:r>
      <w:r>
        <w:t xml:space="preserve">state trading and rises after reforms. A quota cuts the link, because the domestic price</w:t>
      </w:r>
      <w:r>
        <w:t xml:space="preserve"> </w:t>
      </w:r>
      <w:r>
        <w:t xml:space="preserve">is set by domestic supply and the quota, while the quota rent absorbs world price</w:t>
      </w:r>
      <w:r>
        <w:t xml:space="preserve"> </w:t>
      </w:r>
      <w:r>
        <w:t xml:space="preserve">changes. A tariff restores the link, scaled by the share of imported cost in the final</w:t>
      </w:r>
      <w:r>
        <w:t xml:space="preserve"> </w:t>
      </w:r>
      <w:r>
        <w:t xml:space="preserve">price. Dawe</w:t>
      </w:r>
      <w:r>
        <w:t xml:space="preserve"> </w:t>
      </w:r>
      <w:r>
        <w:t xml:space="preserve">(</w:t>
      </w:r>
      <w:hyperlink w:anchor="ref-dawe2008">
        <w:r>
          <w:rPr>
            <w:rStyle w:val="Hyperlink"/>
          </w:rPr>
          <w:t xml:space="preserve">2008</w:t>
        </w:r>
      </w:hyperlink>
      <w:r>
        <w:t xml:space="preserve">)</w:t>
      </w:r>
      <w:r>
        <w:t xml:space="preserve"> </w:t>
      </w:r>
      <w:r>
        <w:t xml:space="preserve">and Dawe and Timmer</w:t>
      </w:r>
      <w:r>
        <w:t xml:space="preserve"> </w:t>
      </w:r>
      <w:r>
        <w:t xml:space="preserve">(</w:t>
      </w:r>
      <w:hyperlink w:anchor="ref-dawe2012">
        <w:r>
          <w:rPr>
            <w:rStyle w:val="Hyperlink"/>
          </w:rPr>
          <w:t xml:space="preserve">2012</w:t>
        </w:r>
      </w:hyperlink>
      <w:r>
        <w:t xml:space="preserve">)</w:t>
      </w:r>
      <w:r>
        <w:t xml:space="preserve"> </w:t>
      </w:r>
      <w:r>
        <w:t xml:space="preserve">explain why Asian governments,</w:t>
      </w:r>
      <w:r>
        <w:t xml:space="preserve"> </w:t>
      </w:r>
      <w:r>
        <w:t xml:space="preserve">including the Philippines, long chose stable domestic rice prices over integration with</w:t>
      </w:r>
      <w:r>
        <w:t xml:space="preserve"> </w:t>
      </w:r>
      <w:r>
        <w:t xml:space="preserve">a thin and volatile world market.</w:t>
      </w:r>
    </w:p>
    <w:bookmarkEnd w:id="16"/>
    <w:bookmarkStart w:id="17" w:name="empirical-pass-through-and-its-timing"/>
    <w:p>
      <w:pPr>
        <w:pStyle w:val="Heading2"/>
      </w:pPr>
      <w:r>
        <w:t xml:space="preserve">2.2 Empirical pass-through and its timing</w:t>
      </w:r>
    </w:p>
    <w:p>
      <w:pPr>
        <w:pStyle w:val="FirstParagraph"/>
      </w:pPr>
      <w:r>
        <w:t xml:space="preserve">Studies of food price transmission to developing countries find partial and slow</w:t>
      </w:r>
      <w:r>
        <w:t xml:space="preserve"> </w:t>
      </w:r>
      <w:r>
        <w:t xml:space="preserve">transmission</w:t>
      </w:r>
      <w:r>
        <w:t xml:space="preserve"> </w:t>
      </w:r>
      <w:r>
        <w:t xml:space="preserve">(</w:t>
      </w:r>
      <w:hyperlink w:anchor="ref-ceballos2017">
        <w:r>
          <w:rPr>
            <w:rStyle w:val="Hyperlink"/>
          </w:rPr>
          <w:t xml:space="preserve">Ceballos et al. 2017</w:t>
        </w:r>
      </w:hyperlink>
      <w:r>
        <w:t xml:space="preserve">;</w:t>
      </w:r>
      <w:r>
        <w:t xml:space="preserve"> </w:t>
      </w:r>
      <w:hyperlink w:anchor="ref-dawe2015">
        <w:r>
          <w:rPr>
            <w:rStyle w:val="Hyperlink"/>
          </w:rPr>
          <w:t xml:space="preserve">Dawe et al. 2015</w:t>
        </w:r>
      </w:hyperlink>
      <w:r>
        <w:t xml:space="preserve">)</w:t>
      </w:r>
      <w:r>
        <w:t xml:space="preserve">. Furceri et al.</w:t>
      </w:r>
      <w:r>
        <w:t xml:space="preserve"> </w:t>
      </w:r>
      <w:r>
        <w:t xml:space="preserve">(</w:t>
      </w:r>
      <w:hyperlink w:anchor="ref-furceri2016"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 </w:t>
      </w:r>
      <w:r>
        <w:t xml:space="preserve">use local</w:t>
      </w:r>
      <w:r>
        <w:t xml:space="preserve"> </w:t>
      </w:r>
      <w:r>
        <w:t xml:space="preserve">projections to show that global food price shocks raise domestic headline inflation</w:t>
      </w:r>
      <w:r>
        <w:t xml:space="preserve"> </w:t>
      </w:r>
      <w:r>
        <w:t xml:space="preserve">for several months, more in poorer countries. Kpodar and Liu</w:t>
      </w:r>
      <w:r>
        <w:t xml:space="preserve"> </w:t>
      </w:r>
      <w:r>
        <w:t xml:space="preserve">(</w:t>
      </w:r>
      <w:hyperlink w:anchor="ref-kpodar2022">
        <w:r>
          <w:rPr>
            <w:rStyle w:val="Hyperlink"/>
          </w:rPr>
          <w:t xml:space="preserve">2022</w:t>
        </w:r>
      </w:hyperlink>
      <w:r>
        <w:t xml:space="preserve">)</w:t>
      </w:r>
      <w:r>
        <w:t xml:space="preserve"> </w:t>
      </w:r>
      <w:r>
        <w:t xml:space="preserve">use the same</w:t>
      </w:r>
      <w:r>
        <w:t xml:space="preserve"> </w:t>
      </w:r>
      <w:r>
        <w:t xml:space="preserve">method, with a correction for later shocks, to show that fuel price increases raise the</w:t>
      </w:r>
      <w:r>
        <w:t xml:space="preserve"> </w:t>
      </w:r>
      <w:r>
        <w:t xml:space="preserve">inflation of poor households more. Price responses along a chain are often asymmetric:</w:t>
      </w:r>
      <w:r>
        <w:t xml:space="preserve"> </w:t>
      </w:r>
      <w:r>
        <w:t xml:space="preserve">increases pass through faster than decreases</w:t>
      </w:r>
      <w:r>
        <w:t xml:space="preserve"> </w:t>
      </w:r>
      <w:r>
        <w:t xml:space="preserve">(</w:t>
      </w:r>
      <w:hyperlink w:anchor="ref-meyer2004">
        <w:r>
          <w:rPr>
            <w:rStyle w:val="Hyperlink"/>
          </w:rPr>
          <w:t xml:space="preserve">Meyer and Cramon-Taubadel 2004</w:t>
        </w:r>
      </w:hyperlink>
      <w:r>
        <w:t xml:space="preserve">)</w:t>
      </w:r>
      <w:r>
        <w:t xml:space="preserve">.</w:t>
      </w:r>
    </w:p>
    <w:bookmarkEnd w:id="17"/>
    <w:bookmarkStart w:id="18" w:name="rice-tariffication-in-the-philippines"/>
    <w:p>
      <w:pPr>
        <w:pStyle w:val="Heading2"/>
      </w:pPr>
      <w:r>
        <w:t xml:space="preserve">2.3 Rice tariffication in the Philippines</w:t>
      </w:r>
    </w:p>
    <w:p>
      <w:pPr>
        <w:pStyle w:val="FirstParagraph"/>
      </w:pPr>
      <w:r>
        <w:t xml:space="preserve">Before the law was passed, simulations predicted that removing quotas would lower</w:t>
      </w:r>
      <w:r>
        <w:t xml:space="preserve"> </w:t>
      </w:r>
      <w:r>
        <w:t xml:space="preserve">retail rice prices by 10–17% and farm prices by more</w:t>
      </w:r>
      <w:r>
        <w:t xml:space="preserve"> </w:t>
      </w:r>
      <w:r>
        <w:t xml:space="preserve">(</w:t>
      </w:r>
      <w:hyperlink w:anchor="ref-balie2020">
        <w:r>
          <w:rPr>
            <w:rStyle w:val="Hyperlink"/>
          </w:rPr>
          <w:t xml:space="preserve">Balié and Valera 2020</w:t>
        </w:r>
      </w:hyperlink>
      <w:r>
        <w:t xml:space="preserve">;</w:t>
      </w:r>
      <w:r>
        <w:t xml:space="preserve"> </w:t>
      </w:r>
      <w:hyperlink w:anchor="ref-briones2019">
        <w:r>
          <w:rPr>
            <w:rStyle w:val="Hyperlink"/>
          </w:rPr>
          <w:t xml:space="preserve">Briones 2019</w:t>
        </w:r>
      </w:hyperlink>
      <w:r>
        <w:t xml:space="preserve">)</w:t>
      </w:r>
      <w:r>
        <w:t xml:space="preserve">, with</w:t>
      </w:r>
      <w:r>
        <w:t xml:space="preserve"> </w:t>
      </w:r>
      <w:r>
        <w:t xml:space="preserve">net gains for poor consumers and losses for many farmers</w:t>
      </w:r>
      <w:r>
        <w:t xml:space="preserve"> </w:t>
      </w:r>
      <w:r>
        <w:t xml:space="preserve">(</w:t>
      </w:r>
      <w:hyperlink w:anchor="ref-balie2021">
        <w:r>
          <w:rPr>
            <w:rStyle w:val="Hyperlink"/>
          </w:rPr>
          <w:t xml:space="preserve">Balié et al. 2021</w:t>
        </w:r>
      </w:hyperlink>
      <w:r>
        <w:t xml:space="preserve">;</w:t>
      </w:r>
      <w:r>
        <w:t xml:space="preserve"> </w:t>
      </w:r>
      <w:hyperlink w:anchor="ref-briones2021">
        <w:r>
          <w:rPr>
            <w:rStyle w:val="Hyperlink"/>
          </w:rPr>
          <w:t xml:space="preserve">Briones 2021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Clarete</w:t>
      </w:r>
      <w:r>
        <w:t xml:space="preserve"> </w:t>
      </w:r>
      <w:r>
        <w:t xml:space="preserve">(</w:t>
      </w:r>
      <w:hyperlink w:anchor="ref-clarete2022">
        <w:r>
          <w:rPr>
            <w:rStyle w:val="Hyperlink"/>
          </w:rPr>
          <w:t xml:space="preserve">2022</w:t>
        </w:r>
      </w:hyperlink>
      <w:r>
        <w:t xml:space="preserve">)</w:t>
      </w:r>
      <w:r>
        <w:t xml:space="preserve"> </w:t>
      </w:r>
      <w:r>
        <w:t xml:space="preserve">stresses that market structure decides whether the gains</w:t>
      </w:r>
      <w:r>
        <w:t xml:space="preserve"> </w:t>
      </w:r>
      <w:r>
        <w:t xml:space="preserve">reach consumers. After the law, Bathan et al.</w:t>
      </w:r>
      <w:r>
        <w:t xml:space="preserve"> </w:t>
      </w:r>
      <w:r>
        <w:t xml:space="preserve">(</w:t>
      </w:r>
      <w:hyperlink w:anchor="ref-bathan2025"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 </w:t>
      </w:r>
      <w:r>
        <w:t xml:space="preserve">find, with autoregressive</w:t>
      </w:r>
      <w:r>
        <w:t xml:space="preserve"> </w:t>
      </w:r>
      <w:r>
        <w:t xml:space="preserve">distributed lag models on 2012–2024 data, that farmgate prices drive wholesale and</w:t>
      </w:r>
      <w:r>
        <w:t xml:space="preserve"> </w:t>
      </w:r>
      <w:r>
        <w:t xml:space="preserve">retail prices asymmetrically and that the law had only short-run effects. Bathan</w:t>
      </w:r>
      <w:r>
        <w:t xml:space="preserve"> </w:t>
      </w:r>
      <w:r>
        <w:t xml:space="preserve">(</w:t>
      </w:r>
      <w:hyperlink w:anchor="ref-bathan2026">
        <w:r>
          <w:rPr>
            <w:rStyle w:val="Hyperlink"/>
          </w:rPr>
          <w:t xml:space="preserve">2026</w:t>
        </w:r>
      </w:hyperlink>
      <w:r>
        <w:t xml:space="preserve">)</w:t>
      </w:r>
      <w:r>
        <w:t xml:space="preserve"> </w:t>
      </w:r>
      <w:r>
        <w:t xml:space="preserve">finds similar vertical responses after tariffication. Trinidad, Ravago and</w:t>
      </w:r>
      <w:r>
        <w:t xml:space="preserve"> </w:t>
      </w:r>
      <w:r>
        <w:t xml:space="preserve">Balisacan</w:t>
      </w:r>
      <w:r>
        <w:t xml:space="preserve"> </w:t>
      </w:r>
      <w:r>
        <w:t xml:space="preserve">(</w:t>
      </w:r>
      <w:hyperlink w:anchor="ref-trinidad2026">
        <w:r>
          <w:rPr>
            <w:rStyle w:val="Hyperlink"/>
          </w:rPr>
          <w:t xml:space="preserve">2026</w:t>
        </w:r>
      </w:hyperlink>
      <w:r>
        <w:t xml:space="preserve">)</w:t>
      </w:r>
      <w:r>
        <w:t xml:space="preserve"> </w:t>
      </w:r>
      <w:r>
        <w:t xml:space="preserve">find limited transmission from international to domestic</w:t>
      </w:r>
      <w:r>
        <w:t xml:space="preserve"> </w:t>
      </w:r>
      <w:r>
        <w:t xml:space="preserve">prices and argue that competition policy must accompany tariff cuts.</w:t>
      </w:r>
    </w:p>
    <w:bookmarkEnd w:id="18"/>
    <w:bookmarkStart w:id="19" w:name="X87f05cd57a58c517e0cef1b966b9f0472d06626"/>
    <w:p>
      <w:pPr>
        <w:pStyle w:val="Heading2"/>
      </w:pPr>
      <w:r>
        <w:t xml:space="preserve">2.4 Regional evidence and the reference study</w:t>
      </w:r>
    </w:p>
    <w:p>
      <w:pPr>
        <w:pStyle w:val="FirstParagraph"/>
      </w:pPr>
      <w:r>
        <w:t xml:space="preserve">Valera, Balié and Magrini</w:t>
      </w:r>
      <w:r>
        <w:t xml:space="preserve"> </w:t>
      </w:r>
      <w:r>
        <w:t xml:space="preserve">(</w:t>
      </w:r>
      <w:hyperlink w:anchor="ref-valera2022">
        <w:r>
          <w:rPr>
            <w:rStyle w:val="Hyperlink"/>
          </w:rPr>
          <w:t xml:space="preserve">2022</w:t>
        </w:r>
      </w:hyperlink>
      <w:r>
        <w:t xml:space="preserve">)</w:t>
      </w:r>
      <w:r>
        <w:t xml:space="preserve"> </w:t>
      </w:r>
      <w:r>
        <w:t xml:space="preserve">show that rice prices are a major source of</w:t>
      </w:r>
      <w:r>
        <w:t xml:space="preserve"> </w:t>
      </w:r>
      <w:r>
        <w:t xml:space="preserve">regional inflation. Antonio et al.</w:t>
      </w:r>
      <w:r>
        <w:t xml:space="preserve"> </w:t>
      </w:r>
      <w:r>
        <w:t xml:space="preserve">(</w:t>
      </w:r>
      <w:hyperlink w:anchor="ref-antonio2025"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 </w:t>
      </w:r>
      <w:r>
        <w:t xml:space="preserve">estimate a panel vector</w:t>
      </w:r>
      <w:r>
        <w:t xml:space="preserve"> </w:t>
      </w:r>
      <w:r>
        <w:t xml:space="preserve">autoregression (VAR) for 17 regions from 1994 to 2023: a world rice shock raises</w:t>
      </w:r>
      <w:r>
        <w:t xml:space="preserve"> </w:t>
      </w:r>
      <w:r>
        <w:t xml:space="preserve">regional rice inflation, peaks after one month and fades within about five months;</w:t>
      </w:r>
      <w:r>
        <w:t xml:space="preserve"> </w:t>
      </w:r>
      <w:r>
        <w:t xml:space="preserve">the effect is larger in rice-deficit regions. Their data are public, so we use their</w:t>
      </w:r>
      <w:r>
        <w:t xml:space="preserve"> </w:t>
      </w:r>
      <w:r>
        <w:t xml:space="preserve">paper as the reference to replicate.</w:t>
      </w:r>
    </w:p>
    <w:bookmarkEnd w:id="19"/>
    <w:bookmarkStart w:id="20" w:name="synthesis-and-gap"/>
    <w:p>
      <w:pPr>
        <w:pStyle w:val="Heading2"/>
      </w:pPr>
      <w:r>
        <w:t xml:space="preserve">2.5 Synthesis and gap</w:t>
      </w:r>
    </w:p>
    <w:p>
      <w:pPr>
        <w:pStyle w:val="FirstParagraph"/>
      </w:pPr>
      <w:r>
        <w:t xml:space="preserve">The literature agrees that world prices matter and that the domestic chain is not</w:t>
      </w:r>
      <w:r>
        <w:t xml:space="preserve"> </w:t>
      </w:r>
      <w:r>
        <w:t xml:space="preserve">perfectly competitive. It does not tell us whether the switch from quotas to tariffs</w:t>
      </w:r>
      <w:r>
        <w:t xml:space="preserve"> </w:t>
      </w:r>
      <w:r>
        <w:rPr>
          <w:i/>
          <w:iCs/>
        </w:rPr>
        <w:t xml:space="preserve">changed</w:t>
      </w:r>
      <w:r>
        <w:t xml:space="preserve"> </w:t>
      </w:r>
      <w:r>
        <w:t xml:space="preserve">pass-through to consumers, farmers and the poor, and how the later policy</w:t>
      </w:r>
      <w:r>
        <w:t xml:space="preserve"> </w:t>
      </w:r>
      <w:r>
        <w:t xml:space="preserve">reversals (tariff cut, suspension, indexed tariff) fit that picture. That is the gap</w:t>
      </w:r>
      <w:r>
        <w:t xml:space="preserve"> </w:t>
      </w:r>
      <w:r>
        <w:t xml:space="preserve">this study fills.</w:t>
      </w:r>
    </w:p>
    <w:bookmarkEnd w:id="20"/>
    <w:bookmarkStart w:id="24" w:name="conceptual-framework"/>
    <w:p>
      <w:pPr>
        <w:pStyle w:val="Heading2"/>
      </w:pPr>
      <w:r>
        <w:t xml:space="preserve">2.6 Conceptual framework</w:t>
      </w:r>
    </w:p>
    <w:p>
      <w:pPr>
        <w:pStyle w:val="FirstParagraph"/>
      </w:pPr>
      <w:r>
        <w:t xml:space="preserve">Figure 1 summarises the framework. The world price and the exchange rate set the</w:t>
      </w:r>
      <w:r>
        <w:t xml:space="preserve"> </w:t>
      </w:r>
      <w:r>
        <w:t xml:space="preserve">import parity price,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τ</m:t>
        </m:r>
        <m:r>
          <m:rPr>
            <m:sty m:val="p"/>
          </m:rPr>
          <m:t>)</m:t>
        </m:r>
        <m:sSub>
          <m:e>
            <m:r>
              <m:t>E</m:t>
            </m:r>
          </m:e>
          <m:sub>
            <m:r>
              <m:t>t</m:t>
            </m:r>
          </m:sub>
        </m:sSub>
        <m:sSubSup>
          <m:e>
            <m:r>
              <m:t>P</m:t>
            </m:r>
          </m:e>
          <m:sub>
            <m:r>
              <m:t>t</m:t>
            </m:r>
          </m:sub>
          <m:sup>
            <m:r>
              <m:t>W</m:t>
            </m:r>
          </m:sup>
        </m:sSubSup>
      </m:oMath>
      <w:r>
        <w:t xml:space="preserve">. The border regime decides how much of a change</w:t>
      </w:r>
      <w:r>
        <w:t xml:space="preserve"> </w:t>
      </w:r>
      <w:r>
        <w:t xml:space="preserve">in that price reaches the wholesale, retail and farmgate markets: under a quota very</w:t>
      </w:r>
      <w:r>
        <w:t xml:space="preserve"> </w:t>
      </w:r>
      <w:r>
        <w:t xml:space="preserve">little, under a tariff more. Retail rice prices feed the CPI, with a weight twice as</w:t>
      </w:r>
      <w:r>
        <w:t xml:space="preserve"> </w:t>
      </w:r>
      <w:r>
        <w:t xml:space="preserve">large for the poor. Dashed arrows show the policy levers studied in Objective 3.</w:t>
      </w:r>
    </w:p>
    <w:p>
      <w:pPr>
        <w:pStyle w:val="CaptionedFigure"/>
      </w:pPr>
      <w:r>
        <w:drawing>
          <wp:inline>
            <wp:extent cx="4874761" cy="2874702"/>
            <wp:effectExtent b="0" l="0" r="0" t="0"/>
            <wp:docPr descr="Conceptual framework. Solid arrows show how a world price change travels to domestic prices; dashed boxes and arrows show the policy levers (border regime, import suspension, price cap, NFA stocks)." title="" id="22" name="Picture"/>
            <a:graphic>
              <a:graphicData uri="http://schemas.openxmlformats.org/drawingml/2006/picture">
                <pic:pic>
                  <pic:nvPicPr>
                    <pic:cNvPr descr="../output/figures/fig01_framework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761" cy="2874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Conceptual framework. Solid arrows show how a world price change travels to domestic prices; dashed boxes and arrows show the policy levers (border regime, import suspension, price cap, NFA stocks).</w:t>
      </w:r>
    </w:p>
    <w:p>
      <w:pPr>
        <w:pStyle w:val="BodyText"/>
      </w:pPr>
      <w:r>
        <w:t xml:space="preserve">The general theory gives the estimating equation. If importers price at import parity</w:t>
      </w:r>
      <w:r>
        <w:t xml:space="preserve"> </w:t>
      </w:r>
      <w:r>
        <w:t xml:space="preserve">plus a marketing margin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nor/>
                <m:sty m:val="p"/>
              </m:rPr>
              <m:t>dom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τ</m:t>
        </m:r>
        <m:r>
          <m:rPr>
            <m:sty m:val="p"/>
          </m:rPr>
          <m:t>)</m:t>
        </m:r>
        <m:r>
          <m:t>E</m:t>
        </m:r>
        <m:sSup>
          <m:e>
            <m:r>
              <m:t>P</m:t>
            </m:r>
          </m:e>
          <m:sup>
            <m:r>
              <m:t>W</m:t>
            </m:r>
          </m:sup>
        </m:sSup>
        <m:r>
          <m:rPr>
            <m:sty m:val="p"/>
          </m:rPr>
          <m:t>+</m:t>
        </m:r>
        <m:r>
          <m:t>m</m:t>
        </m:r>
      </m:oMath>
      <w:r>
        <w:t xml:space="preserve">, then a 1% change in</w:t>
      </w:r>
      <w:r>
        <w:t xml:space="preserve"> </w:t>
      </w:r>
      <m:oMath>
        <m:r>
          <m:t>E</m:t>
        </m:r>
        <m:sSup>
          <m:e>
            <m:r>
              <m:t>P</m:t>
            </m:r>
          </m:e>
          <m:sup>
            <m:r>
              <m:t>W</m:t>
            </m:r>
          </m:sup>
        </m:sSup>
      </m:oMath>
      <w:r>
        <w:t xml:space="preserve"> </w:t>
      </w:r>
      <w:r>
        <w:t xml:space="preserve">changes the domestic price by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ln</m:t>
        </m:r>
        <m:sSup>
          <m:e>
            <m:r>
              <m:t>P</m:t>
            </m:r>
          </m:e>
          <m:sup>
            <m:r>
              <m:rPr>
                <m:nor/>
                <m:sty m:val="p"/>
              </m:rPr>
              <m:t>dom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E</m:t>
        </m:r>
        <m:sSup>
          <m:e>
            <m:r>
              <m:t>P</m:t>
            </m:r>
          </m:e>
          <m:sup>
            <m:r>
              <m:t>W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τ</m:t>
        </m:r>
        <m:r>
          <m:rPr>
            <m:sty m:val="p"/>
          </m:rPr>
          <m:t>)</m:t>
        </m:r>
        <m:r>
          <m:t>E</m:t>
        </m:r>
        <m:sSup>
          <m:e>
            <m:r>
              <m:t>P</m:t>
            </m:r>
          </m:e>
          <m:sup>
            <m:r>
              <m:t>W</m:t>
            </m:r>
          </m:sup>
        </m:sSup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rPr>
                <m:nor/>
                <m:sty m:val="p"/>
              </m:rPr>
              <m:t>dom</m:t>
            </m:r>
          </m:sup>
        </m:sSup>
      </m:oMath>
      <w:r>
        <w:t xml:space="preserve">, the share</w:t>
      </w:r>
      <w:r>
        <w:t xml:space="preserve"> </w:t>
      </w:r>
      <w:r>
        <w:t xml:space="preserve">of the import cost in the final price. Under a binding quota this elasticity is close</w:t>
      </w:r>
      <w:r>
        <w:t xml:space="preserve"> </w:t>
      </w:r>
      <w:r>
        <w:t xml:space="preserve">to zero. The farmgate price is the milled price minus milling and marketing costs, so</w:t>
      </w:r>
      <w:r>
        <w:t xml:space="preserve"> </w:t>
      </w:r>
      <w:r>
        <w:t xml:space="preserve">in percentage terms it moves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the retail price</w:t>
      </w:r>
      <w:r>
        <w:t xml:space="preserve"> </w:t>
      </w:r>
      <w:r>
        <w:t xml:space="preserve">(</w:t>
      </w:r>
      <w:hyperlink w:anchor="ref-gardner1975">
        <w:r>
          <w:rPr>
            <w:rStyle w:val="Hyperlink"/>
          </w:rPr>
          <w:t xml:space="preserve">Gardner 1975</w:t>
        </w:r>
      </w:hyperlink>
      <w:r>
        <w:t xml:space="preserve">)</w:t>
      </w:r>
      <w:r>
        <w:t xml:space="preserve">, which is H2.</w:t>
      </w:r>
      <w:r>
        <w:t xml:space="preserve"> </w:t>
      </w:r>
      <w:r>
        <w:t xml:space="preserve">Finally, by cost-of-living index theory, group</w:t>
      </w:r>
      <w:r>
        <w:t xml:space="preserve"> </w:t>
      </w:r>
      <m:oMath>
        <m:r>
          <m:t>g</m:t>
        </m:r>
      </m:oMath>
      <w:r>
        <w:t xml:space="preserve">’s inflation is</w:t>
      </w:r>
      <w:r>
        <w:t xml:space="preserve"> </w:t>
      </w:r>
      <m:oMath>
        <m:sSup>
          <m:e>
            <m:r>
              <m:t>π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t>g</m:t>
                </m:r>
              </m:sup>
            </m:sSubSup>
          </m:e>
        </m:nary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so the effect of a rice shock on the gap is roughly</w:t>
      </w:r>
      <w:r>
        <w:t xml:space="preserve"> </w:t>
      </w:r>
      <m:oMath>
        <m:sSubSup>
          <m:e>
            <m:r>
              <m:t>B</m:t>
            </m:r>
          </m:e>
          <m:sub>
            <m:r>
              <m:t>h</m:t>
            </m:r>
          </m:sub>
          <m:sup>
            <m:r>
              <m:rPr>
                <m:nor/>
                <m:sty m:val="p"/>
              </m:rPr>
              <m:t>rice</m:t>
            </m:r>
          </m:sup>
        </m:sSubSup>
        <m:r>
          <m:rPr>
            <m:sty m:val="p"/>
          </m:rPr>
          <m:t>(</m:t>
        </m:r>
        <m:sSubSup>
          <m:e>
            <m:r>
              <m:t>w</m:t>
            </m:r>
          </m:e>
          <m:sub>
            <m:r>
              <m:rPr>
                <m:nor/>
                <m:sty m:val="p"/>
              </m:rPr>
              <m:t>rice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w</m:t>
            </m:r>
          </m:e>
          <m:sub>
            <m:r>
              <m:rPr>
                <m:nor/>
                <m:sty m:val="p"/>
              </m:rPr>
              <m:t>rice</m:t>
            </m:r>
          </m:sub>
          <m:sup>
            <m:r>
              <m:t>B</m:t>
            </m:r>
            <m:r>
              <m:t>30</m:t>
            </m:r>
          </m:sup>
        </m:sSubSup>
        <m:r>
          <m:rPr>
            <m:sty m:val="p"/>
          </m:rPr>
          <m:t>)</m:t>
        </m:r>
      </m:oMath>
      <w:r>
        <w:t xml:space="preserve">, which is negative because</w:t>
      </w:r>
      <w:r>
        <w:t xml:space="preserve"> </w:t>
      </w:r>
      <w:r>
        <w:t xml:space="preserve">the poor’s rice weight is larger (H5). Deaton</w:t>
      </w:r>
      <w:r>
        <w:t xml:space="preserve"> </w:t>
      </w:r>
      <w:r>
        <w:t xml:space="preserve">(</w:t>
      </w:r>
      <w:hyperlink w:anchor="ref-deaton1989">
        <w:r>
          <w:rPr>
            <w:rStyle w:val="Hyperlink"/>
          </w:rPr>
          <w:t xml:space="preserve">1989</w:t>
        </w:r>
      </w:hyperlink>
      <w:r>
        <w:t xml:space="preserve">)</w:t>
      </w:r>
      <w:r>
        <w:t xml:space="preserve"> </w:t>
      </w:r>
      <w:r>
        <w:t xml:space="preserve">and Ivanic and Martin</w:t>
      </w:r>
      <w:r>
        <w:t xml:space="preserve"> </w:t>
      </w:r>
      <w:r>
        <w:t xml:space="preserve">(</w:t>
      </w:r>
      <w:hyperlink w:anchor="ref-ivanic2008">
        <w:r>
          <w:rPr>
            <w:rStyle w:val="Hyperlink"/>
          </w:rPr>
          <w:t xml:space="preserve">2008</w:t>
        </w:r>
      </w:hyperlink>
      <w:r>
        <w:t xml:space="preserve">)</w:t>
      </w:r>
      <w:r>
        <w:t xml:space="preserve"> </w:t>
      </w:r>
      <w:r>
        <w:t xml:space="preserve">show that the welfare effect then depends on whether a household is a</w:t>
      </w:r>
      <w:r>
        <w:t xml:space="preserve"> </w:t>
      </w:r>
      <w:r>
        <w:t xml:space="preserve">net buyer or a net seller of rice.</w:t>
      </w:r>
    </w:p>
    <w:bookmarkEnd w:id="24"/>
    <w:bookmarkEnd w:id="25"/>
    <w:bookmarkStart w:id="35" w:name="Xb947b382a9840149a824fef4ef4ff70a54868c4"/>
    <w:p>
      <w:pPr>
        <w:pStyle w:val="Heading1"/>
      </w:pPr>
      <w:r>
        <w:t xml:space="preserve">Chapter 3. Digression: the model and how to implement it</w:t>
      </w:r>
    </w:p>
    <w:p>
      <w:pPr>
        <w:pStyle w:val="FirstParagraph"/>
      </w:pPr>
      <w:r>
        <w:t xml:space="preserve">This chapter is a tutorial. Someone new to the method should be able to reproduce the</w:t>
      </w:r>
      <w:r>
        <w:t xml:space="preserve"> </w:t>
      </w:r>
      <w:r>
        <w:t xml:space="preserve">study from it.</w:t>
      </w:r>
    </w:p>
    <w:bookmarkStart w:id="26" w:name="the-question-an-impulse-response-answers"/>
    <w:p>
      <w:pPr>
        <w:pStyle w:val="Heading2"/>
      </w:pPr>
      <w:r>
        <w:t xml:space="preserve">3.1 The question an impulse response answers</w:t>
      </w:r>
    </w:p>
    <w:p>
      <w:pPr>
        <w:pStyle w:val="FirstParagraph"/>
      </w:pPr>
      <w:r>
        <w:t xml:space="preserve">We want the path of domestic rice prices in the months after a world price change,</w:t>
      </w:r>
      <w:r>
        <w:t xml:space="preserve"> </w:t>
      </w:r>
      <w:r>
        <w:t xml:space="preserve">holding everything else as it would otherwise have been. That path is an</w:t>
      </w:r>
      <w:r>
        <w:t xml:space="preserve"> </w:t>
      </w:r>
      <w:r>
        <w:rPr>
          <w:i/>
          <w:iCs/>
        </w:rPr>
        <w:t xml:space="preserve">impulse</w:t>
      </w:r>
      <w:r>
        <w:rPr>
          <w:i/>
          <w:iCs/>
        </w:rPr>
        <w:t xml:space="preserve"> </w:t>
      </w:r>
      <w:r>
        <w:rPr>
          <w:i/>
          <w:iCs/>
        </w:rPr>
        <w:t xml:space="preserve">response</w:t>
      </w:r>
      <w:r>
        <w:t xml:space="preserve">: the response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h</m:t>
        </m:r>
      </m:oMath>
      <w:r>
        <w:t xml:space="preserve"> </w:t>
      </w:r>
      <w:r>
        <w:t xml:space="preserve">to a one-unit shock at</w:t>
      </w:r>
      <w:r>
        <w:t xml:space="preserve"> </w:t>
      </w:r>
      <m:oMath>
        <m:r>
          <m:t>t</m:t>
        </m:r>
      </m:oMath>
      <w:r>
        <w:t xml:space="preserve">, 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26"/>
    <w:bookmarkStart w:id="27" w:name="the-local-projection-idea"/>
    <w:p>
      <w:pPr>
        <w:pStyle w:val="Heading2"/>
      </w:pPr>
      <w:r>
        <w:t xml:space="preserve">3.2 The local projection idea</w:t>
      </w:r>
    </w:p>
    <w:p>
      <w:pPr>
        <w:pStyle w:val="FirstParagraph"/>
      </w:pPr>
      <w:r>
        <w:t xml:space="preserve">A VAR estimates one model of how all variables evolve together and then iterates it</w:t>
      </w:r>
      <w:r>
        <w:t xml:space="preserve"> </w:t>
      </w:r>
      <w:r>
        <w:t xml:space="preserve">forward to get the responses. A</w:t>
      </w:r>
      <w:r>
        <w:t xml:space="preserve"> </w:t>
      </w:r>
      <w:r>
        <w:rPr>
          <w:i/>
          <w:iCs/>
        </w:rPr>
        <w:t xml:space="preserve">local projection</w:t>
      </w:r>
      <w:r>
        <w:t xml:space="preserve"> </w:t>
      </w:r>
      <w:r>
        <w:t xml:space="preserve">(</w:t>
      </w:r>
      <w:hyperlink w:anchor="ref-jorda2005">
        <w:r>
          <w:rPr>
            <w:rStyle w:val="Hyperlink"/>
          </w:rPr>
          <w:t xml:space="preserve">Jordà 2005</w:t>
        </w:r>
      </w:hyperlink>
      <w:r>
        <w:t xml:space="preserve">)</w:t>
      </w:r>
      <w:r>
        <w:t xml:space="preserve"> </w:t>
      </w:r>
      <w:r>
        <w:t xml:space="preserve">skips the iteration: for</w:t>
      </w:r>
      <w:r>
        <w:t xml:space="preserve"> </w:t>
      </w:r>
      <w:r>
        <w:t xml:space="preserve">each horizon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 runs a separate regression of the outcome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months ahead on</w:t>
      </w:r>
      <w:r>
        <w:t xml:space="preserve"> </w:t>
      </w:r>
      <w:r>
        <w:t xml:space="preserve">today’s shock. If the VAR is right both give the same answer</w:t>
      </w:r>
      <w:r>
        <w:t xml:space="preserve"> </w:t>
      </w:r>
      <w:r>
        <w:t xml:space="preserve">(</w:t>
      </w:r>
      <w:hyperlink w:anchor="ref-plagborg2021">
        <w:r>
          <w:rPr>
            <w:rStyle w:val="Hyperlink"/>
          </w:rPr>
          <w:t xml:space="preserve">Plagborg-Møller and Wolf 2021</w:t>
        </w:r>
      </w:hyperlink>
      <w:r>
        <w:t xml:space="preserve">)</w:t>
      </w:r>
      <w:r>
        <w:t xml:space="preserve">; if it is</w:t>
      </w:r>
      <w:r>
        <w:t xml:space="preserve"> </w:t>
      </w:r>
      <w:r>
        <w:t xml:space="preserve">wrong, the local projection is more robust, and its standard errors are simple</w:t>
      </w:r>
      <w:r>
        <w:t xml:space="preserve"> </w:t>
      </w:r>
      <w:r>
        <w:t xml:space="preserve">(</w:t>
      </w:r>
      <w:hyperlink w:anchor="ref-montielolea2021">
        <w:r>
          <w:rPr>
            <w:rStyle w:val="Hyperlink"/>
          </w:rPr>
          <w:t xml:space="preserve">Montiel Olea and Plagborg-Møller 2021</w:t>
        </w:r>
      </w:hyperlink>
      <w:r>
        <w:t xml:space="preserve">)</w:t>
      </w:r>
      <w:r>
        <w:t xml:space="preserve">.</w:t>
      </w:r>
    </w:p>
    <w:bookmarkEnd w:id="27"/>
    <w:bookmarkStart w:id="28" w:name="the-specification-term-by-term"/>
    <w:p>
      <w:pPr>
        <w:pStyle w:val="Heading2"/>
      </w:pPr>
      <w:r>
        <w:t xml:space="preserve">3.3 The specification term by term</w:t>
      </w:r>
    </w:p>
    <w:p>
      <w:pPr>
        <w:pStyle w:val="FirstParagraph"/>
      </w:pPr>
      <w:r>
        <w:t xml:space="preserve">For each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we estimate by ordinary least squares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h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h</m:t>
              </m:r>
            </m:sub>
          </m:sSub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post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12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q</m:t>
                  </m:r>
                </m:sub>
              </m:sSub>
            </m:e>
          </m:nary>
          <m:sSub>
            <m:e>
              <m:r>
                <m:t>π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12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q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 </m:t>
          </m:r>
          <m:sSub>
            <m:e>
              <m:r>
                <m:rPr>
                  <m:nor/>
                  <m:sty m:val="p"/>
                </m:rPr>
                <m:t>post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κ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  <m:r>
            <m:rPr>
              <m:sty m:val="p"/>
            </m:rPr>
            <m:t>.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 side is the</w:t>
      </w:r>
      <w:r>
        <w:t xml:space="preserve"> </w:t>
      </w:r>
      <w:r>
        <w:rPr>
          <w:i/>
          <w:iCs/>
        </w:rPr>
        <w:t xml:space="preserve">cumulative</w:t>
      </w:r>
      <w:r>
        <w:t xml:space="preserve"> </w:t>
      </w:r>
      <w:r>
        <w:t xml:space="preserve">rice inflation from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h</m:t>
        </m:r>
      </m:oMath>
      <w:r>
        <w:t xml:space="preserve"> </w:t>
      </w:r>
      <w:r>
        <w:t xml:space="preserve">in region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directly the cumulative pass-through.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region fixed effects</w:t>
      </w:r>
      <w:r>
        <w:t xml:space="preserve">:</w:t>
      </w:r>
      <w:r>
        <w:t xml:space="preserve"> </w:t>
      </w:r>
      <w:r>
        <w:t xml:space="preserve">they let each region have its own average inflation. The twelve past values of rice</w:t>
      </w:r>
      <w:r>
        <w:t xml:space="preserve"> </w:t>
      </w:r>
      <w:r>
        <w:t xml:space="preserve">inflation and of the shock account for earlier movements and for seasonal patterns,</w:t>
      </w:r>
      <w:r>
        <w:t xml:space="preserve"> </w:t>
      </w:r>
      <w:r>
        <w:t xml:space="preserve">such as the lean months before the harvest. The</w:t>
      </w:r>
      <w:r>
        <w:t xml:space="preserve"> </w:t>
      </w:r>
      <w:r>
        <w:rPr>
          <w:i/>
          <w:iCs/>
        </w:rPr>
        <w:t xml:space="preserve">Teulings–Zubanov leads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make sure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not confused with the effect of later</w:t>
      </w:r>
      <w:r>
        <w:t xml:space="preserve"> </w:t>
      </w:r>
      <w:r>
        <w:t xml:space="preserve">shocks</w:t>
      </w:r>
      <w:r>
        <w:t xml:space="preserve"> </w:t>
      </w:r>
      <w:r>
        <w:t xml:space="preserve">(</w:t>
      </w:r>
      <w:hyperlink w:anchor="ref-teulings2014">
        <w:r>
          <w:rPr>
            <w:rStyle w:val="Hyperlink"/>
          </w:rPr>
          <w:t xml:space="preserve">Teulings and Zubanov 2014</w:t>
        </w:r>
      </w:hyperlink>
      <w:r>
        <w:t xml:space="preserve">)</w:t>
      </w:r>
      <w:r>
        <w:t xml:space="preserve">.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equals 1 from March 2019;</w:t>
      </w:r>
      <w:r>
        <w:t xml:space="preserve"> </w:t>
      </w:r>
      <m:oMath>
        <m:sSub>
          <m:e>
            <m:r>
              <m:t>θ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the change</w:t>
      </w:r>
      <w:r>
        <w:t xml:space="preserve"> </w:t>
      </w:r>
      <w:r>
        <w:t xml:space="preserve">in pass-through after the law, and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the post-law pass-through. The</w:t>
      </w:r>
      <w:r>
        <w:t xml:space="preserve"> </w:t>
      </w:r>
      <w:r>
        <w:t xml:space="preserve">trend</w:t>
      </w:r>
      <w:r>
        <w:t xml:space="preserve"> </w:t>
      </w:r>
      <m:oMath>
        <m:r>
          <m:t>κ</m:t>
        </m:r>
        <m:r>
          <m:t>t</m:t>
        </m:r>
      </m:oMath>
      <w:r>
        <w:t xml:space="preserve"> </w:t>
      </w:r>
      <w:r>
        <w:t xml:space="preserve">absorbs slow drifts.</w:t>
      </w:r>
    </w:p>
    <w:bookmarkEnd w:id="28"/>
    <w:bookmarkStart w:id="29" w:name="from-monthly-effects-to-the-level"/>
    <w:p>
      <w:pPr>
        <w:pStyle w:val="Heading2"/>
      </w:pPr>
      <w:r>
        <w:t xml:space="preserve">3.4 From monthly effects to the level</w:t>
      </w:r>
    </w:p>
    <w:p>
      <w:pPr>
        <w:pStyle w:val="FirstParagraph"/>
      </w:pPr>
      <w:r>
        <w:t xml:space="preserve">Because the left side is a running sum,</w:t>
      </w:r>
      <w:r>
        <w:t xml:space="preserve"> </w:t>
      </w:r>
      <m:oMath>
        <m:sSub>
          <m:e>
            <m:r>
              <m:t>B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means that a 1% world price rise</w:t>
      </w:r>
      <w:r>
        <w:t xml:space="preserve"> </w:t>
      </w:r>
      <w:r>
        <w:t xml:space="preserve">raises the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of the rice CPI by 0.4% after six months. The monthly effect at</w:t>
      </w:r>
      <w:r>
        <w:t xml:space="preserve"> </w:t>
      </w:r>
      <w:r>
        <w:t xml:space="preserve">horizon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h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Start w:id="30" w:name="standard-errors"/>
    <w:p>
      <w:pPr>
        <w:pStyle w:val="Heading2"/>
      </w:pPr>
      <w:r>
        <w:t xml:space="preserve">3.5 Standard errors</w:t>
      </w:r>
    </w:p>
    <w:p>
      <w:pPr>
        <w:pStyle w:val="FirstParagraph"/>
      </w:pPr>
      <w:r>
        <w:t xml:space="preserve">Standard errors measure how uncertain an estimate is. Because all regions face the same</w:t>
      </w:r>
      <w:r>
        <w:t xml:space="preserve"> </w:t>
      </w:r>
      <w:r>
        <w:t xml:space="preserve">world price in the same month, their errors are correlated across regions and over time.</w:t>
      </w:r>
      <w:r>
        <w:t xml:space="preserve"> </w:t>
      </w:r>
      <w:r>
        <w:rPr>
          <w:i/>
          <w:iCs/>
        </w:rPr>
        <w:t xml:space="preserve">Driscoll–Kraay</w:t>
      </w:r>
      <w:r>
        <w:t xml:space="preserve"> </w:t>
      </w:r>
      <w:r>
        <w:t xml:space="preserve">standard errors</w:t>
      </w:r>
      <w:r>
        <w:t xml:space="preserve"> </w:t>
      </w:r>
      <w:r>
        <w:t xml:space="preserve">(</w:t>
      </w:r>
      <w:hyperlink w:anchor="ref-driscoll1998">
        <w:r>
          <w:rPr>
            <w:rStyle w:val="Hyperlink"/>
          </w:rPr>
          <w:t xml:space="preserve">Driscoll and Kraay 1998</w:t>
        </w:r>
      </w:hyperlink>
      <w:r>
        <w:t xml:space="preserve">)</w:t>
      </w:r>
      <w:r>
        <w:t xml:space="preserve"> </w:t>
      </w:r>
      <w:r>
        <w:t xml:space="preserve">allow for correlation over time and</w:t>
      </w:r>
      <w:r>
        <w:t xml:space="preserve"> </w:t>
      </w:r>
      <w:r>
        <w:t xml:space="preserve">across regions; for single national series we use</w:t>
      </w:r>
      <w:r>
        <w:t xml:space="preserve"> </w:t>
      </w:r>
      <w:r>
        <w:rPr>
          <w:i/>
          <w:iCs/>
        </w:rPr>
        <w:t xml:space="preserve">Newey–West</w:t>
      </w:r>
      <w:r>
        <w:t xml:space="preserve"> </w:t>
      </w:r>
      <w:r>
        <w:t xml:space="preserve">standard errors</w:t>
      </w:r>
      <w:r>
        <w:t xml:space="preserve"> </w:t>
      </w:r>
      <w:r>
        <w:t xml:space="preserve">(</w:t>
      </w:r>
      <w:hyperlink w:anchor="ref-newey1987">
        <w:r>
          <w:rPr>
            <w:rStyle w:val="Hyperlink"/>
          </w:rPr>
          <w:t xml:space="preserve">Newey and West 1987</w:t>
        </w:r>
      </w:hyperlink>
      <w:r>
        <w:t xml:space="preserve">)</w:t>
      </w:r>
      <w:r>
        <w:t xml:space="preserve">, which allow for correlation over time. Bands in the figures are 90%</w:t>
      </w:r>
      <w:r>
        <w:t xml:space="preserve"> </w:t>
      </w:r>
      <w:r>
        <w:t xml:space="preserve">intervals.</w:t>
      </w:r>
    </w:p>
    <w:bookmarkEnd w:id="30"/>
    <w:bookmarkStart w:id="31" w:name="the-panel-and-group-differences"/>
    <w:p>
      <w:pPr>
        <w:pStyle w:val="Heading2"/>
      </w:pPr>
      <w:r>
        <w:t xml:space="preserve">3.6 The panel and group differences</w:t>
      </w:r>
    </w:p>
    <w:p>
      <w:pPr>
        <w:pStyle w:val="FirstParagraph"/>
      </w:pPr>
      <w:r>
        <w:t xml:space="preserve">To ask whether a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regions (for example rice-deficit regions) changed</w:t>
      </w:r>
      <w:r>
        <w:t xml:space="preserve"> </w:t>
      </w:r>
      <w:r>
        <w:t xml:space="preserve">differently, we add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t>G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t>G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corresponding dummies. The coefficient on the triple product is the extra change in</w:t>
      </w:r>
      <w:r>
        <w:t xml:space="preserve"> </w:t>
      </w:r>
      <w:r>
        <w:t xml:space="preserve">group</w:t>
      </w:r>
      <w:r>
        <w:t xml:space="preserve"> </w:t>
      </w:r>
      <m:oMath>
        <m:r>
          <m:t>G</m:t>
        </m:r>
      </m:oMath>
      <w:r>
        <w:t xml:space="preserve">.</w:t>
      </w:r>
    </w:p>
    <w:bookmarkEnd w:id="31"/>
    <w:bookmarkStart w:id="32" w:name="checking-the-implementation"/>
    <w:p>
      <w:pPr>
        <w:pStyle w:val="Heading2"/>
      </w:pPr>
      <w:r>
        <w:t xml:space="preserve">3.7 Checking the implementation</w:t>
      </w:r>
    </w:p>
    <w:p>
      <w:pPr>
        <w:pStyle w:val="FirstParagraph"/>
      </w:pPr>
      <w:r>
        <w:t xml:space="preserve">Before any real estimate we checked the code in two ways. First, simulation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tests/test_lp.py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tests/test_pvar.py</w:t>
      </w:r>
      <w:r>
        <w:t xml:space="preserve">) generate data with a known response and</w:t>
      </w:r>
      <w:r>
        <w:t xml:space="preserve"> </w:t>
      </w:r>
      <w:r>
        <w:t xml:space="preserve">confirm that the estimators recover it. Second, the replication gate (Section 4.4)</w:t>
      </w:r>
      <w:r>
        <w:t xml:space="preserve"> </w:t>
      </w:r>
      <w:r>
        <w:t xml:space="preserve">reproduces a published result on the same public data.</w:t>
      </w:r>
    </w:p>
    <w:bookmarkEnd w:id="32"/>
    <w:bookmarkStart w:id="33" w:name="step-by-step-implementation"/>
    <w:p>
      <w:pPr>
        <w:pStyle w:val="Heading2"/>
      </w:pPr>
      <w:r>
        <w:t xml:space="preserve">3.8 Step-by-step implementation</w:t>
      </w:r>
    </w:p>
    <w:p>
      <w:pPr>
        <w:pStyle w:val="FirstParagraph"/>
      </w:pPr>
      <w:r>
        <w:t xml:space="preserve">The whole study runs from one command,</w:t>
      </w:r>
      <w:r>
        <w:t xml:space="preserve"> </w:t>
      </w:r>
      <w:r>
        <w:rPr>
          <w:rStyle w:val="VerbatimChar"/>
        </w:rPr>
        <w:t xml:space="preserve">./run_all.sh</w:t>
      </w:r>
      <w:r>
        <w:t xml:space="preserve">. The steps are: download the raw</w:t>
      </w:r>
      <w:r>
        <w:t xml:space="preserve"> </w:t>
      </w:r>
      <w:r>
        <w:t xml:space="preserve">files unchanged (</w:t>
      </w:r>
      <w:r>
        <w:rPr>
          <w:rStyle w:val="VerbatimChar"/>
        </w:rPr>
        <w:t xml:space="preserve">scripts/01_download_*.py</w:t>
      </w:r>
      <w:r>
        <w:t xml:space="preserve">); clean them into long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02_clean_*.py</w:t>
      </w:r>
      <w:r>
        <w:t xml:space="preserve">); build the regional and national panels (</w:t>
      </w:r>
      <w:r>
        <w:rPr>
          <w:rStyle w:val="VerbatimChar"/>
        </w:rPr>
        <w:t xml:space="preserve">03_build_panel.py</w:t>
      </w:r>
      <w:r>
        <w:t xml:space="preserve">); run</w:t>
      </w:r>
      <w:r>
        <w:t xml:space="preserve"> </w:t>
      </w:r>
      <w:r>
        <w:t xml:space="preserve">the replication gate (</w:t>
      </w:r>
      <w:r>
        <w:rPr>
          <w:rStyle w:val="VerbatimChar"/>
        </w:rPr>
        <w:t xml:space="preserve">04_replicate.py</w:t>
      </w:r>
      <w:r>
        <w:t xml:space="preserve">); estimate (</w:t>
      </w:r>
      <w:r>
        <w:rPr>
          <w:rStyle w:val="VerbatimChar"/>
        </w:rPr>
        <w:t xml:space="preserve">05_estimate.py</w:t>
      </w:r>
      <w:r>
        <w:t xml:space="preserve">); run the episode</w:t>
      </w:r>
      <w:r>
        <w:t xml:space="preserve"> </w:t>
      </w:r>
      <w:r>
        <w:t xml:space="preserve">analysis (</w:t>
      </w:r>
      <w:r>
        <w:rPr>
          <w:rStyle w:val="VerbatimChar"/>
        </w:rPr>
        <w:t xml:space="preserve">07_episode_2024.py</w:t>
      </w:r>
      <w:r>
        <w:t xml:space="preserve">) and the descriptive statistics (</w:t>
      </w:r>
      <w:r>
        <w:rPr>
          <w:rStyle w:val="VerbatimChar"/>
        </w:rPr>
        <w:t xml:space="preserve">09_descriptive.py</w:t>
      </w:r>
      <w:r>
        <w:t xml:space="preserve">);</w:t>
      </w:r>
      <w:r>
        <w:t xml:space="preserve"> </w:t>
      </w:r>
      <w:r>
        <w:t xml:space="preserve">draw the figures (</w:t>
      </w:r>
      <w:r>
        <w:rPr>
          <w:rStyle w:val="VerbatimChar"/>
        </w:rPr>
        <w:t xml:space="preserve">06_figures.py</w:t>
      </w:r>
      <w:r>
        <w:t xml:space="preserve">); and render the documents (</w:t>
      </w:r>
      <w:r>
        <w:rPr>
          <w:rStyle w:val="VerbatimChar"/>
        </w:rPr>
        <w:t xml:space="preserve">08_paper.py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10_analysis_report.py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11_master_document.py</w:t>
      </w:r>
      <w:r>
        <w:t xml:space="preserve">). The core call 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rtl.lp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local_projection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local_projection(panel,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horizons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interact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,), exog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,),</w:t>
      </w:r>
      <w:r>
        <w:br/>
      </w:r>
      <w:r>
        <w:rPr>
          <w:rStyle w:val="NormalTok"/>
        </w:rPr>
        <w:t xml:space="preserve">                       cumulative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"driscoll_kraay"</w:t>
      </w:r>
      <w:r>
        <w:rPr>
          <w:rStyle w:val="NormalTok"/>
        </w:rPr>
        <w:t xml:space="preserve">)</w:t>
      </w:r>
    </w:p>
    <w:bookmarkEnd w:id="33"/>
    <w:bookmarkStart w:id="34" w:name="common-pitfalls"/>
    <w:p>
      <w:pPr>
        <w:pStyle w:val="Heading2"/>
      </w:pPr>
      <w:r>
        <w:t xml:space="preserve">3.9 Common pitfalls</w:t>
      </w:r>
    </w:p>
    <w:p>
      <w:pPr>
        <w:pStyle w:val="FirstParagraph"/>
      </w:pPr>
      <w:r>
        <w:t xml:space="preserve">Do not mix outcomes in levels and shocks in changes. Do not drop the leads: without them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partly measures later shocks. Do not use standard errors clustered only by region</w:t>
      </w:r>
      <w:r>
        <w:t xml:space="preserve"> </w:t>
      </w:r>
      <w:r>
        <w:t xml:space="preserve">when the shock is common to all regions: robustness check (o) shows they are several</w:t>
      </w:r>
      <w:r>
        <w:t xml:space="preserve"> </w:t>
      </w:r>
      <w:r>
        <w:t xml:space="preserve">times too small. Do not read a single significant horizon as a result; decide in</w:t>
      </w:r>
      <w:r>
        <w:t xml:space="preserve"> </w:t>
      </w:r>
      <w:r>
        <w:t xml:space="preserve">advance which horizons count (here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12</m:t>
        </m:r>
      </m:oMath>
      <w:r>
        <w:t xml:space="preserve">).</w:t>
      </w:r>
    </w:p>
    <w:bookmarkEnd w:id="34"/>
    <w:bookmarkEnd w:id="35"/>
    <w:bookmarkStart w:id="45" w:name="chapter-4.-methodology"/>
    <w:p>
      <w:pPr>
        <w:pStyle w:val="Heading1"/>
      </w:pPr>
      <w:r>
        <w:t xml:space="preserve">Chapter 4. Methodology</w:t>
      </w:r>
    </w:p>
    <w:bookmarkStart w:id="36" w:name="design"/>
    <w:p>
      <w:pPr>
        <w:pStyle w:val="Heading2"/>
      </w:pPr>
      <w:r>
        <w:t xml:space="preserve">4.1 Design</w:t>
      </w:r>
    </w:p>
    <w:p>
      <w:pPr>
        <w:pStyle w:val="FirstParagraph"/>
      </w:pPr>
      <w:r>
        <w:t xml:space="preserve">The design compares pass-through before and after a national policy change, within a</w:t>
      </w:r>
      <w:r>
        <w:t xml:space="preserve"> </w:t>
      </w:r>
      <w:r>
        <w:t xml:space="preserve">panel of regions, with the reference study replicated first and every specification</w:t>
      </w:r>
      <w:r>
        <w:t xml:space="preserve"> </w:t>
      </w:r>
      <w:r>
        <w:t xml:space="preserve">fixed in advance. The pre-registered plan, the decisions log (D1–D12) and the</w:t>
      </w:r>
      <w:r>
        <w:t xml:space="preserve"> </w:t>
      </w:r>
      <w:r>
        <w:t xml:space="preserve">replication gate are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were committed to the repository before the</w:t>
      </w:r>
      <w:r>
        <w:t xml:space="preserve"> </w:t>
      </w:r>
      <w:r>
        <w:t xml:space="preserve">corresponding estimates were run.</w:t>
      </w:r>
    </w:p>
    <w:bookmarkEnd w:id="36"/>
    <w:bookmarkStart w:id="37" w:name="data"/>
    <w:p>
      <w:pPr>
        <w:pStyle w:val="Heading2"/>
      </w:pPr>
      <w:r>
        <w:t xml:space="preserve">4.2 Data</w:t>
      </w:r>
    </w:p>
    <w:p>
      <w:pPr>
        <w:pStyle w:val="FirstParagraph"/>
      </w:pPr>
      <w:r>
        <w:t xml:space="preserve">Table 1 lists the variables. All are official and public; each raw file is logged in</w:t>
      </w:r>
      <w:r>
        <w:t xml:space="preserve"> </w:t>
      </w:r>
      <w:r>
        <w:rPr>
          <w:rStyle w:val="VerbatimChar"/>
        </w:rPr>
        <w:t xml:space="preserve">data/raw/source_log.md</w:t>
      </w:r>
      <w:r>
        <w:t xml:space="preserve"> </w:t>
      </w:r>
      <w:r>
        <w:t xml:space="preserve">with its URL, date pulled, base year and coverage.</w:t>
      </w:r>
    </w:p>
    <w:p>
      <w:pPr>
        <w:pStyle w:val="TableCaption"/>
      </w:pPr>
      <w:r>
        <w:t xml:space="preserve">Table 1. Variables and sources.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Variables and sourc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Rice CPI, all income, by region (item 01.1.1.12, 2018 = 100)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  <m:sup>
                  <m:r>
                    <m:t>R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PSA OpenSTAT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1994M1–2026M9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RQ1, RQ4, Objective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All-items CPI, all income and bottom 30%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B</m:t>
                  </m:r>
                  <m:r>
                    <m:t>30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PSA OpenSTAT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2000M1–2026M9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CPI weights 2018 (all income; bottom 30%)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PSA OpenSTAT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RQ5, Objective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Retail, wholesale prices of regular-milled rice; farmgate palay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nor/>
                      <m:sty m:val="p"/>
                    </m:rPr>
                    <m:t>ret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P</m:t>
                  </m:r>
                </m:e>
                <m:sup>
                  <m:r>
                    <m:rPr>
                      <m:nor/>
                      <m:sty m:val="p"/>
                    </m:rPr>
                    <m:t>whs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P</m:t>
                  </m:r>
                </m:e>
                <m:sup>
                  <m:r>
                    <m:rPr>
                      <m:nor/>
                      <m:sty m:val="p"/>
                    </m:rPr>
                    <m:t>farm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PSA price 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2010M1–2026M9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RQ2, RQ3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Thai 5% and Viet 5% rice; urea; Dubai crude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W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World Bank Pink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1990M1–2026M9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Shock, robustness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Peso–dollar rate, monthly average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1990M1–2026M9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Oceanic Niño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1990M1–2026M8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Replication, robustness</w:t>
            </w:r>
          </w:p>
        </w:tc>
      </w:tr>
    </w:tbl>
    <w:p>
      <w:pPr>
        <w:pStyle w:val="BodyText"/>
      </w:pPr>
      <w:r>
        <w:t xml:space="preserve">Three construction choices matter.</w:t>
      </w:r>
      <w:r>
        <w:t xml:space="preserve"> </w:t>
      </w:r>
      <w:r>
        <w:rPr>
          <w:i/>
          <w:iCs/>
        </w:rPr>
        <w:t xml:space="preserve">Geography:</w:t>
      </w:r>
      <w:r>
        <w:t xml:space="preserve"> </w:t>
      </w:r>
      <w:r>
        <w:t xml:space="preserve">we use PSA’s old 17-region code, which</w:t>
      </w:r>
      <w:r>
        <w:t xml:space="preserve"> </w:t>
      </w:r>
      <w:r>
        <w:t xml:space="preserve">has the long history, and extend it to 2026 with the growth of the new code; four regions</w:t>
      </w:r>
      <w:r>
        <w:t xml:space="preserve"> </w:t>
      </w:r>
      <w:r>
        <w:t xml:space="preserve">whose boundaries changed (Western and Central Visayas, SOCCSKSARGEN, BARMM) are flagged</w:t>
      </w:r>
      <w:r>
        <w:t xml:space="preserve"> </w:t>
      </w:r>
      <w:r>
        <w:t xml:space="preserve">for those months (D5).</w:t>
      </w:r>
      <w:r>
        <w:t xml:space="preserve"> </w:t>
      </w:r>
      <w:r>
        <w:rPr>
          <w:i/>
          <w:iCs/>
        </w:rPr>
        <w:t xml:space="preserve">Splicing:</w:t>
      </w:r>
      <w:r>
        <w:t xml:space="preserve"> </w:t>
      </w:r>
      <w:r>
        <w:t xml:space="preserve">national retail prices join three PSA survey series</w:t>
      </w:r>
      <w:r>
        <w:t xml:space="preserve"> </w:t>
      </w:r>
      <w:r>
        <w:t xml:space="preserve">on growth rates; the 2012-based and 2018-based series agree closely (correlation of</w:t>
      </w:r>
      <w:r>
        <w:t xml:space="preserve"> </w:t>
      </w:r>
      <w:r>
        <w:t xml:space="preserve">monthly changes 0.99), the 1990-based series less so (D12).</w:t>
      </w:r>
      <w:r>
        <w:t xml:space="preserve"> </w:t>
      </w:r>
      <w:r>
        <w:rPr>
          <w:i/>
          <w:iCs/>
        </w:rPr>
        <w:t xml:space="preserve">Validation:</w:t>
      </w:r>
      <w:r>
        <w:t xml:space="preserve"> </w:t>
      </w:r>
      <w:r>
        <w:t xml:space="preserve">the rice CPI</w:t>
      </w:r>
      <w:r>
        <w:t xml:space="preserve"> </w:t>
      </w:r>
      <w:r>
        <w:t xml:space="preserve">and the separate retail price survey move together (correlation of monthly changes</w:t>
      </w:r>
      <w:r>
        <w:t xml:space="preserve"> </w:t>
      </w:r>
      <w:r>
        <w:t xml:space="preserve">0.98); the bottom-30% and all-income rice CPIs correlate at</w:t>
      </w:r>
      <w:r>
        <w:t xml:space="preserve"> </w:t>
      </w:r>
      <w:r>
        <w:t xml:space="preserve">0.995; the Thai and Vietnamese world prices correlate at only</w:t>
      </w:r>
      <w:r>
        <w:t xml:space="preserve"> </w:t>
      </w:r>
      <w:r>
        <w:t xml:space="preserve">0.43, which is why the Vietnamese price is a robustness check.</w:t>
      </w:r>
    </w:p>
    <w:bookmarkEnd w:id="37"/>
    <w:bookmarkStart w:id="38" w:name="methods-by-objective"/>
    <w:p>
      <w:pPr>
        <w:pStyle w:val="Heading2"/>
      </w:pPr>
      <w:r>
        <w:t xml:space="preserve">4.3 Methods by objective</w:t>
      </w:r>
    </w:p>
    <w:p>
      <w:pPr>
        <w:pStyle w:val="FirstParagraph"/>
      </w:pPr>
      <w:r>
        <w:rPr>
          <w:i/>
          <w:iCs/>
        </w:rPr>
        <w:t xml:space="preserve">Objective 1</w:t>
      </w:r>
      <w:r>
        <w:t xml:space="preserve"> </w:t>
      </w:r>
      <w:r>
        <w:t xml:space="preserve">uses summary statistics by sub-period, annual inflation by income group,</w:t>
      </w:r>
      <w:r>
        <w:t xml:space="preserve"> </w:t>
      </w:r>
      <w:r>
        <w:t xml:space="preserve">the contribution of rice to headline inflation (rice weight times rice inflation),</w:t>
      </w:r>
      <w:r>
        <w:t xml:space="preserve"> </w:t>
      </w:r>
      <w:r>
        <w:t xml:space="preserve">episodes of world price spikes (at least three months with a 12-month rise of 15% or</w:t>
      </w:r>
      <w:r>
        <w:t xml:space="preserve"> </w:t>
      </w:r>
      <w:r>
        <w:t xml:space="preserve">more), cross-correlations between the shock and rice inflation, the dispersion of rice</w:t>
      </w:r>
      <w:r>
        <w:t xml:space="preserve"> </w:t>
      </w:r>
      <w:r>
        <w:t xml:space="preserve">prices across regions, and unit-root tests.</w:t>
      </w:r>
    </w:p>
    <w:p>
      <w:pPr>
        <w:pStyle w:val="BodyText"/>
      </w:pPr>
      <w:r>
        <w:rPr>
          <w:i/>
          <w:iCs/>
        </w:rPr>
        <w:t xml:space="preserve">Objective 2</w:t>
      </w:r>
      <w:r>
        <w:t xml:space="preserve"> </w:t>
      </w:r>
      <w:r>
        <w:t xml:space="preserve">uses equation (1) for RQ1 (panel, 1995–2026), the same equation on national</w:t>
      </w:r>
      <w:r>
        <w:t xml:space="preserve"> </w:t>
      </w:r>
      <w:r>
        <w:t xml:space="preserve">farmgate, wholesale and retail prices for RQ2 (2011–2026, Newey–West), an interrupted</w:t>
      </w:r>
      <w:r>
        <w:t xml:space="preserve"> </w:t>
      </w:r>
      <w:r>
        <w:t xml:space="preserve">time-series regression of the border gap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on dummies for the law, the 15% tariff and</w:t>
      </w:r>
      <w:r>
        <w:t xml:space="preserve"> </w:t>
      </w:r>
      <w:r>
        <w:t xml:space="preserve">the suspension with month dummies for RQ3, triple interactions for RQ4, and national</w:t>
      </w:r>
      <w:r>
        <w:t xml:space="preserve"> </w:t>
      </w:r>
      <w:r>
        <w:t xml:space="preserve">local projections of the all-items CPIs and of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for RQ5 (2001–2026). The</w:t>
      </w:r>
      <w:r>
        <w:t xml:space="preserve"> </w:t>
      </w:r>
      <w:r>
        <w:t xml:space="preserve">decisive horizons are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12</m:t>
        </m:r>
      </m:oMath>
      <w:r>
        <w:t xml:space="preserve">; for RQ4 we use a Bonferroni correction</w:t>
      </w:r>
      <w:r>
        <w:t xml:space="preserve"> </w:t>
      </w:r>
      <w:r>
        <w:t xml:space="preserve">across the two group tests, so each is judged at 5%. The robustness menu has fifteen</w:t>
      </w:r>
      <w:r>
        <w:t xml:space="preserve"> </w:t>
      </w:r>
      <w:r>
        <w:t xml:space="preserve">checks, lettered (a) to (o), listed in Table 6.</w:t>
      </w:r>
    </w:p>
    <w:p>
      <w:pPr>
        <w:pStyle w:val="BodyText"/>
      </w:pPr>
      <w:r>
        <w:rPr>
          <w:i/>
          <w:iCs/>
        </w:rPr>
        <w:t xml:space="preserve">Objective 3</w:t>
      </w:r>
      <w:r>
        <w:t xml:space="preserve"> </w:t>
      </w:r>
      <w:r>
        <w:t xml:space="preserve">applies the post-law pass-through, estimated only on data that end in</w:t>
      </w:r>
      <w:r>
        <w:t xml:space="preserve"> </w:t>
      </w:r>
      <w:r>
        <w:t xml:space="preserve">June 2024, to the July 2024 tariff cut, which lowers the peso cost of imports by</w:t>
      </w:r>
      <w:r>
        <w:t xml:space="preserve"> </w:t>
      </w:r>
      <m:oMath>
        <m:r>
          <m:t>100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1.15</m:t>
        </m:r>
        <m:r>
          <m:rPr>
            <m:sty m:val="p"/>
          </m:rPr>
          <m:t>/</m:t>
        </m:r>
        <m:r>
          <m:t>1.35</m:t>
        </m:r>
        <m:r>
          <m:rPr>
            <m:sty m:val="p"/>
          </m:rPr>
          <m:t>)</m:t>
        </m:r>
      </m:oMath>
      <w:r>
        <w:t xml:space="preserve"> </w:t>
      </w:r>
      <w:r>
        <w:t xml:space="preserve">= −16.0 log points. The predicted change in the rice CPI from</w:t>
      </w:r>
      <w:r>
        <w:t xml:space="preserve"> </w:t>
      </w:r>
      <w:r>
        <w:t xml:space="preserve">June 2024 to month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; we compare it with the actual</w:t>
      </w:r>
      <w:r>
        <w:t xml:space="preserve"> </w:t>
      </w:r>
      <w:r>
        <w:t xml:space="preserve">change, by region, and convert the tariff part into pesos for a poverty-line family of</w:t>
      </w:r>
      <w:r>
        <w:t xml:space="preserve"> </w:t>
      </w:r>
      <w:r>
        <w:t xml:space="preserve">five, using the PSA’s 2023 poverty threshold (PHP 13,873 a month) and the</w:t>
      </w:r>
      <w:r>
        <w:t xml:space="preserve"> </w:t>
      </w:r>
      <w:r>
        <w:t xml:space="preserve">bottom-30% rice weight. The 2025 suspension is analysed descriptively (exploratory).</w:t>
      </w:r>
    </w:p>
    <w:bookmarkEnd w:id="38"/>
    <w:bookmarkStart w:id="42" w:name="validation-the-replication-gate"/>
    <w:p>
      <w:pPr>
        <w:pStyle w:val="Heading2"/>
      </w:pPr>
      <w:r>
        <w:t xml:space="preserve">4.4 Validation: the replication gate</w:t>
      </w:r>
    </w:p>
    <w:p>
      <w:pPr>
        <w:pStyle w:val="FirstParagraph"/>
      </w:pPr>
      <w:r>
        <w:t xml:space="preserve">We fixed the pass criteria before downloading any data (Table 2). The data replication</w:t>
      </w:r>
      <w:r>
        <w:t xml:space="preserve"> </w:t>
      </w:r>
      <w:r>
        <w:t xml:space="preserve">is exact: our regional rice CPI means and standard deviations for 1994M1–2023M3 equal</w:t>
      </w:r>
      <w:r>
        <w:t xml:space="preserve"> </w:t>
      </w:r>
      <w:r>
        <w:t xml:space="preserve">those in Antonio et al.’s Table 1 in all 17 regions (largest deviation</w:t>
      </w:r>
      <w:r>
        <w:t xml:space="preserve"> </w:t>
      </w:r>
      <w:r>
        <w:t xml:space="preserve">0.000), and their</w:t>
      </w:r>
      <w:r>
        <w:t xml:space="preserve"> </w:t>
      </w:r>
      <w:r>
        <w:t xml:space="preserve">“fuel price”</w:t>
      </w:r>
      <w:r>
        <w:t xml:space="preserve"> </w:t>
      </w:r>
      <w:r>
        <w:t xml:space="preserve">turns out to be CPI item 07.2.2, transport</w:t>
      </w:r>
      <w:r>
        <w:t xml:space="preserve"> </w:t>
      </w:r>
      <w:r>
        <w:t xml:space="preserve">fuels (the other candidate deviates by 6.3 points). Our panel VAR</w:t>
      </w:r>
      <w:r>
        <w:t xml:space="preserve"> </w:t>
      </w:r>
      <w:r>
        <w:t xml:space="preserve">replica reproduces their main response: a one-standard-deviation world price shock</w:t>
      </w:r>
      <w:r>
        <w:t xml:space="preserve"> </w:t>
      </w:r>
      <w:r>
        <w:t xml:space="preserve">raises rice inflation by 0.256 points after one month (95% band 0.215 to</w:t>
      </w:r>
      <w:r>
        <w:t xml:space="preserve"> </w:t>
      </w:r>
      <w:r>
        <w:t xml:space="preserve">0.303), the peak, and the response is gone by month six</w:t>
      </w:r>
      <w:r>
        <w:t xml:space="preserve"> </w:t>
      </w:r>
      <w:r>
        <w:t xml:space="preserve">(0.002). The gate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on the third criterion: the peak response in</w:t>
      </w:r>
      <w:r>
        <w:t xml:space="preserve"> </w:t>
      </w:r>
      <w:r>
        <w:t xml:space="preserve">rice-deficit regions is 1.26 times that in surplus regions, below the</w:t>
      </w:r>
      <w:r>
        <w:t xml:space="preserve"> </w:t>
      </w:r>
      <w:r>
        <w:t xml:space="preserve">pre-registered range of 1.3 to 3.0, and the peak in high-poverty regions is not below</w:t>
      </w:r>
      <w:r>
        <w:t xml:space="preserve"> </w:t>
      </w:r>
      <w:r>
        <w:t xml:space="preserve">that in low-poverty regions. No coding error was found, and two lags give the same</w:t>
      </w:r>
      <w:r>
        <w:t xml:space="preserve"> </w:t>
      </w:r>
      <w:r>
        <w:t xml:space="preserve">ratio (1.27). An exploratory look shows that the paper’s wording fits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impact</w:t>
      </w:r>
      <w:r>
        <w:t xml:space="preserve"> </w:t>
      </w:r>
      <w:r>
        <w:t xml:space="preserve">response better than the peak (impact ratio 1.69; low-</w:t>
      </w:r>
      <w:r>
        <w:t xml:space="preserve"> </w:t>
      </w:r>
      <w:r>
        <w:t xml:space="preserve">versus high-poverty impact 0.236 versus 0.102),</w:t>
      </w:r>
      <w:r>
        <w:t xml:space="preserve"> </w:t>
      </w:r>
      <w:r>
        <w:t xml:space="preserve">but we did not change the criterion. We proceeded with estimation (decision D11) because</w:t>
      </w:r>
      <w:r>
        <w:t xml:space="preserve"> </w:t>
      </w:r>
      <w:r>
        <w:t xml:space="preserve">the data and the core estimator are validated; region-group results (RQ4) are labelled</w:t>
      </w:r>
      <w:r>
        <w:t xml:space="preserve"> </w:t>
      </w:r>
      <w:r>
        <w:t xml:space="preserve">as not validated.</w:t>
      </w:r>
    </w:p>
    <w:p>
      <w:pPr>
        <w:pStyle w:val="TableCaption"/>
      </w:pPr>
      <w:r>
        <w:t xml:space="preserve">Table 2. Replication gate against Antonio et al. (2024), pre-registered 14 October 2026.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Replication gate against Antonio et al. (2024), pre-registered 14 October 2026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rice CPI means within 0.5 of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of 17 (median |dev| 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rice CPI SDs within 0.5 of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of 17 (median |dev| 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G1b fuel CPI means within 0.5 (better candidate)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cpi_fuel_tr: 17 of 17 (median |dev| 0.000; other cpi_fuel_hh: 6.338)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G2(i) THAI-&gt;RPI 95% band above zero at h=1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irf 0.256 [0.215, 0.303]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G2(ii) THAI-&gt;RPI peaks at h=1 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in {1,2}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at h=1 (0.256)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G2(iii) THAI-&gt;RPI below 25% of peak by h=6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 x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h=6: 0.002 (0.01 of 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G2(iv) FPI-&gt;RPI positive at h=0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 [0.143, 0.143]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G2(v) FPI-&gt;RPI below 25% of impact by h=3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 x 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h=3: -0.006 (-0.04 of 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peak ratio insufficient/sufficient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[1.3, 3.0]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 (0.296 / 0.235)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peak high poverty &lt; low poverty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&lt;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0.260 vs low 0.255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4800600" cy="2365513"/>
            <wp:effectExtent b="0" l="0" r="0" t="0"/>
            <wp:docPr descr="Replication. Left: regional means (circles) and standard deviations (squares) of the rice CPI, 1994M1–2023M3, in Antonio et al. (2024, Table 1) and in this study; the line is equality. Right: response of regional rice inflation (percentage points) to a one-standard-deviation world rice price shock in the panel VAR replica, with the 95% Monte Carlo band (grey)." title="" id="40" name="Picture"/>
            <a:graphic>
              <a:graphicData uri="http://schemas.openxmlformats.org/drawingml/2006/picture">
                <pic:pic>
                  <pic:nvPicPr>
                    <pic:cNvPr descr="../output/figures/fig12_valida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Replication. Left: regional means (circles) and standard deviations (squares) of the rice CPI, 1994M1–2023M3, in Antonio et al. (2024, Table 1) and in this study; the line is equality. Right: response of regional rice inflation (percentage points) to a one-standard-deviation world rice price shock in the panel VAR replica, with the 95% Monte Carlo band (grey).</w:t>
      </w:r>
    </w:p>
    <w:bookmarkEnd w:id="42"/>
    <w:bookmarkStart w:id="43" w:name="software-and-reproducibility"/>
    <w:p>
      <w:pPr>
        <w:pStyle w:val="Heading2"/>
      </w:pPr>
      <w:r>
        <w:t xml:space="preserve">4.5 Software and reproducibility</w:t>
      </w:r>
    </w:p>
    <w:p>
      <w:pPr>
        <w:pStyle w:val="FirstParagraph"/>
      </w:pPr>
      <w:r>
        <w:t xml:space="preserve">Python 3 with pandas, statsmodels and linearmodels; figures in matplotlib; documents</w:t>
      </w:r>
      <w:r>
        <w:t xml:space="preserve"> </w:t>
      </w:r>
      <w:r>
        <w:t xml:space="preserve">rendered from templates with Jinja2 and pandoc. Raw files are kept unchanged; every</w:t>
      </w:r>
      <w:r>
        <w:t xml:space="preserve"> </w:t>
      </w:r>
      <w:r>
        <w:t xml:space="preserve">output and every number in this paper is regenerated by</w:t>
      </w:r>
      <w:r>
        <w:t xml:space="preserve"> </w:t>
      </w:r>
      <w:r>
        <w:rPr>
          <w:rStyle w:val="VerbatimChar"/>
        </w:rPr>
        <w:t xml:space="preserve">./run_all.sh</w:t>
      </w:r>
      <w:r>
        <w:t xml:space="preserve">.</w:t>
      </w:r>
    </w:p>
    <w:bookmarkEnd w:id="43"/>
    <w:bookmarkStart w:id="44" w:name="ethics"/>
    <w:p>
      <w:pPr>
        <w:pStyle w:val="Heading2"/>
      </w:pPr>
      <w:r>
        <w:t xml:space="preserve">4.6 Ethics</w:t>
      </w:r>
    </w:p>
    <w:p>
      <w:pPr>
        <w:pStyle w:val="FirstParagraph"/>
      </w:pPr>
      <w:r>
        <w:t xml:space="preserve">The study uses only published aggregate statistics; no human subjects are involved.</w:t>
      </w:r>
    </w:p>
    <w:bookmarkEnd w:id="44"/>
    <w:bookmarkEnd w:id="45"/>
    <w:bookmarkStart w:id="82" w:name="chapter-5.-results-and-discussion"/>
    <w:p>
      <w:pPr>
        <w:pStyle w:val="Heading1"/>
      </w:pPr>
      <w:r>
        <w:t xml:space="preserve">Chapter 5. Results and Discussion</w:t>
      </w:r>
    </w:p>
    <w:bookmarkStart w:id="55" w:name="Xa0a798fc6f02fa1a740ef78c4efd81e2657f6dc"/>
    <w:p>
      <w:pPr>
        <w:pStyle w:val="Heading2"/>
      </w:pPr>
      <w:r>
        <w:t xml:space="preserve">5.1 Objective 1: rice prices before and after the law</w:t>
      </w:r>
    </w:p>
    <w:p>
      <w:pPr>
        <w:pStyle w:val="FirstParagraph"/>
      </w:pPr>
      <w:r>
        <w:t xml:space="preserve">Figure 2 shows the rice CPI and the world rice price in pesos since 1995. Until 2008 the</w:t>
      </w:r>
      <w:r>
        <w:t xml:space="preserve"> </w:t>
      </w:r>
      <w:r>
        <w:t xml:space="preserve">two move together loosely; the 2008 world price spike passes into domestic prices with</w:t>
      </w:r>
      <w:r>
        <w:t xml:space="preserve"> </w:t>
      </w:r>
      <w:r>
        <w:t xml:space="preserve">a lag and a smaller amplitude. Between 2012 and 2018, under quotas, the domestic price</w:t>
      </w:r>
      <w:r>
        <w:t xml:space="preserve"> </w:t>
      </w:r>
      <w:r>
        <w:t xml:space="preserve">stays well above the world price and barely reacts to it. After 2019 the two move</w:t>
      </w:r>
      <w:r>
        <w:t xml:space="preserve"> </w:t>
      </w:r>
      <w:r>
        <w:t xml:space="preserve">together much more closely, including the 2023 spike and the 2025 fall, until the</w:t>
      </w:r>
      <w:r>
        <w:t xml:space="preserve"> </w:t>
      </w:r>
      <w:r>
        <w:t xml:space="preserve">domestic surge of early 2026 at a time of stable world prices.</w:t>
      </w:r>
    </w:p>
    <w:p>
      <w:pPr>
        <w:pStyle w:val="CaptionedFigure"/>
      </w:pPr>
      <w:r>
        <w:drawing>
          <wp:inline>
            <wp:extent cx="5067300" cy="2282198"/>
            <wp:effectExtent b="0" l="0" r="0" t="0"/>
            <wp:docPr descr="Rice consumer price index (PSA) and the world rice price (Thai 5%) in pesos, monthly, index 2018 average = 100, log scale. Dotted lines mark the Rice Tariffication Law (March 2019), the 15% tariff (July 2024) and the import suspension (September 2025)." title="" id="47" name="Picture"/>
            <a:graphic>
              <a:graphicData uri="http://schemas.openxmlformats.org/drawingml/2006/picture">
                <pic:pic>
                  <pic:nvPicPr>
                    <pic:cNvPr descr="../output/figures/fig02_long_ru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8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Rice consumer price index (PSA) and the world rice price (Thai 5%) in pesos, monthly, index 2018 average = 100, log scale. Dotted lines mark the Rice Tariffication Law (March 2019), the 15% tariff (July 2024) and the import suspension (September 2025).</w:t>
      </w:r>
    </w:p>
    <w:p>
      <w:pPr>
        <w:pStyle w:val="BodyText"/>
      </w:pPr>
      <w:r>
        <w:t xml:space="preserve">Table 3 summarises rice inflation by period. Under quotas (2009 to February 2019)</w:t>
      </w:r>
      <w:r>
        <w:t xml:space="preserve"> </w:t>
      </w:r>
      <w:r>
        <w:t xml:space="preserve">monthly rice inflation was calm, with a standard deviation of 0.82</w:t>
      </w:r>
      <w:r>
        <w:t xml:space="preserve"> </w:t>
      </w:r>
      <w:r>
        <w:t xml:space="preserve">points. It rose to 1.52 under the 35% tariff and to</w:t>
      </w:r>
      <w:r>
        <w:t xml:space="preserve"> </w:t>
      </w:r>
      <w:r>
        <w:t xml:space="preserve">2.33 after July 2024: an open border imports world volatility. In the</w:t>
      </w:r>
      <w:r>
        <w:t xml:space="preserve"> </w:t>
      </w:r>
      <w:r>
        <w:t xml:space="preserve">law’s first year (2019) the rice CPI fell by −10.1% (December to</w:t>
      </w:r>
      <w:r>
        <w:t xml:space="preserve"> </w:t>
      </w:r>
      <w:r>
        <w:t xml:space="preserve">December), and by −11.8% for the bottom 30%. In 2023, when world</w:t>
      </w:r>
      <w:r>
        <w:t xml:space="preserve"> </w:t>
      </w:r>
      <w:r>
        <w:t xml:space="preserve">prices spiked, it rose by 17.9%, contributing about</w:t>
      </w:r>
      <w:r>
        <w:t xml:space="preserve"> </w:t>
      </w:r>
      <w:r>
        <w:t xml:space="preserve">1.6 percentage points to headline inflation for all</w:t>
      </w:r>
      <w:r>
        <w:t xml:space="preserve"> </w:t>
      </w:r>
      <w:r>
        <w:t xml:space="preserve">households and 3.5 for the bottom 30% (Table 4).</w:t>
      </w:r>
    </w:p>
    <w:p>
      <w:pPr>
        <w:pStyle w:val="TableCaption"/>
      </w:pPr>
      <w:r>
        <w:t xml:space="preserve">Table 3. Rice CPI inflation and world rice price changes by period (national; annualised means of monthly log changes, and standard deviations of monthly changes).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 Rice CPI inflation and world rice price changes by period (national; annualised means of monthly log changes, and standard deviations of monthly changes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CPI, % a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CPI, SD 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 rice (PHP), % a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World, SD 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1995M1-2007M9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2007M10-2008M12 (world crisis)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2009M1-2019M2 (quotas)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2019M3-2024M6 (35% tariff)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2024M7-2026M9 (15% tariff, suspension, indexed tariff)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p/>
    <w:p>
      <w:pPr>
        <w:pStyle w:val="TableCaption"/>
      </w:pPr>
      <w:r>
        <w:t xml:space="preserve">Table 4. Annual inflation (December to December, log points) and the approximate contribution of rice to headline inflation (2018 rice weight × rice inflation). 2026 is September 2025 to September 2026.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 Annual inflation (December to December, log points) and the approximate contribution of rice to headline inflation (2018 rice weight × rice inflation). 2026 is September 2025 to September 2026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Rice,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Rice, bottom 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Headline,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Headline, bottom 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 rice (PHP)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contribution,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contribution, bottom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</w:t>
            </w:r>
          </w:p>
        </w:tc>
      </w:tr>
    </w:tbl>
    <w:p>
      <w:pPr>
        <w:pStyle w:val="BodyText"/>
      </w:pPr>
      <w:r>
        <w:t xml:space="preserve">Regional rice prices also converged. The coefficient of variation of retail</w:t>
      </w:r>
      <w:r>
        <w:t xml:space="preserve"> </w:t>
      </w:r>
      <w:r>
        <w:t xml:space="preserve">regular-milled rice prices across regions fell from 6.7% in 2015–2017 to</w:t>
      </w:r>
      <w:r>
        <w:t xml:space="preserve"> </w:t>
      </w:r>
      <w:r>
        <w:t xml:space="preserve">4.1% in 2021–2024, a sign of better-integrated regional markets, before</w:t>
      </w:r>
      <w:r>
        <w:t xml:space="preserve"> </w:t>
      </w:r>
      <w:r>
        <w:t xml:space="preserve">rising to 5.6% in 2026 (Figure 3). The border gap (Figure 4) fell from an</w:t>
      </w:r>
      <w:r>
        <w:t xml:space="preserve"> </w:t>
      </w:r>
      <w:r>
        <w:t xml:space="preserve">average of 46 log points under quotas (2010 to February 2019) to</w:t>
      </w:r>
      <w:r>
        <w:t xml:space="preserve"> </w:t>
      </w:r>
      <w:r>
        <w:t xml:space="preserve">35 under the 35% tariff, and rose again to</w:t>
      </w:r>
      <w:r>
        <w:t xml:space="preserve"> </w:t>
      </w:r>
      <w:r>
        <w:t xml:space="preserve">46 after the tariff cut. We identify</w:t>
      </w:r>
      <w:r>
        <w:t xml:space="preserve"> </w:t>
      </w:r>
      <w:r>
        <w:t xml:space="preserve">11 world price episodes since 1995 (Annex Table A1). Before the</w:t>
      </w:r>
      <w:r>
        <w:t xml:space="preserve"> </w:t>
      </w:r>
      <w:r>
        <w:t xml:space="preserve">law, world price shocks were followed by rice inflation with a correlation of at most</w:t>
      </w:r>
      <w:r>
        <w:t xml:space="preserve"> </w:t>
      </w:r>
      <w:r>
        <w:t xml:space="preserve">0.28; after the law, by up to 0.35 at a lag of</w:t>
      </w:r>
      <w:r>
        <w:t xml:space="preserve"> </w:t>
      </w:r>
      <w:r>
        <w:t xml:space="preserve">4 months. Rice CPI levels are not stationary (augmented Dickey–Fuller</w:t>
      </w:r>
      <w:r>
        <w:t xml:space="preserve"> </w:t>
      </w:r>
      <w:r>
        <w:t xml:space="preserve">p = 0.26); monthly changes are, which is why we model changes.</w:t>
      </w:r>
    </w:p>
    <w:p>
      <w:pPr>
        <w:pStyle w:val="CaptionedFigure"/>
      </w:pPr>
      <w:r>
        <w:drawing>
          <wp:inline>
            <wp:extent cx="4267200" cy="2442196"/>
            <wp:effectExtent b="0" l="0" r="0" t="0"/>
            <wp:docPr descr="Coefficient of variation (%) of the annual average retail price of regular-milled rice across the 17 regions. The dotted line marks the Rice Tariffication Law." title="" id="50" name="Picture"/>
            <a:graphic>
              <a:graphicData uri="http://schemas.openxmlformats.org/drawingml/2006/picture">
                <pic:pic>
                  <pic:nvPicPr>
                    <pic:cNvPr descr="../output/figures/fig14_regional_dispersi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Coefficient of variation (%) of the annual average retail price of regular-milled rice across the 17 regions. The dotted line marks the Rice Tariffication Law.</w:t>
      </w:r>
    </w:p>
    <w:p>
      <w:pPr>
        <w:pStyle w:val="CaptionedFigure"/>
      </w:pPr>
      <w:r>
        <w:drawing>
          <wp:inline>
            <wp:extent cx="5067300" cy="2184619"/>
            <wp:effectExtent b="0" l="0" r="0" t="0"/>
            <wp:docPr descr="Border gap: 100 × ln of the domestic price of regular-milled rice (wholesale, solid; retail, dashed) over the world price (Thai 5%) in pesos per kilogram, monthly 2010–2026." title="" id="53" name="Picture"/>
            <a:graphic>
              <a:graphicData uri="http://schemas.openxmlformats.org/drawingml/2006/picture">
                <pic:pic>
                  <pic:nvPicPr>
                    <pic:cNvPr descr="../output/figures/fig03_border_gap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84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Border gap: 100 × ln of the domestic price of regular-milled rice (wholesale, solid; retail, dashed) over the world price (Thai 5%) in pesos per kilogram, monthly 2010–2026.</w:t>
      </w:r>
    </w:p>
    <w:bookmarkEnd w:id="55"/>
    <w:bookmarkStart w:id="71" w:name="objective-2-pass-through-and-the-law"/>
    <w:p>
      <w:pPr>
        <w:pStyle w:val="Heading2"/>
      </w:pPr>
      <w:r>
        <w:t xml:space="preserve">5.2 Objective 2: pass-through and the law</w:t>
      </w:r>
    </w:p>
    <w:p>
      <w:pPr>
        <w:pStyle w:val="FirstParagraph"/>
      </w:pPr>
      <w:r>
        <w:rPr>
          <w:b/>
          <w:bCs/>
        </w:rPr>
        <w:t xml:space="preserve">RQ1: consumer rice prices.</w:t>
      </w:r>
      <w:r>
        <w:t xml:space="preserve"> </w:t>
      </w:r>
      <w:r>
        <w:t xml:space="preserve">Over the whole period, a 1% rise in the world price</w:t>
      </w:r>
      <w:r>
        <w:t xml:space="preserve"> </w:t>
      </w:r>
      <w:r>
        <w:t xml:space="preserve">raises regional rice CPIs by 0.23 percentage points within six months and</w:t>
      </w:r>
      <w:r>
        <w:t xml:space="preserve"> </w:t>
      </w:r>
      <w:r>
        <w:t xml:space="preserve">0.24 within twelve. Table 5 and Figure 5 split this by regime. Before</w:t>
      </w:r>
      <w:r>
        <w:t xml:space="preserve"> </w:t>
      </w:r>
      <w:r>
        <w:t xml:space="preserve">the law, pass-through at six months was 0.16 (0.05); after</w:t>
      </w:r>
      <w:r>
        <w:t xml:space="preserve"> </w:t>
      </w:r>
      <w:r>
        <w:t xml:space="preserve">it, 0.46 (0.14), about 2.9 times larger.</w:t>
      </w:r>
      <w:r>
        <w:t xml:space="preserve"> </w:t>
      </w:r>
      <w:r>
        <w:t xml:space="preserve">The change θ</w:t>
      </w:r>
      <w:r>
        <w:rPr>
          <w:vertAlign w:val="subscript"/>
        </w:rPr>
        <w:t xml:space="preserve">6</w:t>
      </w:r>
      <w:r>
        <w:t xml:space="preserve"> </w:t>
      </w:r>
      <w:r>
        <w:t xml:space="preserve">= 0.30 (0.16) is significant at the 10%</w:t>
      </w:r>
      <w:r>
        <w:t xml:space="preserve"> </w:t>
      </w:r>
      <w:r>
        <w:t xml:space="preserve">level only (p = 0.06); at twelve months it is 0.20</w:t>
      </w:r>
      <w:r>
        <w:t xml:space="preserve"> </w:t>
      </w:r>
      <w:r>
        <w:t xml:space="preserve">(0.21, p = 0.34), not significant. The national rice CPI</w:t>
      </w:r>
      <w:r>
        <w:t xml:space="preserve"> </w:t>
      </w:r>
      <w:r>
        <w:t xml:space="preserve">gives the same picture (0.16 before, 0.44 after).</w:t>
      </w:r>
      <w:r>
        <w:t xml:space="preserve"> </w:t>
      </w:r>
      <w:r>
        <w:t xml:space="preserve">So the evidence supports H1a at six months, weakly, and cannot reject H1b at twelve.</w:t>
      </w:r>
    </w:p>
    <w:p>
      <w:pPr>
        <w:pStyle w:val="TableCaption"/>
      </w:pPr>
      <w:r>
        <w:t xml:space="preserve">Table 5. Cumulative pass-through of a 1% world rice price change (pesos) to regional rice CPIs, percentage points; Driscoll–Kraay standard errors in parentheses; *, **, *** significant at 10%, 5%, 1%. 17 regions, 1995M1–2026M9.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Cumulative pass-through of a 1% world rice price change (pesos) to regional rice CPIs, percentage points; Driscoll–Kraay standard errors in parentheses; *, **, *** significant at 10%, 5%, 1%. 17 regions, 1995M1–2026M9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Months (h)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 the law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 the law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 (0.02)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0.07** (0.03)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(0.04)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0.15** (0.06)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0.30*** (0.10)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0.16*** (0.05)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0.46*** (0.14)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0.17*** (0.05)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0.48*** (0.15)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0.20*** (0.07)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0.40**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</w:tr>
    </w:tbl>
    <w:p>
      <w:pPr>
        <w:pStyle w:val="CaptionedFigure"/>
      </w:pPr>
      <w:r>
        <w:drawing>
          <wp:inline>
            <wp:extent cx="4267200" cy="2742994"/>
            <wp:effectExtent b="0" l="0" r="0" t="0"/>
            <wp:docPr descr="Cumulative response of regional rice CPIs to a 1% rise in the world rice price in pesos, before the law (solid, grey 90% band) and after it (dashed, dotted 90% band), percentage points." title="" id="57" name="Picture"/>
            <a:graphic>
              <a:graphicData uri="http://schemas.openxmlformats.org/drawingml/2006/picture">
                <pic:pic>
                  <pic:nvPicPr>
                    <pic:cNvPr descr="../output/figures/fig04_rq1_passthrough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4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response of regional rice CPIs to a 1% rise in the world rice price in pesos, before the law (solid, grey 90% band) and after it (dashed, dotted 90% band), percentage points.</w:t>
      </w:r>
    </w:p>
    <w:p>
      <w:pPr>
        <w:pStyle w:val="BodyText"/>
      </w:pPr>
      <w:r>
        <w:t xml:space="preserve">The robustness checks (Table 6, Figure 6) show where the result is solid and where it</w:t>
      </w:r>
      <w:r>
        <w:t xml:space="preserve"> </w:t>
      </w:r>
      <w:r>
        <w:t xml:space="preserve">is fragile. The change at six months ranges from 0.13 to 0.44 across</w:t>
      </w:r>
      <w:r>
        <w:t xml:space="preserve"> </w:t>
      </w:r>
      <w:r>
        <w:t xml:space="preserve">the checks and keeps its 90% band above zero in 12 of 15</w:t>
      </w:r>
      <w:r>
        <w:t xml:space="preserve"> </w:t>
      </w:r>
      <w:r>
        <w:t xml:space="preserve">checks with standard errors; at twelve months it ranges from 0.06 to</w:t>
      </w:r>
      <w:r>
        <w:t xml:space="preserve"> </w:t>
      </w:r>
      <w:r>
        <w:t xml:space="preserve">0.40 and its band excludes zero in 2. It</w:t>
      </w:r>
      <w:r>
        <w:t xml:space="preserve"> </w:t>
      </w:r>
      <w:r>
        <w:t xml:space="preserve">is larger without the 2007–08 crisis (0.37), without 2020</w:t>
      </w:r>
      <w:r>
        <w:t xml:space="preserve"> </w:t>
      </w:r>
      <w:r>
        <w:t xml:space="preserve">(0.39), and in a window of seven years on each side of the law</w:t>
      </w:r>
      <w:r>
        <w:t xml:space="preserve"> </w:t>
      </w:r>
      <w:r>
        <w:t xml:space="preserve">(0.44, significant at 5%, and 0.40 at</w:t>
      </w:r>
      <w:r>
        <w:t xml:space="preserve"> </w:t>
      </w:r>
      <w:r>
        <w:t xml:space="preserve">twelve months). It weakens with the Vietnamese price (0.33, imprecise)</w:t>
      </w:r>
      <w:r>
        <w:t xml:space="preserve"> </w:t>
      </w:r>
      <w:r>
        <w:t xml:space="preserve">and, importantly, with data ending in June 2024: then the change at six months is only</w:t>
      </w:r>
      <w:r>
        <w:t xml:space="preserve"> </w:t>
      </w:r>
      <w:r>
        <w:t xml:space="preserve">0.13 (0.18). With macroeconomic controls</w:t>
      </w:r>
      <w:r>
        <w:t xml:space="preserve"> </w:t>
      </w:r>
      <w:r>
        <w:t xml:space="preserve">the change at twelve months falls to 0.06. Leaving out any one</w:t>
      </w:r>
      <w:r>
        <w:t xml:space="preserve"> </w:t>
      </w:r>
      <w:r>
        <w:t xml:space="preserve">region changes</w:t>
      </w:r>
      <w:r>
        <w:t xml:space="preserve"> </w:t>
      </w:r>
      <m:oMath>
        <m:sSub>
          <m:e>
            <m:r>
              <m:t>θ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only within 0.29 to 0.32. A placebo</w:t>
      </w:r>
      <w:r>
        <w:t xml:space="preserve"> </w:t>
      </w:r>
      <w:r>
        <w:t xml:space="preserve">law date in March 2016, within the quota period, gives 0.07</w:t>
      </w:r>
      <w:r>
        <w:t xml:space="preserve"> </w:t>
      </w:r>
      <w:r>
        <w:t xml:space="preserve">(0.10), not significant. Standard errors clustered only by region are</w:t>
      </w:r>
      <w:r>
        <w:t xml:space="preserve"> </w:t>
      </w:r>
      <w:r>
        <w:t xml:space="preserve">several times smaller and overstate precision, as Section 3.9 warned.</w:t>
      </w:r>
    </w:p>
    <w:p>
      <w:pPr>
        <w:pStyle w:val="TableCaption"/>
      </w:pPr>
      <w:r>
        <w:t xml:space="preserve">Table 6. Robustness of the change in pass-through after the law, θ, at 6 and 12 months (percentage points per 1%); standard errors in parentheses; for (l) the range across the 17 leave-one-out estimates.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. Robustness of the change in pass-through after the law, θ, at 6 and 12 months (percentage points per 1%); standard errors in parentheses; for (l) the range across the 17 leave-one-out estimat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θ, h =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θ, h =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Real 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 Viet 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 (0.22)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 (0.26)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 USD price + FX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 (0.26)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(d) Macro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0.28** (0.14)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 (0.16)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(e) 6 lags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(e) 18 lags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(f) Without 2007–08 crisis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0.37** (0.15)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 (0.20)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(g) Without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0.39**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Ending June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(i) 2012–2026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0.44** (0.20)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0.40* (0.24)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(j) Asymmetry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0.33** (0.15)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 (0.20)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(k) Drop chained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(o) Clustered 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0.30*** (0.03)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0.20*** (0.03)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(l) Leave one region out (range)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 to 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 to 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(m) Separate pre/post models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0.25*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 (0.10)</w:t>
            </w:r>
          </w:p>
        </w:tc>
      </w:tr>
    </w:tbl>
    <w:p>
      <w:pPr>
        <w:pStyle w:val="CaptionedFigure"/>
      </w:pPr>
      <w:r>
        <w:drawing>
          <wp:inline>
            <wp:extent cx="5067300" cy="2748849"/>
            <wp:effectExtent b="0" l="0" r="0" t="0"/>
            <wp:docPr descr="Change in cumulative pass-through after the law at 6 months (left) and 12 months (right) across the robustness checks: point estimates with 90% intervals; for (l) the range across leave-one-region-out estimates. The dashed line is the baseline." title="" id="60" name="Picture"/>
            <a:graphic>
              <a:graphicData uri="http://schemas.openxmlformats.org/drawingml/2006/picture">
                <pic:pic>
                  <pic:nvPicPr>
                    <pic:cNvPr descr="../output/figures/fig08_robustnes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4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in cumulative pass-through after the law at 6 months (left) and 12 months (right) across the robustness checks: point estimates with 90% intervals; for (l) the range across leave-one-region-out estimates. The dashed line is the baseline.</w:t>
      </w:r>
    </w:p>
    <w:p>
      <w:pPr>
        <w:pStyle w:val="BodyText"/>
      </w:pPr>
      <w:r>
        <w:rPr>
          <w:b/>
          <w:bCs/>
        </w:rPr>
        <w:t xml:space="preserve">RQ2: along the chain.</w:t>
      </w:r>
      <w:r>
        <w:t xml:space="preserve"> </w:t>
      </w:r>
      <w:r>
        <w:t xml:space="preserve">The clearest result of the study is in Table 7 and Figure 7.</w:t>
      </w:r>
      <w:r>
        <w:t xml:space="preserve"> </w:t>
      </w:r>
      <w:r>
        <w:t xml:space="preserve">From 2011 to February 2019, pass-through to farmgate, wholesale and retail prices was</w:t>
      </w:r>
      <w:r>
        <w:t xml:space="preserve"> </w:t>
      </w:r>
      <w:r>
        <w:t xml:space="preserve">statistically zero at every stage. After the law, six-month pass-through is</w:t>
      </w:r>
      <w:r>
        <w:t xml:space="preserve"> </w:t>
      </w:r>
      <w:r>
        <w:t xml:space="preserve">0.74 for farmgate palay, 0.61 for</w:t>
      </w:r>
      <w:r>
        <w:t xml:space="preserve"> </w:t>
      </w:r>
      <w:r>
        <w:t xml:space="preserve">wholesale rice and 0.53 for retail rice; all changes are</w:t>
      </w:r>
      <w:r>
        <w:t xml:space="preserve"> </w:t>
      </w:r>
      <w:r>
        <w:t xml:space="preserve">significant at six months. At twelve months the changes are smaller and less precise.</w:t>
      </w:r>
      <w:r>
        <w:t xml:space="preserve"> </w:t>
      </w:r>
      <w:r>
        <w:t xml:space="preserve">Farmgate pass-through is the largest, which supports H2: as the framework predicts,</w:t>
      </w:r>
      <w:r>
        <w:t xml:space="preserve"> </w:t>
      </w:r>
      <w:r>
        <w:t xml:space="preserve">the price farmers receive now moves more, in percent, than the price consumers pay. The</w:t>
      </w:r>
      <w:r>
        <w:t xml:space="preserve"> </w:t>
      </w:r>
      <w:r>
        <w:t xml:space="preserve">regional farmgate panel gives a similar post-law value (0.77).</w:t>
      </w:r>
      <w:r>
        <w:t xml:space="preserve"> </w:t>
      </w:r>
      <w:r>
        <w:t xml:space="preserve">In this window the pre-law consumer pass-through is near zero rather than the</w:t>
      </w:r>
      <w:r>
        <w:t xml:space="preserve"> </w:t>
      </w:r>
      <w:r>
        <w:t xml:space="preserve">0.16 of the long sample, because the 1995–2008 years, when world and</w:t>
      </w:r>
      <w:r>
        <w:t xml:space="preserve"> </w:t>
      </w:r>
      <w:r>
        <w:t xml:space="preserve">domestic prices moved together, are excluded.</w:t>
      </w:r>
    </w:p>
    <w:p>
      <w:pPr>
        <w:pStyle w:val="TableCaption"/>
      </w:pPr>
      <w:r>
        <w:t xml:space="preserve">Table 7. Cumulative pass-through to national farmgate, wholesale and retail rice prices and the rice CPI, before and after the law, 2011M1–2026M9; Newey–West standard errors in parentheses.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 Cumulative pass-through to national farmgate, wholesale and retail rice prices and the rice CPI, before and after the law, 2011M1–2026M9; Newey–West standard errors in parenthese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Before, h=12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After, h=12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Change, h=12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Farmgate palay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(0.22)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0.74*** (0.25)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0.74** (0.35)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(0.29)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0.59*** (0.20)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 (0.39)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 RMR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 (0.19)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0.61***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0.77*** (0.26)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 (0.29)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0.50***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 (0.39)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RMR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0.53***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0.56*** (0.19)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 (0.20)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0.45***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0.49* (0.29)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Rice CPI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 (0.11)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0.45*** (0.12)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0.48***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0.40*** (0.14)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0.44* (0.24)</w:t>
            </w:r>
          </w:p>
        </w:tc>
      </w:tr>
    </w:tbl>
    <w:p>
      <w:pPr>
        <w:pStyle w:val="CaptionedFigure"/>
      </w:pPr>
      <w:r>
        <w:drawing>
          <wp:inline>
            <wp:extent cx="5334000" cy="2473954"/>
            <wp:effectExtent b="0" l="0" r="0" t="0"/>
            <wp:docPr descr="Cumulative response of national farmgate palay, wholesale and retail regular-milled rice prices to a 1% world rice price rise, before (solid) and after (dashed) the law, with 90% bands." title="" id="63" name="Picture"/>
            <a:graphic>
              <a:graphicData uri="http://schemas.openxmlformats.org/drawingml/2006/picture">
                <pic:pic>
                  <pic:nvPicPr>
                    <pic:cNvPr descr="../output/figures/fig05_rq2_chai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response of national farmgate palay, wholesale and retail regular-milled rice prices to a 1% world rice price rise, before (solid) and after (dashed) the law, with 90% bands.</w:t>
      </w:r>
    </w:p>
    <w:p>
      <w:pPr>
        <w:pStyle w:val="BodyText"/>
      </w:pPr>
      <w:r>
        <w:rPr>
          <w:b/>
          <w:bCs/>
        </w:rPr>
        <w:t xml:space="preserve">RQ3: the border gap.</w:t>
      </w:r>
      <w:r>
        <w:t xml:space="preserve"> </w:t>
      </w:r>
      <w:r>
        <w:t xml:space="preserve">Table 8 shows that the wholesale–world gap fell by</w:t>
      </w:r>
      <w:r>
        <w:t xml:space="preserve"> </w:t>
      </w:r>
      <w:r>
        <w:t xml:space="preserve">−11.2 log points after the law (p =</w:t>
      </w:r>
      <w:r>
        <w:t xml:space="preserve"> </w:t>
      </w:r>
      <w:r>
        <w:t xml:space="preserve">0.089), and rose by 10.6 after the</w:t>
      </w:r>
      <w:r>
        <w:t xml:space="preserve"> </w:t>
      </w:r>
      <w:r>
        <w:t xml:space="preserve">2024 tariff cut (p = 0.020). Holding the world price</w:t>
      </w:r>
      <w:r>
        <w:t xml:space="preserve"> </w:t>
      </w:r>
      <w:r>
        <w:t xml:space="preserve">constant (columns 2 and 4), the gap moves −0.8 points</w:t>
      </w:r>
      <w:r>
        <w:t xml:space="preserve"> </w:t>
      </w:r>
      <w:r>
        <w:t xml:space="preserve">for each 1% rise in the world price, so domestic prices absorb only a small part of</w:t>
      </w:r>
      <w:r>
        <w:t xml:space="preserve"> </w:t>
      </w:r>
      <w:r>
        <w:t xml:space="preserve">world movements in</w:t>
      </w:r>
      <w:r>
        <w:t xml:space="preserve"> </w:t>
      </w:r>
      <w:r>
        <w:rPr>
          <w:i/>
          <w:iCs/>
        </w:rPr>
        <w:t xml:space="preserve">levels</w:t>
      </w:r>
      <w:r>
        <w:t xml:space="preserve">; the law dummy is then no longer negative, and the tariff</w:t>
      </w:r>
      <w:r>
        <w:t xml:space="preserve"> </w:t>
      </w:r>
      <w:r>
        <w:t xml:space="preserve">cut is associated with a gap 15.2 points wider. H3 is</w:t>
      </w:r>
      <w:r>
        <w:t xml:space="preserve"> </w:t>
      </w:r>
      <w:r>
        <w:t xml:space="preserve">rejected for the 2024 cut: lowering the duty by 20 points did not narrow the gap.</w:t>
      </w:r>
    </w:p>
    <w:p>
      <w:pPr>
        <w:pStyle w:val="TableCaption"/>
      </w:pPr>
      <w:r>
        <w:t xml:space="preserve">Table 8. Interrupted time-series regressions of the border gap (100 × ln domestic/world price), 2010M1–2026M9, with month dummies; Newey–West (12 lags) standard errors in parentheses. Columns (2) and (4) add the log world price.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8. Interrupted time-series regressions of the border gap (100 × ln domestic/world price), 2010M1–2026M9, with month dummies; Newey–West (12 lags) standard errors in parentheses. Columns (2) and (4) add the log world pric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Wholesale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Wholesale (2)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Retail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Retail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 in force (from Mar 2019)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−11.2* (6.6)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 (5.4)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−11.4 (7.2)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 (5.1)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tariff (from Jul 2024)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10.6** (4.5)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15.2*** (4.5)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9.4** (4.8)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14.6*** (3.6)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suspension (Sep–Dec 2025)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(4.3)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−13.8*** (4.2)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 (4.0)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−15.4*** (3.5)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price (log × 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−0.83*** (0.18)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−0.93*** (0.17)</w:t>
            </w:r>
          </w:p>
        </w:tc>
      </w:tr>
    </w:tbl>
    <w:p>
      <w:pPr>
        <w:pStyle w:val="BodyText"/>
      </w:pPr>
      <w:r>
        <w:rPr>
          <w:b/>
          <w:bCs/>
        </w:rPr>
        <w:t xml:space="preserve">RQ4: regions (not validated).</w:t>
      </w:r>
      <w:r>
        <w:t xml:space="preserve"> </w:t>
      </w:r>
      <w:r>
        <w:t xml:space="preserve">Table 9 and Figure 8 show no significant difference at</w:t>
      </w:r>
      <w:r>
        <w:t xml:space="preserve"> </w:t>
      </w:r>
      <w:r>
        <w:t xml:space="preserve">the decisive twelve-month horizon: the extra change in rice-deficit regions is</w:t>
      </w:r>
      <w:r>
        <w:t xml:space="preserve"> </w:t>
      </w:r>
      <w:r>
        <w:t xml:space="preserve">−0.05 (0.07) and in high-poverty regions</w:t>
      </w:r>
      <w:r>
        <w:t xml:space="preserve"> </w:t>
      </w:r>
      <w:r>
        <w:t xml:space="preserve">0.06 (0.05). At six months the high-poverty term is</w:t>
      </w:r>
      <w:r>
        <w:t xml:space="preserve"> </w:t>
      </w:r>
      <w:r>
        <w:t xml:space="preserve">0.09 (p = 0.03), below the Bonferroni threshold, but</w:t>
      </w:r>
      <w:r>
        <w:t xml:space="preserve"> </w:t>
      </w:r>
      <w:r>
        <w:t xml:space="preserve">this horizon was not the decisive one. We cannot reject H4b. Because the reference</w:t>
      </w:r>
      <w:r>
        <w:t xml:space="preserve"> </w:t>
      </w:r>
      <w:r>
        <w:t xml:space="preserve">paper’s group ordering did not replicate (Section 4.4), we put little weight on these</w:t>
      </w:r>
      <w:r>
        <w:t xml:space="preserve"> </w:t>
      </w:r>
      <w:r>
        <w:t xml:space="preserve">group results.</w:t>
      </w:r>
    </w:p>
    <w:p>
      <w:pPr>
        <w:pStyle w:val="TableCaption"/>
      </w:pPr>
      <w:r>
        <w:t xml:space="preserve">Table 9. Extra change in pass-through after the law in rice-deficit and high-poverty regions (θ on shock × post × group), percentage points per 1%; Driscoll–Kraay standard errors; Bonferroni threshold 5% for each test.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. Extra change in pass-through after the law in rice-deficit and high-poverty regions (θ on shock × post × group), percentage points per 1%; Driscoll–Kraay standard errors; Bonferroni threshold 5% for each tes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θ post×G,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θ post×G, h=12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Rice-deficit regions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 (0.05)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 (0.07)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High-poverty regions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0.09** (0.04)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 (0.05)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</w:tr>
    </w:tbl>
    <w:p>
      <w:pPr>
        <w:pStyle w:val="CaptionedFigure"/>
      </w:pPr>
      <w:r>
        <w:drawing>
          <wp:inline>
            <wp:extent cx="4267200" cy="2495909"/>
            <wp:effectExtent b="0" l="0" r="0" t="0"/>
            <wp:docPr descr="Extra change in cumulative pass-through after the law in rice-deficit regions (solid, grey band) and high-poverty regions (dashed, dotted band), percentage points per 1%, 90% bands." title="" id="66" name="Picture"/>
            <a:graphic>
              <a:graphicData uri="http://schemas.openxmlformats.org/drawingml/2006/picture">
                <pic:pic>
                  <pic:nvPicPr>
                    <pic:cNvPr descr="../output/figures/fig07_rq4_region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Extra change in cumulative pass-through after the law in rice-deficit regions (solid, grey band) and high-poverty regions (dashed, dotted band), percentage points per 1%, 90% bands.</w:t>
      </w:r>
    </w:p>
    <w:p>
      <w:pPr>
        <w:pStyle w:val="BodyText"/>
      </w:pPr>
      <w:r>
        <w:rPr>
          <w:b/>
          <w:bCs/>
        </w:rPr>
        <w:t xml:space="preserve">RQ5: the poor.</w:t>
      </w:r>
      <w:r>
        <w:t xml:space="preserve"> </w:t>
      </w:r>
      <w:r>
        <w:t xml:space="preserve">A 1% world rice price rise raises the all-items CPI of all households</w:t>
      </w:r>
      <w:r>
        <w:t xml:space="preserve"> </w:t>
      </w:r>
      <w:r>
        <w:t xml:space="preserve">by 0.045 percentage points within six months and that of the bottom 30% by</w:t>
      </w:r>
      <w:r>
        <w:t xml:space="preserve"> </w:t>
      </w:r>
      <w:r>
        <w:t xml:space="preserve">0.110, 2.4 times as much (Table 10, Figure 9). The inflation</w:t>
      </w:r>
      <w:r>
        <w:t xml:space="preserve"> </w:t>
      </w:r>
      <w:r>
        <w:t xml:space="preserve">gap falls by −0.060 (0.010): world rice shocks are regressive,</w:t>
      </w:r>
      <w:r>
        <w:t xml:space="preserve"> </w:t>
      </w:r>
      <w:r>
        <w:t xml:space="preserve">supporting H5. The difference in rice weights alone (17.9% against</w:t>
      </w:r>
      <w:r>
        <w:t xml:space="preserve"> </w:t>
      </w:r>
      <w:r>
        <w:t xml:space="preserve">8.9%) predicts a gap of −0.022, about 36% of</w:t>
      </w:r>
      <w:r>
        <w:t xml:space="preserve"> </w:t>
      </w:r>
      <w:r>
        <w:t xml:space="preserve">the estimate; the rest presumably comes from other foods whose prices follow rice, which</w:t>
      </w:r>
      <w:r>
        <w:t xml:space="preserve"> </w:t>
      </w:r>
      <w:r>
        <w:t xml:space="preserve">also weigh more for the poor. The law did not change the regressive pattern</w:t>
      </w:r>
      <w:r>
        <w:t xml:space="preserve"> </w:t>
      </w:r>
      <w:r>
        <w:t xml:space="preserve">(θ</w:t>
      </w:r>
      <w:r>
        <w:rPr>
          <w:vertAlign w:val="subscript"/>
        </w:rPr>
        <w:t xml:space="preserve">6</w:t>
      </w:r>
      <w:r>
        <w:t xml:space="preserve"> </w:t>
      </w:r>
      <w:r>
        <w:t xml:space="preserve">= 0.018, standard error 0.021).</w:t>
      </w:r>
    </w:p>
    <w:p>
      <w:pPr>
        <w:pStyle w:val="TableCaption"/>
      </w:pPr>
      <w:r>
        <w:t xml:space="preserve">Table 10. Cumulative response of national all-items CPIs, their gap and the national rice CPI to a 1% world rice price rise, percentage points, 2001M1–2026M9; Newey–West standard errors.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0. Cumulative response of national all-items CPIs, their gap and the national rice CPI to a 1% world rice price rise, percentage points, 2001M1–2026M9; Newey–West standard error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 =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 =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All-items CPI, all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0.013*** (0.004)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0.043*** (0.012)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All-items CPI, bottom 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0.028*** (0.007)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0.110*** (0.018)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0.100*** (0.026)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ΔD (all income − bottom 30%)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−0.014*** (0.004)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−0.060***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−0.052*** (0.016)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Rice CPI (national)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0.056**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0.239*** (0.075)</w:t>
            </w:r>
          </w:p>
        </w:tc>
      </w:tr>
    </w:tbl>
    <w:p>
      <w:pPr>
        <w:pStyle w:val="CaptionedFigure"/>
      </w:pPr>
      <w:r>
        <w:drawing>
          <wp:inline>
            <wp:extent cx="5067300" cy="2347707"/>
            <wp:effectExtent b="0" l="0" r="0" t="0"/>
            <wp:docPr descr="Left: cumulative response of the all-items CPI for all income households (solid) and for the bottom 30% (dashed). Right: response of the inflation gap, all income minus bottom 30% (negative = regressive). Percentage points per 1% world rice price rise, 90% bands." title="" id="69" name="Picture"/>
            <a:graphic>
              <a:graphicData uri="http://schemas.openxmlformats.org/drawingml/2006/picture">
                <pic:pic>
                  <pic:nvPicPr>
                    <pic:cNvPr descr="../output/figures/fig06_rq5_poor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4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cumulative response of the all-items CPI for all income households (solid) and for the bottom 30% (dashed). Right: response of the inflation gap, all income minus bottom 30% (negative = regressive). Percentage points per 1% world rice price rise, 90% bands.</w:t>
      </w:r>
    </w:p>
    <w:bookmarkEnd w:id="71"/>
    <w:bookmarkStart w:id="81" w:name="X1cdc9f6c7a4b64b47d021086d5740eefebed28a"/>
    <w:p>
      <w:pPr>
        <w:pStyle w:val="Heading2"/>
      </w:pPr>
      <w:r>
        <w:t xml:space="preserve">5.3 Objective 3: what the estimates imply for policy</w:t>
      </w:r>
    </w:p>
    <w:p>
      <w:pPr>
        <w:pStyle w:val="FirstParagraph"/>
      </w:pPr>
      <w:r>
        <w:rPr>
          <w:b/>
          <w:bCs/>
        </w:rPr>
        <w:t xml:space="preserve">The 2024 tariff cut.</w:t>
      </w:r>
      <w:r>
        <w:t xml:space="preserve"> </w:t>
      </w:r>
      <w:r>
        <w:t xml:space="preserve">Using only data up to June 2024, the post-law model predicts</w:t>
      </w:r>
      <w:r>
        <w:t xml:space="preserve"> </w:t>
      </w:r>
      <w:r>
        <w:t xml:space="preserve">that the rice CPI should have fallen by −21.3 log points between</w:t>
      </w:r>
      <w:r>
        <w:t xml:space="preserve"> </w:t>
      </w:r>
      <w:r>
        <w:t xml:space="preserve">June 2024 and June 2025: −15.0 from falling world prices and</w:t>
      </w:r>
      <w:r>
        <w:t xml:space="preserve"> </w:t>
      </w:r>
      <w:r>
        <w:t xml:space="preserve">−6.3 from the tariff cut. The actual fall was</w:t>
      </w:r>
      <w:r>
        <w:t xml:space="preserve"> </w:t>
      </w:r>
      <w:r>
        <w:t xml:space="preserve">−15.4, 103% of the world-price part alone</w:t>
      </w:r>
      <w:r>
        <w:t xml:space="preserve"> </w:t>
      </w:r>
      <w:r>
        <w:t xml:space="preserve">and 73% of the total (Figure 10). After six months the actual</w:t>
      </w:r>
      <w:r>
        <w:t xml:space="preserve"> </w:t>
      </w:r>
      <w:r>
        <w:t xml:space="preserve">fall (−3.7) was only 36% of the predicted</w:t>
      </w:r>
      <w:r>
        <w:t xml:space="preserve"> </w:t>
      </w:r>
      <w:r>
        <w:t xml:space="preserve">(−10.3). In other words, consumers received the fall in world</w:t>
      </w:r>
      <w:r>
        <w:t xml:space="preserve"> </w:t>
      </w:r>
      <w:r>
        <w:t xml:space="preserve">prices but not the tariff cut, the pattern Trinidad, Ravago and Balisacan</w:t>
      </w:r>
      <w:r>
        <w:t xml:space="preserve"> </w:t>
      </w:r>
      <w:r>
        <w:t xml:space="preserve">(</w:t>
      </w:r>
      <w:hyperlink w:anchor="ref-trinidad2026">
        <w:r>
          <w:rPr>
            <w:rStyle w:val="Hyperlink"/>
          </w:rPr>
          <w:t xml:space="preserve">2026</w:t>
        </w:r>
      </w:hyperlink>
      <w:r>
        <w:t xml:space="preserve">)</w:t>
      </w:r>
      <w:r>
        <w:t xml:space="preserve"> </w:t>
      </w:r>
      <w:r>
        <w:t xml:space="preserve">describe. In 2 of 17 regions the fall</w:t>
      </w:r>
      <w:r>
        <w:t xml:space="preserve"> </w:t>
      </w:r>
      <w:r>
        <w:t xml:space="preserve">exceeded the prediction (Annex Table A2); the largest fall was in</w:t>
      </w:r>
      <w:r>
        <w:t xml:space="preserve"> </w:t>
      </w:r>
      <w:r>
        <w:t xml:space="preserve">Cagayan Valley (−23.6) and the smallest in</w:t>
      </w:r>
      <w:r>
        <w:t xml:space="preserve"> </w:t>
      </w:r>
      <w:r>
        <w:t xml:space="preserve">CAR (−7.7) (Figure 11).</w:t>
      </w:r>
    </w:p>
    <w:p>
      <w:pPr>
        <w:pStyle w:val="CaptionedFigure"/>
      </w:pPr>
      <w:r>
        <w:drawing>
          <wp:inline>
            <wp:extent cx="4267200" cy="2604100"/>
            <wp:effectExtent b="0" l="0" r="0" t="0"/>
            <wp:docPr descr="Change in the national rice CPI since June 2024 (log points): actual (solid), predicted from world prices only (dashed), and predicted from world prices plus the July 2024 tariff cut (dotted). Predictions use post-law pass-through estimated on data ending June 2024." title="" id="73" name="Picture"/>
            <a:graphic>
              <a:graphicData uri="http://schemas.openxmlformats.org/drawingml/2006/picture">
                <pic:pic>
                  <pic:nvPicPr>
                    <pic:cNvPr descr="../output/figures/fig09_episode_tariff_cu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0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in the national rice CPI since June 2024 (log points): actual (solid), predicted from world prices only (dashed), and predicted from world prices plus the July 2024 tariff cut (dotted). Predictions use post-law pass-through estimated on data ending June 2024.</w:t>
      </w:r>
    </w:p>
    <w:p>
      <w:pPr>
        <w:pStyle w:val="CaptionedFigure"/>
      </w:pPr>
      <w:r>
        <w:drawing>
          <wp:inline>
            <wp:extent cx="4267200" cy="2497632"/>
            <wp:effectExtent b="0" l="0" r="0" t="0"/>
            <wp:docPr descr="Change in regional rice CPIs from June 2024 to June 2025 (log points). The dashed line is the predicted change from world prices and the tariff cut." title="" id="76" name="Picture"/>
            <a:graphic>
              <a:graphicData uri="http://schemas.openxmlformats.org/drawingml/2006/picture">
                <pic:pic>
                  <pic:nvPicPr>
                    <pic:cNvPr descr="../output/figures/fig11_regions_episod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7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in regional rice CPIs from June 2024 to June 2025 (log points). The dashed line is the predicted change from world prices and the tariff cut.</w:t>
      </w:r>
    </w:p>
    <w:p>
      <w:pPr>
        <w:pStyle w:val="BodyText"/>
      </w:pPr>
      <w:r>
        <w:t xml:space="preserve">In pesos: a poverty-line family of five (PHP 13,873 a month in 2023) spends</w:t>
      </w:r>
      <w:r>
        <w:t xml:space="preserve"> </w:t>
      </w:r>
      <w:r>
        <w:t xml:space="preserve">about PHP 2,479 a month on rice if its budget shares are those of the</w:t>
      </w:r>
      <w:r>
        <w:t xml:space="preserve"> </w:t>
      </w:r>
      <w:r>
        <w:t xml:space="preserve">bottom-30% CPI. A full pass-through of the tariff wedge would save it about PHP</w:t>
      </w:r>
      <w:r>
        <w:t xml:space="preserve"> </w:t>
      </w:r>
      <w:r>
        <w:t xml:space="preserve">367 a month; the model predicts PHP</w:t>
      </w:r>
      <w:r>
        <w:t xml:space="preserve"> </w:t>
      </w:r>
      <w:r>
        <w:t xml:space="preserve">151 after a year; the actual fall in the bottom-30% rice CPI,</w:t>
      </w:r>
      <w:r>
        <w:t xml:space="preserve"> </w:t>
      </w:r>
      <w:r>
        <w:t xml:space="preserve">mostly due to world prices, was worth about PHP 398.</w:t>
      </w:r>
    </w:p>
    <w:p>
      <w:pPr>
        <w:pStyle w:val="BodyText"/>
      </w:pPr>
      <w:r>
        <w:rPr>
          <w:b/>
          <w:bCs/>
        </w:rPr>
        <w:t xml:space="preserve">The 2025 import suspension (exploratory).</w:t>
      </w:r>
      <w:r>
        <w:t xml:space="preserve"> </w:t>
      </w:r>
      <w:r>
        <w:t xml:space="preserve">Farmgate palay prices fell</w:t>
      </w:r>
      <w:r>
        <w:t xml:space="preserve"> </w:t>
      </w:r>
      <w:r>
        <w:t xml:space="preserve">−8.9% in September 2025, the first month of the suspension and</w:t>
      </w:r>
      <w:r>
        <w:t xml:space="preserve"> </w:t>
      </w:r>
      <w:r>
        <w:t xml:space="preserve">the start of the main harvest, then rose. Between November 2025 and April 2026 the rice</w:t>
      </w:r>
      <w:r>
        <w:t xml:space="preserve"> </w:t>
      </w:r>
      <w:r>
        <w:t xml:space="preserve">CPI rose 21.1% while the world price in pesos rose</w:t>
      </w:r>
      <w:r>
        <w:t xml:space="preserve"> </w:t>
      </w:r>
      <w:r>
        <w:t xml:space="preserve">11.4%. From August 2025 to April 2026, world prices alone predict</w:t>
      </w:r>
      <w:r>
        <w:t xml:space="preserve"> </w:t>
      </w:r>
      <w:r>
        <w:t xml:space="preserve">a rise of 4.7% in retail and 7.6%</w:t>
      </w:r>
      <w:r>
        <w:t xml:space="preserve"> </w:t>
      </w:r>
      <w:r>
        <w:t xml:space="preserve">in farmgate prices; the actual rises were 24.2% and</w:t>
      </w:r>
      <w:r>
        <w:t xml:space="preserve"> </w:t>
      </w:r>
      <w:r>
        <w:t xml:space="preserve">31.1% (Figure 12). The suspension appears to have raised</w:t>
      </w:r>
      <w:r>
        <w:t xml:space="preserve"> </w:t>
      </w:r>
      <w:r>
        <w:t xml:space="preserve">farm prices, as intended, but with a delay and at a large cost to consumers that</w:t>
      </w:r>
      <w:r>
        <w:t xml:space="preserve"> </w:t>
      </w:r>
      <w:r>
        <w:t xml:space="preserve">outlasted the suspension itself. This reading is descriptive: imports resumed in January</w:t>
      </w:r>
      <w:r>
        <w:t xml:space="preserve"> </w:t>
      </w:r>
      <w:r>
        <w:t xml:space="preserve">2026 at a tariff that may have been 15% or 20% (</w:t>
      </w:r>
      <w:r>
        <w:rPr>
          <w:rStyle w:val="VerbatimChar"/>
        </w:rPr>
        <w:t xml:space="preserve">policy_context.md</w:t>
      </w:r>
      <w:r>
        <w:t xml:space="preserve">, P12), and the model</w:t>
      </w:r>
      <w:r>
        <w:t xml:space="preserve"> </w:t>
      </w:r>
      <w:r>
        <w:t xml:space="preserve">was not designed for a closed border.</w:t>
      </w:r>
    </w:p>
    <w:p>
      <w:pPr>
        <w:pStyle w:val="CaptionedFigure"/>
      </w:pPr>
      <w:r>
        <w:drawing>
          <wp:inline>
            <wp:extent cx="5067300" cy="2512141"/>
            <wp:effectExtent b="0" l="0" r="0" t="0"/>
            <wp:docPr descr="Farmgate palay (left) and retail regular-milled rice (right): change since August 2025 (log points), actual (solid) and predicted from world prices (dashed). Grey shading marks the import suspension, September–December 2025." title="" id="79" name="Picture"/>
            <a:graphic>
              <a:graphicData uri="http://schemas.openxmlformats.org/drawingml/2006/picture">
                <pic:pic>
                  <pic:nvPicPr>
                    <pic:cNvPr descr="../output/figures/fig10_episode_suspensi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Farmgate palay (left) and retail regular-milled rice (right): change since August 2025 (log points), actual (solid) and predicted from world prices (dashed). Grey shading marks the import suspension, September–December 2025.</w:t>
      </w:r>
    </w:p>
    <w:p>
      <w:pPr>
        <w:pStyle w:val="BodyText"/>
      </w:pPr>
      <w:r>
        <w:rPr>
          <w:b/>
          <w:bCs/>
        </w:rPr>
        <w:t xml:space="preserve">The 2026 price-indexed tariff.</w:t>
      </w:r>
      <w:r>
        <w:t xml:space="preserve"> </w:t>
      </w:r>
      <w:r>
        <w:t xml:space="preserve">EO 105 raises the tariff by 5 points for every 5%</w:t>
      </w:r>
      <w:r>
        <w:t xml:space="preserve"> </w:t>
      </w:r>
      <w:r>
        <w:t xml:space="preserve">fall in world prices and lowers it for every 5% rise, within bounds of 15% and 35%.</w:t>
      </w:r>
      <w:r>
        <w:t xml:space="preserve"> </w:t>
      </w:r>
      <w:r>
        <w:t xml:space="preserve">Near a 20% tariff, a 5% world price rise lowers the duty factor by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1.15</m:t>
        </m:r>
        <m:r>
          <m:rPr>
            <m:sty m:val="p"/>
          </m:rPr>
          <m:t>/</m:t>
        </m:r>
        <m:r>
          <m:t>1.20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4.3</m:t>
        </m:r>
        <m:r>
          <m:rPr>
            <m:sty m:val="p"/>
          </m:rPr>
          <m:t>%</m:t>
        </m:r>
      </m:oMath>
      <w:r>
        <w:t xml:space="preserve">, so the rule offsets about 85% of a world price move in</w:t>
      </w:r>
      <w:r>
        <w:t xml:space="preserve"> </w:t>
      </w:r>
      <w:r>
        <w:t xml:space="preserve">the peso cost of imports while the tariff stays within its bounds. Combined with a</w:t>
      </w:r>
      <w:r>
        <w:t xml:space="preserve"> </w:t>
      </w:r>
      <w:r>
        <w:t xml:space="preserve">post-law pass-through of about 0.40 at twelve months, the rule would leave</w:t>
      </w:r>
      <w:r>
        <w:t xml:space="preserve"> </w:t>
      </w:r>
      <w:r>
        <w:t xml:space="preserve">only a small part of world price moves in consumer prices, but only between the bounds,</w:t>
      </w:r>
      <w:r>
        <w:t xml:space="preserve"> </w:t>
      </w:r>
      <w:r>
        <w:t xml:space="preserve">and only if tariff changes pass through, which the 2024 episode questions. Our data</w:t>
      </w:r>
      <w:r>
        <w:t xml:space="preserve"> </w:t>
      </w:r>
      <w:r>
        <w:t xml:space="preserve">cover only nine months of the rule, so we do not estimate it.</w:t>
      </w:r>
    </w:p>
    <w:bookmarkEnd w:id="81"/>
    <w:bookmarkEnd w:id="82"/>
    <w:bookmarkStart w:id="87" w:name="Xcb3f2bf98e41142b5cf732bb4e91eda99c37a62"/>
    <w:p>
      <w:pPr>
        <w:pStyle w:val="Heading1"/>
      </w:pPr>
      <w:r>
        <w:t xml:space="preserve">Chapter 6. Summary, Conclusions and Recommendations</w:t>
      </w:r>
    </w:p>
    <w:bookmarkStart w:id="83" w:name="summary"/>
    <w:p>
      <w:pPr>
        <w:pStyle w:val="Heading2"/>
      </w:pPr>
      <w:r>
        <w:t xml:space="preserve">6.1 Summary</w:t>
      </w:r>
    </w:p>
    <w:p>
      <w:pPr>
        <w:pStyle w:val="FirstParagraph"/>
      </w:pPr>
      <w:r>
        <w:rPr>
          <w:i/>
          <w:iCs/>
        </w:rPr>
        <w:t xml:space="preserve">Objective 1.</w:t>
      </w:r>
      <w:r>
        <w:t xml:space="preserve"> </w:t>
      </w:r>
      <w:r>
        <w:t xml:space="preserve">Since the law, domestic rice prices track world prices more closely,</w:t>
      </w:r>
      <w:r>
        <w:t xml:space="preserve"> </w:t>
      </w:r>
      <w:r>
        <w:t xml:space="preserve">regional prices have converged, and monthly rice inflation has become more volatile.</w:t>
      </w:r>
      <w:r>
        <w:t xml:space="preserve"> </w:t>
      </w:r>
      <w:r>
        <w:t xml:space="preserve">The domestic–world gap narrowed under the 35% tariff and widened again after 2024.</w:t>
      </w:r>
    </w:p>
    <w:p>
      <w:pPr>
        <w:pStyle w:val="BodyText"/>
      </w:pPr>
      <w:r>
        <w:rPr>
          <w:i/>
          <w:iCs/>
        </w:rPr>
        <w:t xml:space="preserve">Objective 2.</w:t>
      </w:r>
      <w:r>
        <w:t xml:space="preserve"> </w:t>
      </w:r>
      <w:r>
        <w:t xml:space="preserve">Pass-through to consumer rice prices roughly doubled to tripled after the</w:t>
      </w:r>
      <w:r>
        <w:t xml:space="preserve"> </w:t>
      </w:r>
      <w:r>
        <w:t xml:space="preserve">law at six months (0.16 to 0.46), but the change is significant</w:t>
      </w:r>
      <w:r>
        <w:t xml:space="preserve"> </w:t>
      </w:r>
      <w:r>
        <w:t xml:space="preserve">only at 10% and is fragile. Along the chain, pass-through went from about zero to</w:t>
      </w:r>
      <w:r>
        <w:t xml:space="preserve"> </w:t>
      </w:r>
      <w:r>
        <w:t xml:space="preserve">about 0.53–0.74, largest for farmers.</w:t>
      </w:r>
      <w:r>
        <w:t xml:space="preserve"> </w:t>
      </w:r>
      <w:r>
        <w:t xml:space="preserve">World rice shocks raise the poor’s CPI 2.4 times as much as the average.</w:t>
      </w:r>
    </w:p>
    <w:p>
      <w:pPr>
        <w:pStyle w:val="BodyText"/>
      </w:pPr>
      <w:r>
        <w:rPr>
          <w:i/>
          <w:iCs/>
        </w:rPr>
        <w:t xml:space="preserve">Objective 3.</w:t>
      </w:r>
      <w:r>
        <w:t xml:space="preserve"> </w:t>
      </w:r>
      <w:r>
        <w:t xml:space="preserve">The 2024 tariff cut did not reach consumers within a year; the 2025</w:t>
      </w:r>
      <w:r>
        <w:t xml:space="preserve"> </w:t>
      </w:r>
      <w:r>
        <w:t xml:space="preserve">suspension was followed by a sharp rise in both farmgate and retail prices.</w:t>
      </w:r>
    </w:p>
    <w:bookmarkEnd w:id="83"/>
    <w:bookmarkStart w:id="84" w:name="conclusions"/>
    <w:p>
      <w:pPr>
        <w:pStyle w:val="Heading2"/>
      </w:pPr>
      <w:r>
        <w:t xml:space="preserve">6.2 Conclusions</w:t>
      </w:r>
    </w:p>
    <w:p>
      <w:pPr>
        <w:pStyle w:val="FirstParagraph"/>
      </w:pPr>
      <w:r>
        <w:t xml:space="preserve">The law did open the border to world price movements, most clearly for farmers, and it</w:t>
      </w:r>
      <w:r>
        <w:t xml:space="preserve"> </w:t>
      </w:r>
      <w:r>
        <w:t xml:space="preserve">coincided with a large one-off fall in rice prices in 2019. But openness works in both</w:t>
      </w:r>
      <w:r>
        <w:t xml:space="preserve"> </w:t>
      </w:r>
      <w:r>
        <w:t xml:space="preserve">directions: the poor now feel world price spikes more, and later cuts in the tariff were</w:t>
      </w:r>
      <w:r>
        <w:t xml:space="preserve"> </w:t>
      </w:r>
      <w:r>
        <w:t xml:space="preserve">absorbed in the chain rather than passed on.</w:t>
      </w:r>
    </w:p>
    <w:bookmarkEnd w:id="84"/>
    <w:bookmarkStart w:id="85" w:name="recommendations"/>
    <w:p>
      <w:pPr>
        <w:pStyle w:val="Heading2"/>
      </w:pPr>
      <w:r>
        <w:t xml:space="preserve">6.3 Recommendations</w:t>
      </w:r>
    </w:p>
    <w:p>
      <w:pPr>
        <w:pStyle w:val="FirstParagraph"/>
      </w:pPr>
      <w:r>
        <w:t xml:space="preserve">To the</w:t>
      </w:r>
      <w:r>
        <w:t xml:space="preserve"> </w:t>
      </w:r>
      <w:r>
        <w:rPr>
          <w:b/>
          <w:bCs/>
        </w:rPr>
        <w:t xml:space="preserve">Tariff Commission and DEPDev</w:t>
      </w:r>
      <w:r>
        <w:t xml:space="preserve">: judge tariff changes by their pass-through. Our</w:t>
      </w:r>
      <w:r>
        <w:t xml:space="preserve"> </w:t>
      </w:r>
      <w:r>
        <w:t xml:space="preserve">estimates suggest that at most part of a tariff cut reaches retail prices within a year;</w:t>
      </w:r>
      <w:r>
        <w:t xml:space="preserve"> </w:t>
      </w:r>
      <w:r>
        <w:t xml:space="preserve">the indexed tariff of EO 105 should be evaluated after a full year of data. To the</w:t>
      </w:r>
      <w:r>
        <w:t xml:space="preserve"> </w:t>
      </w:r>
      <w:r>
        <w:rPr>
          <w:b/>
          <w:bCs/>
        </w:rPr>
        <w:t xml:space="preserve">Philippine Competition Commission and the DA</w:t>
      </w:r>
      <w:r>
        <w:t xml:space="preserve">: the widening gap after the 2024 cut</w:t>
      </w:r>
      <w:r>
        <w:t xml:space="preserve"> </w:t>
      </w:r>
      <w:r>
        <w:t xml:space="preserve">points to margins in importing, milling and wholesaling; monitor them. To the</w:t>
      </w:r>
      <w:r>
        <w:t xml:space="preserve"> </w:t>
      </w:r>
      <w:r>
        <w:rPr>
          <w:b/>
          <w:bCs/>
        </w:rPr>
        <w:t xml:space="preserve">DA and</w:t>
      </w:r>
      <w:r>
        <w:rPr>
          <w:b/>
          <w:bCs/>
        </w:rPr>
        <w:t xml:space="preserve"> </w:t>
      </w:r>
      <w:r>
        <w:rPr>
          <w:b/>
          <w:bCs/>
        </w:rPr>
        <w:t xml:space="preserve">the Department of Social Welfare and Development</w:t>
      </w:r>
      <w:r>
        <w:t xml:space="preserve">: because world rice shocks raise the</w:t>
      </w:r>
      <w:r>
        <w:t xml:space="preserve"> </w:t>
      </w:r>
      <w:r>
        <w:t xml:space="preserve">poor’s CPI 2.4 times as much as the average (RQ5), support during world</w:t>
      </w:r>
      <w:r>
        <w:t xml:space="preserve"> </w:t>
      </w:r>
      <w:r>
        <w:t xml:space="preserve">price spikes is best targeted at poor households; border measures change prices for all</w:t>
      </w:r>
      <w:r>
        <w:t xml:space="preserve"> </w:t>
      </w:r>
      <w:r>
        <w:t xml:space="preserve">buyers. To the</w:t>
      </w:r>
      <w:r>
        <w:t xml:space="preserve"> </w:t>
      </w:r>
      <w:r>
        <w:rPr>
          <w:b/>
          <w:bCs/>
        </w:rPr>
        <w:t xml:space="preserve">DA</w:t>
      </w:r>
      <w:r>
        <w:t xml:space="preserve">: in the 2025–26 episode farm prices rose mostly after the suspension</w:t>
      </w:r>
      <w:r>
        <w:t xml:space="preserve"> </w:t>
      </w:r>
      <w:r>
        <w:t xml:space="preserve">ended (5.4% above August 2025 by December, 31.1%</w:t>
      </w:r>
      <w:r>
        <w:t xml:space="preserve"> </w:t>
      </w:r>
      <w:r>
        <w:t xml:space="preserve">by April 2026), while retail prices rose by 24.2% (E4, exploratory);</w:t>
      </w:r>
      <w:r>
        <w:t xml:space="preserve"> </w:t>
      </w:r>
      <w:r>
        <w:t xml:space="preserve">suspensions should be weighed against that consumer cost, and alternatives such as the</w:t>
      </w:r>
      <w:r>
        <w:t xml:space="preserve"> </w:t>
      </w:r>
      <w:r>
        <w:t xml:space="preserve">RCEF productivity programmes, which this study does not evaluate, deserve evaluation.</w:t>
      </w:r>
    </w:p>
    <w:bookmarkEnd w:id="85"/>
    <w:bookmarkStart w:id="86" w:name="further-research"/>
    <w:p>
      <w:pPr>
        <w:pStyle w:val="Heading2"/>
      </w:pPr>
      <w:r>
        <w:t xml:space="preserve">6.4 Further research</w:t>
      </w:r>
    </w:p>
    <w:p>
      <w:pPr>
        <w:pStyle w:val="FirstParagraph"/>
      </w:pPr>
      <w:r>
        <w:t xml:space="preserve">Household-level data from the Family Income and Expenditure Survey would show net</w:t>
      </w:r>
      <w:r>
        <w:t xml:space="preserve"> </w:t>
      </w:r>
      <w:r>
        <w:t xml:space="preserve">buyers and net sellers directly; import volumes and margins by stage would show where</w:t>
      </w:r>
      <w:r>
        <w:t xml:space="preserve"> </w:t>
      </w:r>
      <w:r>
        <w:t xml:space="preserve">the tariff cut was absorbed; and a longer post-2026 sample will allow the indexed tariff</w:t>
      </w:r>
      <w:r>
        <w:t xml:space="preserve"> </w:t>
      </w:r>
      <w:r>
        <w:t xml:space="preserve">to be evaluated.</w:t>
      </w:r>
    </w:p>
    <w:bookmarkEnd w:id="86"/>
    <w:bookmarkEnd w:id="87"/>
    <w:bookmarkStart w:id="145" w:name="references"/>
    <w:p>
      <w:pPr>
        <w:pStyle w:val="Heading1"/>
      </w:pPr>
      <w:r>
        <w:t xml:space="preserve">References</w:t>
      </w:r>
    </w:p>
    <w:bookmarkStart w:id="144" w:name="refs"/>
    <w:bookmarkStart w:id="89" w:name="ref-antonio2025"/>
    <w:p>
      <w:pPr>
        <w:pStyle w:val="Bibliography"/>
      </w:pPr>
      <w:r>
        <w:t xml:space="preserve">Antonio, Ronald Jeremy, Harold Glenn Valera, Ashok K. Mishra, Valerien Pede, and Takashi Yamano. 2025.</w:t>
      </w:r>
      <w:r>
        <w:t xml:space="preserve"> </w:t>
      </w:r>
      <w:r>
        <w:t xml:space="preserve">“Rice Price Inflation Dynamics in the Philippines.”</w:t>
      </w:r>
      <w:r>
        <w:t xml:space="preserve"> </w:t>
      </w:r>
      <w:r>
        <w:rPr>
          <w:i/>
          <w:iCs/>
        </w:rPr>
        <w:t xml:space="preserve">Australian Journal of Agricultural and Resource Economics</w:t>
      </w:r>
      <w:r>
        <w:t xml:space="preserve"> </w:t>
      </w:r>
      <w:r>
        <w:t xml:space="preserve">69 (2): 440–52.</w:t>
      </w:r>
      <w:r>
        <w:t xml:space="preserve"> </w:t>
      </w:r>
      <w:hyperlink r:id="rId88">
        <w:r>
          <w:rPr>
            <w:rStyle w:val="Hyperlink"/>
          </w:rPr>
          <w:t xml:space="preserve">https://doi.org/10.1111/1467-8489.70012</w:t>
        </w:r>
      </w:hyperlink>
      <w:r>
        <w:t xml:space="preserve">.</w:t>
      </w:r>
    </w:p>
    <w:bookmarkEnd w:id="89"/>
    <w:bookmarkStart w:id="91" w:name="ref-baffes2003"/>
    <w:p>
      <w:pPr>
        <w:pStyle w:val="Bibliography"/>
      </w:pPr>
      <w:r>
        <w:t xml:space="preserve">Baffes, John, and Bruce Gardner. 2003.</w:t>
      </w:r>
      <w:r>
        <w:t xml:space="preserve"> </w:t>
      </w:r>
      <w:r>
        <w:t xml:space="preserve">“The Transmission of World Commodity Prices to Domestic Markets Under Policy Reforms in Developing Countries.”</w:t>
      </w:r>
      <w:r>
        <w:t xml:space="preserve"> </w:t>
      </w:r>
      <w:r>
        <w:rPr>
          <w:i/>
          <w:iCs/>
        </w:rPr>
        <w:t xml:space="preserve">Journal of Policy Reform</w:t>
      </w:r>
      <w:r>
        <w:t xml:space="preserve"> </w:t>
      </w:r>
      <w:r>
        <w:t xml:space="preserve">6 (3): 159–80.</w:t>
      </w:r>
      <w:r>
        <w:t xml:space="preserve"> </w:t>
      </w:r>
      <w:hyperlink r:id="rId90">
        <w:r>
          <w:rPr>
            <w:rStyle w:val="Hyperlink"/>
          </w:rPr>
          <w:t xml:space="preserve">https://doi.org/10.1080/0951274032000175770</w:t>
        </w:r>
      </w:hyperlink>
      <w:r>
        <w:t xml:space="preserve">.</w:t>
      </w:r>
    </w:p>
    <w:bookmarkEnd w:id="91"/>
    <w:bookmarkStart w:id="93" w:name="ref-balie2021"/>
    <w:p>
      <w:pPr>
        <w:pStyle w:val="Bibliography"/>
      </w:pPr>
      <w:r>
        <w:t xml:space="preserve">Balié, Jean, Nicholas Minot, and Harold Glenn Valera. 2021.</w:t>
      </w:r>
      <w:r>
        <w:t xml:space="preserve"> </w:t>
      </w:r>
      <w:r>
        <w:t xml:space="preserve">“Distributional Impacts of the Rice Tariffication Policy in the</w:t>
      </w:r>
      <w:r>
        <w:t xml:space="preserve"> </w:t>
      </w:r>
      <w:r>
        <w:t xml:space="preserve">Philippines</w:t>
      </w:r>
      <w:r>
        <w:t xml:space="preserve">.”</w:t>
      </w:r>
      <w:r>
        <w:t xml:space="preserve"> </w:t>
      </w:r>
      <w:r>
        <w:rPr>
          <w:i/>
          <w:iCs/>
        </w:rPr>
        <w:t xml:space="preserve">Economic Analysis and Policy</w:t>
      </w:r>
      <w:r>
        <w:t xml:space="preserve"> </w:t>
      </w:r>
      <w:r>
        <w:t xml:space="preserve">69: 289–306.</w:t>
      </w:r>
      <w:r>
        <w:t xml:space="preserve"> </w:t>
      </w:r>
      <w:hyperlink r:id="rId92">
        <w:r>
          <w:rPr>
            <w:rStyle w:val="Hyperlink"/>
          </w:rPr>
          <w:t xml:space="preserve">https://doi.org/10.1016/j.eap.2020.12.005</w:t>
        </w:r>
      </w:hyperlink>
      <w:r>
        <w:t xml:space="preserve">.</w:t>
      </w:r>
    </w:p>
    <w:bookmarkEnd w:id="93"/>
    <w:bookmarkStart w:id="95" w:name="ref-balie2020"/>
    <w:p>
      <w:pPr>
        <w:pStyle w:val="Bibliography"/>
      </w:pPr>
      <w:r>
        <w:t xml:space="preserve">Balié, Jean, and Harold Glenn Valera. 2020.</w:t>
      </w:r>
      <w:r>
        <w:t xml:space="preserve"> </w:t>
      </w:r>
      <w:r>
        <w:t xml:space="preserve">“Domestic and International Impacts of the Rice Trade Policy Reform in the</w:t>
      </w:r>
      <w:r>
        <w:t xml:space="preserve"> </w:t>
      </w:r>
      <w:r>
        <w:t xml:space="preserve">Philippines</w:t>
      </w:r>
      <w:r>
        <w:t xml:space="preserve">.”</w:t>
      </w:r>
      <w:r>
        <w:t xml:space="preserve"> </w:t>
      </w:r>
      <w:r>
        <w:rPr>
          <w:i/>
          <w:iCs/>
        </w:rPr>
        <w:t xml:space="preserve">Food Policy</w:t>
      </w:r>
      <w:r>
        <w:t xml:space="preserve"> </w:t>
      </w:r>
      <w:r>
        <w:t xml:space="preserve">92: 101876.</w:t>
      </w:r>
      <w:r>
        <w:t xml:space="preserve"> </w:t>
      </w:r>
      <w:hyperlink r:id="rId94">
        <w:r>
          <w:rPr>
            <w:rStyle w:val="Hyperlink"/>
          </w:rPr>
          <w:t xml:space="preserve">https://doi.org/10.1016/j.foodpol.2020.101876</w:t>
        </w:r>
      </w:hyperlink>
      <w:r>
        <w:t xml:space="preserve">.</w:t>
      </w:r>
    </w:p>
    <w:bookmarkEnd w:id="95"/>
    <w:bookmarkStart w:id="97" w:name="ref-bathan2026"/>
    <w:p>
      <w:pPr>
        <w:pStyle w:val="Bibliography"/>
      </w:pPr>
      <w:r>
        <w:t xml:space="preserve">Bathan, Bates M. 2026.</w:t>
      </w:r>
      <w:r>
        <w:t xml:space="preserve"> </w:t>
      </w:r>
      <w:r>
        <w:t xml:space="preserve">“Vertical Price Transmission in the</w:t>
      </w:r>
      <w:r>
        <w:t xml:space="preserve"> </w:t>
      </w:r>
      <w:r>
        <w:t xml:space="preserve">Philippine</w:t>
      </w:r>
      <w:r>
        <w:t xml:space="preserve"> </w:t>
      </w:r>
      <w:r>
        <w:t xml:space="preserve">Rice Supply Chain: Responses to Shocks in the Post-Tariffication Period.”</w:t>
      </w:r>
      <w:r>
        <w:t xml:space="preserve"> </w:t>
      </w:r>
      <w:r>
        <w:rPr>
          <w:i/>
          <w:iCs/>
        </w:rPr>
        <w:t xml:space="preserve">The Philippine Agricultural Scientist</w:t>
      </w:r>
      <w:r>
        <w:t xml:space="preserve"> </w:t>
      </w:r>
      <w:r>
        <w:t xml:space="preserve">109 (1): 35–46.</w:t>
      </w:r>
      <w:r>
        <w:t xml:space="preserve"> </w:t>
      </w:r>
      <w:hyperlink r:id="rId96">
        <w:r>
          <w:rPr>
            <w:rStyle w:val="Hyperlink"/>
          </w:rPr>
          <w:t xml:space="preserve">https://doi.org/10.62550/gk22125025</w:t>
        </w:r>
      </w:hyperlink>
      <w:r>
        <w:t xml:space="preserve">.</w:t>
      </w:r>
    </w:p>
    <w:bookmarkEnd w:id="97"/>
    <w:bookmarkStart w:id="99" w:name="ref-bathan2025"/>
    <w:p>
      <w:pPr>
        <w:pStyle w:val="Bibliography"/>
      </w:pPr>
      <w:r>
        <w:t xml:space="preserve">Bathan, Bates M., Apichart Daloonpate, and Itthipong Mahathanseth. 2025.</w:t>
      </w:r>
      <w:r>
        <w:t xml:space="preserve"> </w:t>
      </w:r>
      <w:r>
        <w:t xml:space="preserve">“The Dynamics of Price Transmission in the</w:t>
      </w:r>
      <w:r>
        <w:t xml:space="preserve"> </w:t>
      </w:r>
      <w:r>
        <w:t xml:space="preserve">Philippine</w:t>
      </w:r>
      <w:r>
        <w:t xml:space="preserve"> </w:t>
      </w:r>
      <w:r>
        <w:t xml:space="preserve">Rice Supply Chain.”</w:t>
      </w:r>
      <w:r>
        <w:t xml:space="preserve"> </w:t>
      </w:r>
      <w:r>
        <w:rPr>
          <w:i/>
          <w:iCs/>
        </w:rPr>
        <w:t xml:space="preserve">Journal of the International Society for Southeast Asian Agricultural Sciences</w:t>
      </w:r>
      <w:r>
        <w:t xml:space="preserve"> </w:t>
      </w:r>
      <w:r>
        <w:t xml:space="preserve">31 (1): 63–82.</w:t>
      </w:r>
      <w:r>
        <w:t xml:space="preserve"> </w:t>
      </w:r>
      <w:hyperlink r:id="rId98">
        <w:r>
          <w:rPr>
            <w:rStyle w:val="Hyperlink"/>
          </w:rPr>
          <w:t xml:space="preserve">http://issaasphil.org/wp-content/uploads/2025/06/5.-Bathan-et-al.-2025-The-dynamics-of-price-transmission-FINAL.pdf</w:t>
        </w:r>
      </w:hyperlink>
      <w:r>
        <w:t xml:space="preserve">.</w:t>
      </w:r>
    </w:p>
    <w:bookmarkEnd w:id="99"/>
    <w:bookmarkStart w:id="101" w:name="ref-briones2019"/>
    <w:p>
      <w:pPr>
        <w:pStyle w:val="Bibliography"/>
      </w:pPr>
      <w:r>
        <w:t xml:space="preserve">Briones, Roehlano M. 2019.</w:t>
      </w:r>
      <w:r>
        <w:t xml:space="preserve"> </w:t>
      </w:r>
      <w:r>
        <w:rPr>
          <w:i/>
          <w:iCs/>
        </w:rPr>
        <w:t xml:space="preserve">Welfare Impacts of Rice Tariffication</w:t>
      </w:r>
      <w:r>
        <w:t xml:space="preserve">. PIDS Discussion Paper Nos. 2019-16. Philippine Institute for Development Studies.</w:t>
      </w:r>
      <w:r>
        <w:t xml:space="preserve"> </w:t>
      </w:r>
      <w:hyperlink r:id="rId100">
        <w:r>
          <w:rPr>
            <w:rStyle w:val="Hyperlink"/>
          </w:rPr>
          <w:t xml:space="preserve">https://doi.org/10.62986/dp2019.16</w:t>
        </w:r>
      </w:hyperlink>
      <w:r>
        <w:t xml:space="preserve">.</w:t>
      </w:r>
    </w:p>
    <w:bookmarkEnd w:id="101"/>
    <w:bookmarkStart w:id="103" w:name="ref-briones2021"/>
    <w:p>
      <w:pPr>
        <w:pStyle w:val="Bibliography"/>
      </w:pPr>
      <w:r>
        <w:t xml:space="preserve">Briones, Roehlano M. 2021.</w:t>
      </w:r>
      <w:r>
        <w:t xml:space="preserve"> </w:t>
      </w:r>
      <w:r>
        <w:rPr>
          <w:i/>
          <w:iCs/>
        </w:rPr>
        <w:t xml:space="preserve">Does Rice Tariffication in the</w:t>
      </w:r>
      <w:r>
        <w:rPr>
          <w:i/>
          <w:iCs/>
        </w:rPr>
        <w:t xml:space="preserve"> </w:t>
      </w:r>
      <w:r>
        <w:rPr>
          <w:i/>
          <w:iCs/>
        </w:rPr>
        <w:t xml:space="preserve">Philippines</w:t>
      </w:r>
      <w:r>
        <w:rPr>
          <w:i/>
          <w:iCs/>
        </w:rPr>
        <w:t xml:space="preserve"> </w:t>
      </w:r>
      <w:r>
        <w:rPr>
          <w:i/>
          <w:iCs/>
        </w:rPr>
        <w:t xml:space="preserve">Worsen Income Poverty and Inequality?</w:t>
      </w:r>
      <w:r>
        <w:t xml:space="preserve"> PIDS Policy Notes Nos. 2021-02. Philippine Institute for Development Studies.</w:t>
      </w:r>
      <w:r>
        <w:t xml:space="preserve"> </w:t>
      </w:r>
      <w:hyperlink r:id="rId102">
        <w:r>
          <w:rPr>
            <w:rStyle w:val="Hyperlink"/>
          </w:rPr>
          <w:t xml:space="preserve">https://doi.org/10.62986/pn2021.02</w:t>
        </w:r>
      </w:hyperlink>
      <w:r>
        <w:t xml:space="preserve">.</w:t>
      </w:r>
    </w:p>
    <w:bookmarkEnd w:id="103"/>
    <w:bookmarkStart w:id="105" w:name="ref-ceballos2017"/>
    <w:p>
      <w:pPr>
        <w:pStyle w:val="Bibliography"/>
      </w:pPr>
      <w:r>
        <w:t xml:space="preserve">Ceballos, Francisco, Manuel A. Hernandez, Nicholas Minot, and Miguel Robles. 2017.</w:t>
      </w:r>
      <w:r>
        <w:t xml:space="preserve"> </w:t>
      </w:r>
      <w:r>
        <w:t xml:space="preserve">“Grain Price and Volatility Transmission from International to Domestic Markets in Developing Countries.”</w:t>
      </w:r>
      <w:r>
        <w:t xml:space="preserve"> </w:t>
      </w:r>
      <w:r>
        <w:rPr>
          <w:i/>
          <w:iCs/>
        </w:rPr>
        <w:t xml:space="preserve">World Development</w:t>
      </w:r>
      <w:r>
        <w:t xml:space="preserve"> </w:t>
      </w:r>
      <w:r>
        <w:t xml:space="preserve">94: 305–20.</w:t>
      </w:r>
      <w:r>
        <w:t xml:space="preserve"> </w:t>
      </w:r>
      <w:hyperlink r:id="rId104">
        <w:r>
          <w:rPr>
            <w:rStyle w:val="Hyperlink"/>
          </w:rPr>
          <w:t xml:space="preserve">https://doi.org/10.1016/j.worlddev.2017.01.015</w:t>
        </w:r>
      </w:hyperlink>
      <w:r>
        <w:t xml:space="preserve">.</w:t>
      </w:r>
    </w:p>
    <w:bookmarkEnd w:id="105"/>
    <w:bookmarkStart w:id="107" w:name="ref-clarete2022"/>
    <w:p>
      <w:pPr>
        <w:pStyle w:val="Bibliography"/>
      </w:pPr>
      <w:r>
        <w:t xml:space="preserve">Clarete, Ramon L. 2022.</w:t>
      </w:r>
      <w:r>
        <w:t xml:space="preserve"> </w:t>
      </w:r>
      <w:r>
        <w:t xml:space="preserve">“Tariffication and Market Structure: The Case of the</w:t>
      </w:r>
      <w:r>
        <w:t xml:space="preserve"> </w:t>
      </w:r>
      <w:r>
        <w:t xml:space="preserve">Philippine</w:t>
      </w:r>
      <w:r>
        <w:t xml:space="preserve"> </w:t>
      </w:r>
      <w:r>
        <w:t xml:space="preserve">Rice Industry.”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Pro-Poor Development Policies: Lessons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Philippines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East Asia</w:t>
      </w:r>
      <w:r>
        <w:t xml:space="preserve">. ISEAS–Yusof Ishak Institute.</w:t>
      </w:r>
      <w:r>
        <w:t xml:space="preserve"> </w:t>
      </w:r>
      <w:hyperlink r:id="rId106">
        <w:r>
          <w:rPr>
            <w:rStyle w:val="Hyperlink"/>
          </w:rPr>
          <w:t xml:space="preserve">https://doi.org/10.1355/9789815011067-030</w:t>
        </w:r>
      </w:hyperlink>
      <w:r>
        <w:t xml:space="preserve">.</w:t>
      </w:r>
    </w:p>
    <w:bookmarkEnd w:id="107"/>
    <w:bookmarkStart w:id="109" w:name="ref-dawe2008"/>
    <w:p>
      <w:pPr>
        <w:pStyle w:val="Bibliography"/>
      </w:pPr>
      <w:r>
        <w:t xml:space="preserve">Dawe, David. 2008.</w:t>
      </w:r>
      <w:r>
        <w:t xml:space="preserve"> </w:t>
      </w:r>
      <w:r>
        <w:t xml:space="preserve">“Can</w:t>
      </w:r>
      <w:r>
        <w:t xml:space="preserve"> </w:t>
      </w:r>
      <w:r>
        <w:t xml:space="preserve">Indonesia</w:t>
      </w:r>
      <w:r>
        <w:t xml:space="preserve"> </w:t>
      </w:r>
      <w:r>
        <w:t xml:space="preserve">Trust the World Rice Market?”</w:t>
      </w:r>
      <w:r>
        <w:t xml:space="preserve"> </w:t>
      </w:r>
      <w:r>
        <w:rPr>
          <w:i/>
          <w:iCs/>
        </w:rPr>
        <w:t xml:space="preserve">Bulletin of Indonesian Economic Studies</w:t>
      </w:r>
      <w:r>
        <w:t xml:space="preserve"> </w:t>
      </w:r>
      <w:r>
        <w:t xml:space="preserve">44 (1): 115–32.</w:t>
      </w:r>
      <w:r>
        <w:t xml:space="preserve"> </w:t>
      </w:r>
      <w:hyperlink r:id="rId108">
        <w:r>
          <w:rPr>
            <w:rStyle w:val="Hyperlink"/>
          </w:rPr>
          <w:t xml:space="preserve">https://doi.org/10.1080/00074910802008053</w:t>
        </w:r>
      </w:hyperlink>
      <w:r>
        <w:t xml:space="preserve">.</w:t>
      </w:r>
    </w:p>
    <w:bookmarkEnd w:id="109"/>
    <w:bookmarkStart w:id="111" w:name="ref-dawe2015"/>
    <w:p>
      <w:pPr>
        <w:pStyle w:val="Bibliography"/>
      </w:pPr>
      <w:r>
        <w:t xml:space="preserve">Dawe, David, Cristian Morales-Opazo, Jean Balié, and Guillaume Pierre. 2015.</w:t>
      </w:r>
      <w:r>
        <w:t xml:space="preserve"> </w:t>
      </w:r>
      <w:r>
        <w:t xml:space="preserve">“How Much Have Domestic Food Prices Increased in the New Era of Higher Food Prices?”</w:t>
      </w:r>
      <w:r>
        <w:t xml:space="preserve"> </w:t>
      </w:r>
      <w:r>
        <w:rPr>
          <w:i/>
          <w:iCs/>
        </w:rPr>
        <w:t xml:space="preserve">Global Food Security</w:t>
      </w:r>
      <w:r>
        <w:t xml:space="preserve"> </w:t>
      </w:r>
      <w:r>
        <w:t xml:space="preserve">5: 1–10.</w:t>
      </w:r>
      <w:r>
        <w:t xml:space="preserve"> </w:t>
      </w:r>
      <w:hyperlink r:id="rId110">
        <w:r>
          <w:rPr>
            <w:rStyle w:val="Hyperlink"/>
          </w:rPr>
          <w:t xml:space="preserve">https://doi.org/10.1016/j.gfs.2015.01.001</w:t>
        </w:r>
      </w:hyperlink>
      <w:r>
        <w:t xml:space="preserve">.</w:t>
      </w:r>
    </w:p>
    <w:bookmarkEnd w:id="111"/>
    <w:bookmarkStart w:id="113" w:name="ref-dawe2012"/>
    <w:p>
      <w:pPr>
        <w:pStyle w:val="Bibliography"/>
      </w:pPr>
      <w:r>
        <w:t xml:space="preserve">Dawe, David, and C. Peter Timmer. 2012.</w:t>
      </w:r>
      <w:r>
        <w:t xml:space="preserve"> </w:t>
      </w:r>
      <w:r>
        <w:t xml:space="preserve">“Why Stable Food Prices Are a Good Thing: Lessons from Stabilizing Rice Prices in</w:t>
      </w:r>
      <w:r>
        <w:t xml:space="preserve"> </w:t>
      </w:r>
      <w:r>
        <w:t xml:space="preserve">Asia</w:t>
      </w:r>
      <w:r>
        <w:t xml:space="preserve">.”</w:t>
      </w:r>
      <w:r>
        <w:t xml:space="preserve"> </w:t>
      </w:r>
      <w:r>
        <w:rPr>
          <w:i/>
          <w:iCs/>
        </w:rPr>
        <w:t xml:space="preserve">Global Food Security</w:t>
      </w:r>
      <w:r>
        <w:t xml:space="preserve"> </w:t>
      </w:r>
      <w:r>
        <w:t xml:space="preserve">1 (2): 127–33.</w:t>
      </w:r>
      <w:r>
        <w:t xml:space="preserve"> </w:t>
      </w:r>
      <w:hyperlink r:id="rId112">
        <w:r>
          <w:rPr>
            <w:rStyle w:val="Hyperlink"/>
          </w:rPr>
          <w:t xml:space="preserve">https://doi.org/10.1016/j.gfs.2012.09.001</w:t>
        </w:r>
      </w:hyperlink>
      <w:r>
        <w:t xml:space="preserve">.</w:t>
      </w:r>
    </w:p>
    <w:bookmarkEnd w:id="113"/>
    <w:bookmarkStart w:id="115" w:name="ref-deaton1989"/>
    <w:p>
      <w:pPr>
        <w:pStyle w:val="Bibliography"/>
      </w:pPr>
      <w:r>
        <w:t xml:space="preserve">Deaton, Angus. 1989.</w:t>
      </w:r>
      <w:r>
        <w:t xml:space="preserve"> </w:t>
      </w:r>
      <w:r>
        <w:t xml:space="preserve">“Rice Prices and Income Distribution in</w:t>
      </w:r>
      <w:r>
        <w:t xml:space="preserve"> </w:t>
      </w:r>
      <w:r>
        <w:t xml:space="preserve">Thailand</w:t>
      </w:r>
      <w:r>
        <w:t xml:space="preserve">: A Non-Parametric Analysis.”</w:t>
      </w:r>
      <w:r>
        <w:t xml:space="preserve"> </w:t>
      </w:r>
      <w:r>
        <w:rPr>
          <w:i/>
          <w:iCs/>
        </w:rPr>
        <w:t xml:space="preserve">The Economic Journal</w:t>
      </w:r>
      <w:r>
        <w:t xml:space="preserve"> </w:t>
      </w:r>
      <w:r>
        <w:t xml:space="preserve">99 (395): 1–37.</w:t>
      </w:r>
      <w:r>
        <w:t xml:space="preserve"> </w:t>
      </w:r>
      <w:hyperlink r:id="rId114">
        <w:r>
          <w:rPr>
            <w:rStyle w:val="Hyperlink"/>
          </w:rPr>
          <w:t xml:space="preserve">https://doi.org/10.2307/2234068</w:t>
        </w:r>
      </w:hyperlink>
      <w:r>
        <w:t xml:space="preserve">.</w:t>
      </w:r>
    </w:p>
    <w:bookmarkEnd w:id="115"/>
    <w:bookmarkStart w:id="117" w:name="ref-driscoll1998"/>
    <w:p>
      <w:pPr>
        <w:pStyle w:val="Bibliography"/>
      </w:pPr>
      <w:r>
        <w:t xml:space="preserve">Driscoll, John C., and Aart C. Kraay. 1998.</w:t>
      </w:r>
      <w:r>
        <w:t xml:space="preserve"> </w:t>
      </w:r>
      <w:r>
        <w:t xml:space="preserve">“Consistent Covariance Matrix Estimation with Spatially Dependent Panel Data.”</w:t>
      </w:r>
      <w:r>
        <w:t xml:space="preserve"> </w:t>
      </w:r>
      <w:r>
        <w:rPr>
          <w:i/>
          <w:iCs/>
        </w:rPr>
        <w:t xml:space="preserve">Review of Economics and Statistics</w:t>
      </w:r>
      <w:r>
        <w:t xml:space="preserve"> </w:t>
      </w:r>
      <w:r>
        <w:t xml:space="preserve">80 (4): 549–60.</w:t>
      </w:r>
      <w:r>
        <w:t xml:space="preserve"> </w:t>
      </w:r>
      <w:hyperlink r:id="rId116">
        <w:r>
          <w:rPr>
            <w:rStyle w:val="Hyperlink"/>
          </w:rPr>
          <w:t xml:space="preserve">https://doi.org/10.1162/003465398557825</w:t>
        </w:r>
      </w:hyperlink>
      <w:r>
        <w:t xml:space="preserve">.</w:t>
      </w:r>
    </w:p>
    <w:bookmarkEnd w:id="117"/>
    <w:bookmarkStart w:id="119" w:name="ref-furceri2016"/>
    <w:p>
      <w:pPr>
        <w:pStyle w:val="Bibliography"/>
      </w:pPr>
      <w:r>
        <w:t xml:space="preserve">Furceri, Davide, Prakash Loungani, John Simon, and Susan M. Wachter. 2016.</w:t>
      </w:r>
      <w:r>
        <w:t xml:space="preserve"> </w:t>
      </w:r>
      <w:r>
        <w:t xml:space="preserve">“Global Food Prices and Domestic Inflation: Some Cross-Country Evidence.”</w:t>
      </w:r>
      <w:r>
        <w:t xml:space="preserve"> </w:t>
      </w:r>
      <w:r>
        <w:rPr>
          <w:i/>
          <w:iCs/>
        </w:rPr>
        <w:t xml:space="preserve">Oxford Economic Papers</w:t>
      </w:r>
      <w:r>
        <w:t xml:space="preserve"> </w:t>
      </w:r>
      <w:r>
        <w:t xml:space="preserve">68 (3): 665–87.</w:t>
      </w:r>
      <w:r>
        <w:t xml:space="preserve"> </w:t>
      </w:r>
      <w:hyperlink r:id="rId118">
        <w:r>
          <w:rPr>
            <w:rStyle w:val="Hyperlink"/>
          </w:rPr>
          <w:t xml:space="preserve">https://doi.org/10.1093/oep/gpw016</w:t>
        </w:r>
      </w:hyperlink>
      <w:r>
        <w:t xml:space="preserve">.</w:t>
      </w:r>
    </w:p>
    <w:bookmarkEnd w:id="119"/>
    <w:bookmarkStart w:id="121" w:name="ref-gardner1975"/>
    <w:p>
      <w:pPr>
        <w:pStyle w:val="Bibliography"/>
      </w:pPr>
      <w:r>
        <w:t xml:space="preserve">Gardner, Bruce L. 1975.</w:t>
      </w:r>
      <w:r>
        <w:t xml:space="preserve"> </w:t>
      </w:r>
      <w:r>
        <w:t xml:space="preserve">“The Farm-Retail Price Spread in a Competitive Food Industry.”</w:t>
      </w:r>
      <w:r>
        <w:t xml:space="preserve"> </w:t>
      </w:r>
      <w:r>
        <w:rPr>
          <w:i/>
          <w:iCs/>
        </w:rPr>
        <w:t xml:space="preserve">American Journal of Agricultural Economics</w:t>
      </w:r>
      <w:r>
        <w:t xml:space="preserve"> </w:t>
      </w:r>
      <w:r>
        <w:t xml:space="preserve">57 (3): 399–409.</w:t>
      </w:r>
      <w:r>
        <w:t xml:space="preserve"> </w:t>
      </w:r>
      <w:hyperlink r:id="rId120">
        <w:r>
          <w:rPr>
            <w:rStyle w:val="Hyperlink"/>
          </w:rPr>
          <w:t xml:space="preserve">https://doi.org/10.2307/1238402</w:t>
        </w:r>
      </w:hyperlink>
      <w:r>
        <w:t xml:space="preserve">.</w:t>
      </w:r>
    </w:p>
    <w:bookmarkEnd w:id="121"/>
    <w:bookmarkStart w:id="123" w:name="ref-ivanic2008"/>
    <w:p>
      <w:pPr>
        <w:pStyle w:val="Bibliography"/>
      </w:pPr>
      <w:r>
        <w:t xml:space="preserve">Ivanic, Maros, and Will Martin. 2008.</w:t>
      </w:r>
      <w:r>
        <w:t xml:space="preserve"> </w:t>
      </w:r>
      <w:r>
        <w:t xml:space="preserve">“Implications of Higher Global Food Prices for Poverty in Low-Income Countries.”</w:t>
      </w:r>
      <w:r>
        <w:t xml:space="preserve"> </w:t>
      </w:r>
      <w:r>
        <w:rPr>
          <w:i/>
          <w:iCs/>
        </w:rPr>
        <w:t xml:space="preserve">Agricultural Economics</w:t>
      </w:r>
      <w:r>
        <w:t xml:space="preserve"> </w:t>
      </w:r>
      <w:r>
        <w:t xml:space="preserve">39 (s1): 405–16.</w:t>
      </w:r>
      <w:r>
        <w:t xml:space="preserve"> </w:t>
      </w:r>
      <w:hyperlink r:id="rId122">
        <w:r>
          <w:rPr>
            <w:rStyle w:val="Hyperlink"/>
          </w:rPr>
          <w:t xml:space="preserve">https://doi.org/10.1111/j.1574-0862.2008.00347.x</w:t>
        </w:r>
      </w:hyperlink>
      <w:r>
        <w:t xml:space="preserve">.</w:t>
      </w:r>
    </w:p>
    <w:bookmarkEnd w:id="123"/>
    <w:bookmarkStart w:id="125" w:name="ref-jorda2005"/>
    <w:p>
      <w:pPr>
        <w:pStyle w:val="Bibliography"/>
      </w:pPr>
      <w:r>
        <w:t xml:space="preserve">Jordà, Òscar. 2005.</w:t>
      </w:r>
      <w:r>
        <w:t xml:space="preserve"> </w:t>
      </w:r>
      <w:r>
        <w:t xml:space="preserve">“Estimation and Inference of Impulse Responses by Local Projections.”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95 (1): 161–82.</w:t>
      </w:r>
      <w:r>
        <w:t xml:space="preserve"> </w:t>
      </w:r>
      <w:hyperlink r:id="rId124">
        <w:r>
          <w:rPr>
            <w:rStyle w:val="Hyperlink"/>
          </w:rPr>
          <w:t xml:space="preserve">https://doi.org/10.1257/0002828053828518</w:t>
        </w:r>
      </w:hyperlink>
      <w:r>
        <w:t xml:space="preserve">.</w:t>
      </w:r>
    </w:p>
    <w:bookmarkEnd w:id="125"/>
    <w:bookmarkStart w:id="127" w:name="ref-kpodar2022"/>
    <w:p>
      <w:pPr>
        <w:pStyle w:val="Bibliography"/>
      </w:pPr>
      <w:r>
        <w:t xml:space="preserve">Kpodar, Kangni, and Boya Liu. 2022.</w:t>
      </w:r>
      <w:r>
        <w:t xml:space="preserve"> </w:t>
      </w:r>
      <w:r>
        <w:t xml:space="preserve">“The Distributional Implications of the Impact of Fuel Price Increases on Inflation.”</w:t>
      </w:r>
      <w:r>
        <w:t xml:space="preserve"> </w:t>
      </w:r>
      <w:r>
        <w:rPr>
          <w:i/>
          <w:iCs/>
        </w:rPr>
        <w:t xml:space="preserve">Energy Economics</w:t>
      </w:r>
      <w:r>
        <w:t xml:space="preserve"> </w:t>
      </w:r>
      <w:r>
        <w:t xml:space="preserve">108: 105909.</w:t>
      </w:r>
      <w:r>
        <w:t xml:space="preserve"> </w:t>
      </w:r>
      <w:hyperlink r:id="rId126">
        <w:r>
          <w:rPr>
            <w:rStyle w:val="Hyperlink"/>
          </w:rPr>
          <w:t xml:space="preserve">https://doi.org/10.1016/j.eneco.2022.105909</w:t>
        </w:r>
      </w:hyperlink>
      <w:r>
        <w:t xml:space="preserve">.</w:t>
      </w:r>
    </w:p>
    <w:bookmarkEnd w:id="127"/>
    <w:bookmarkStart w:id="129" w:name="ref-meyer2004"/>
    <w:p>
      <w:pPr>
        <w:pStyle w:val="Bibliography"/>
      </w:pPr>
      <w:r>
        <w:t xml:space="preserve">Meyer, Jochen, and Stephan von Cramon-Taubadel. 2004.</w:t>
      </w:r>
      <w:r>
        <w:t xml:space="preserve"> </w:t>
      </w:r>
      <w:r>
        <w:t xml:space="preserve">“Asymmetric Price Transmission: A Survey.”</w:t>
      </w:r>
      <w:r>
        <w:t xml:space="preserve"> </w:t>
      </w:r>
      <w:r>
        <w:rPr>
          <w:i/>
          <w:iCs/>
        </w:rPr>
        <w:t xml:space="preserve">Journal of Agricultural Economics</w:t>
      </w:r>
      <w:r>
        <w:t xml:space="preserve"> </w:t>
      </w:r>
      <w:r>
        <w:t xml:space="preserve">55 (3): 581–611.</w:t>
      </w:r>
      <w:r>
        <w:t xml:space="preserve"> </w:t>
      </w:r>
      <w:hyperlink r:id="rId128">
        <w:r>
          <w:rPr>
            <w:rStyle w:val="Hyperlink"/>
          </w:rPr>
          <w:t xml:space="preserve">https://doi.org/10.1111/j.1477-9552.2004.tb00116.x</w:t>
        </w:r>
      </w:hyperlink>
      <w:r>
        <w:t xml:space="preserve">.</w:t>
      </w:r>
    </w:p>
    <w:bookmarkEnd w:id="129"/>
    <w:bookmarkStart w:id="131" w:name="ref-montielolea2021"/>
    <w:p>
      <w:pPr>
        <w:pStyle w:val="Bibliography"/>
      </w:pPr>
      <w:r>
        <w:t xml:space="preserve">Montiel Olea, José Luis, and Mikkel Plagborg-Møller. 2021.</w:t>
      </w:r>
      <w:r>
        <w:t xml:space="preserve"> </w:t>
      </w:r>
      <w:r>
        <w:t xml:space="preserve">“Local Projection Inference Is Simpler and More Robust Than You Think.”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89 (4): 1789–823.</w:t>
      </w:r>
      <w:r>
        <w:t xml:space="preserve"> </w:t>
      </w:r>
      <w:hyperlink r:id="rId130">
        <w:r>
          <w:rPr>
            <w:rStyle w:val="Hyperlink"/>
          </w:rPr>
          <w:t xml:space="preserve">https://doi.org/10.3982/ECTA18756</w:t>
        </w:r>
      </w:hyperlink>
      <w:r>
        <w:t xml:space="preserve">.</w:t>
      </w:r>
    </w:p>
    <w:bookmarkEnd w:id="131"/>
    <w:bookmarkStart w:id="133" w:name="ref-mundlak1992"/>
    <w:p>
      <w:pPr>
        <w:pStyle w:val="Bibliography"/>
      </w:pPr>
      <w:r>
        <w:t xml:space="preserve">Mundlak, Yair, and Donald F. Larson. 1992.</w:t>
      </w:r>
      <w:r>
        <w:t xml:space="preserve"> </w:t>
      </w:r>
      <w:r>
        <w:t xml:space="preserve">“On the Transmission of World Agricultural Prices.”</w:t>
      </w:r>
      <w:r>
        <w:t xml:space="preserve"> </w:t>
      </w:r>
      <w:r>
        <w:rPr>
          <w:i/>
          <w:iCs/>
        </w:rPr>
        <w:t xml:space="preserve">The World Bank Economic Review</w:t>
      </w:r>
      <w:r>
        <w:t xml:space="preserve"> </w:t>
      </w:r>
      <w:r>
        <w:t xml:space="preserve">6 (3): 399–422.</w:t>
      </w:r>
      <w:r>
        <w:t xml:space="preserve"> </w:t>
      </w:r>
      <w:hyperlink r:id="rId132">
        <w:r>
          <w:rPr>
            <w:rStyle w:val="Hyperlink"/>
          </w:rPr>
          <w:t xml:space="preserve">https://doi.org/10.1093/wber/6.3.399</w:t>
        </w:r>
      </w:hyperlink>
      <w:r>
        <w:t xml:space="preserve">.</w:t>
      </w:r>
    </w:p>
    <w:bookmarkEnd w:id="133"/>
    <w:bookmarkStart w:id="135" w:name="ref-newey1987"/>
    <w:p>
      <w:pPr>
        <w:pStyle w:val="Bibliography"/>
      </w:pPr>
      <w:r>
        <w:t xml:space="preserve">Newey, Whitney K., and Kenneth D. West. 1987.</w:t>
      </w:r>
      <w:r>
        <w:t xml:space="preserve"> </w:t>
      </w:r>
      <w:r>
        <w:t xml:space="preserve">“A Simple, Positive Semi-Definite, Heteroskedasticity and Autocorrelation Consistent Covariance Matrix.”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55 (3): 703–8.</w:t>
      </w:r>
      <w:r>
        <w:t xml:space="preserve"> </w:t>
      </w:r>
      <w:hyperlink r:id="rId134">
        <w:r>
          <w:rPr>
            <w:rStyle w:val="Hyperlink"/>
          </w:rPr>
          <w:t xml:space="preserve">https://doi.org/10.2307/1913610</w:t>
        </w:r>
      </w:hyperlink>
      <w:r>
        <w:t xml:space="preserve">.</w:t>
      </w:r>
    </w:p>
    <w:bookmarkEnd w:id="135"/>
    <w:bookmarkStart w:id="137" w:name="ref-plagborg2021"/>
    <w:p>
      <w:pPr>
        <w:pStyle w:val="Bibliography"/>
      </w:pPr>
      <w:r>
        <w:t xml:space="preserve">Plagborg-Møller, Mikkel, and Christian K. Wolf. 2021.</w:t>
      </w:r>
      <w:r>
        <w:t xml:space="preserve"> </w:t>
      </w:r>
      <w:r>
        <w:t xml:space="preserve">“Local Projections and</w:t>
      </w:r>
      <w:r>
        <w:t xml:space="preserve"> </w:t>
      </w:r>
      <w:r>
        <w:t xml:space="preserve">VARs</w:t>
      </w:r>
      <w:r>
        <w:t xml:space="preserve"> </w:t>
      </w:r>
      <w:r>
        <w:t xml:space="preserve">Estimate the Same Impulse Responses.”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89 (2): 955–80.</w:t>
      </w:r>
      <w:r>
        <w:t xml:space="preserve"> </w:t>
      </w:r>
      <w:hyperlink r:id="rId136">
        <w:r>
          <w:rPr>
            <w:rStyle w:val="Hyperlink"/>
          </w:rPr>
          <w:t xml:space="preserve">https://doi.org/10.3982/ECTA17813</w:t>
        </w:r>
      </w:hyperlink>
      <w:r>
        <w:t xml:space="preserve">.</w:t>
      </w:r>
    </w:p>
    <w:bookmarkEnd w:id="137"/>
    <w:bookmarkStart w:id="139" w:name="ref-teulings2014"/>
    <w:p>
      <w:pPr>
        <w:pStyle w:val="Bibliography"/>
      </w:pPr>
      <w:r>
        <w:t xml:space="preserve">Teulings, Coen N., and Nikolay Zubanov. 2014.</w:t>
      </w:r>
      <w:r>
        <w:t xml:space="preserve"> </w:t>
      </w:r>
      <w:r>
        <w:t xml:space="preserve">“Is Economic Recovery a Myth? Robust Estimation of Impulse Responses.”</w:t>
      </w:r>
      <w:r>
        <w:t xml:space="preserve"> </w:t>
      </w:r>
      <w:r>
        <w:rPr>
          <w:i/>
          <w:iCs/>
        </w:rPr>
        <w:t xml:space="preserve">Journal of Applied Econometrics</w:t>
      </w:r>
      <w:r>
        <w:t xml:space="preserve"> </w:t>
      </w:r>
      <w:r>
        <w:t xml:space="preserve">29 (3): 497–514.</w:t>
      </w:r>
      <w:r>
        <w:t xml:space="preserve"> </w:t>
      </w:r>
      <w:hyperlink r:id="rId138">
        <w:r>
          <w:rPr>
            <w:rStyle w:val="Hyperlink"/>
          </w:rPr>
          <w:t xml:space="preserve">https://doi.org/10.1002/jae.2333</w:t>
        </w:r>
      </w:hyperlink>
      <w:r>
        <w:t xml:space="preserve">.</w:t>
      </w:r>
    </w:p>
    <w:bookmarkEnd w:id="139"/>
    <w:bookmarkStart w:id="141" w:name="ref-trinidad2026"/>
    <w:p>
      <w:pPr>
        <w:pStyle w:val="Bibliography"/>
      </w:pPr>
      <w:r>
        <w:t xml:space="preserve">Trinidad, Emmanuel G., Majah-Leah V. Ravago, and Arsenio M. Balisacan. 2026.</w:t>
      </w:r>
      <w:r>
        <w:t xml:space="preserve"> </w:t>
      </w:r>
      <w:r>
        <w:t xml:space="preserve">“Tariff Cuts Without Consumer Gains?</w:t>
      </w:r>
      <w:r>
        <w:t xml:space="preserve"> </w:t>
      </w:r>
      <w:r>
        <w:t xml:space="preserve">A</w:t>
      </w:r>
      <w:r>
        <w:t xml:space="preserve"> </w:t>
      </w:r>
      <w:r>
        <w:t xml:space="preserve">Competition Policy Perspective on</w:t>
      </w:r>
      <w:r>
        <w:t xml:space="preserve"> </w:t>
      </w:r>
      <w:r>
        <w:t xml:space="preserve">Philippine</w:t>
      </w:r>
      <w:r>
        <w:t xml:space="preserve"> </w:t>
      </w:r>
      <w:r>
        <w:t xml:space="preserve">Price Trends.”</w:t>
      </w:r>
      <w:r>
        <w:t xml:space="preserve"> </w:t>
      </w:r>
      <w:r>
        <w:rPr>
          <w:i/>
          <w:iCs/>
        </w:rPr>
        <w:t xml:space="preserve">The Philippine Review of Economics</w:t>
      </w:r>
      <w:r>
        <w:t xml:space="preserve"> </w:t>
      </w:r>
      <w:r>
        <w:t xml:space="preserve">63 (1): 5–42.</w:t>
      </w:r>
      <w:r>
        <w:t xml:space="preserve"> </w:t>
      </w:r>
      <w:hyperlink r:id="rId140">
        <w:r>
          <w:rPr>
            <w:rStyle w:val="Hyperlink"/>
          </w:rPr>
          <w:t xml:space="preserve">https://doi.org/10.37907/2erp6202j</w:t>
        </w:r>
      </w:hyperlink>
      <w:r>
        <w:t xml:space="preserve">.</w:t>
      </w:r>
    </w:p>
    <w:bookmarkEnd w:id="141"/>
    <w:bookmarkStart w:id="143" w:name="ref-valera2022"/>
    <w:p>
      <w:pPr>
        <w:pStyle w:val="Bibliography"/>
      </w:pPr>
      <w:r>
        <w:t xml:space="preserve">Valera, Harold Glenn, Jean Balié, and Emiliano Magrini. 2022.</w:t>
      </w:r>
      <w:r>
        <w:t xml:space="preserve"> </w:t>
      </w:r>
      <w:r>
        <w:t xml:space="preserve">“Is Rice Price a Major Source of Inflation in the</w:t>
      </w:r>
      <w:r>
        <w:t xml:space="preserve"> </w:t>
      </w:r>
      <w:r>
        <w:t xml:space="preserve">Philippines</w:t>
      </w:r>
      <w:r>
        <w:t xml:space="preserve">?</w:t>
      </w:r>
      <w:r>
        <w:t xml:space="preserve"> </w:t>
      </w:r>
      <w:r>
        <w:t xml:space="preserve">A</w:t>
      </w:r>
      <w:r>
        <w:t xml:space="preserve"> </w:t>
      </w:r>
      <w:r>
        <w:t xml:space="preserve">Panel Data Analysis.”</w:t>
      </w:r>
      <w:r>
        <w:t xml:space="preserve"> </w:t>
      </w:r>
      <w:r>
        <w:rPr>
          <w:i/>
          <w:iCs/>
        </w:rPr>
        <w:t xml:space="preserve">Applied Economics Letters</w:t>
      </w:r>
      <w:r>
        <w:t xml:space="preserve"> </w:t>
      </w:r>
      <w:r>
        <w:t xml:space="preserve">29 (16): 1528–32.</w:t>
      </w:r>
      <w:r>
        <w:t xml:space="preserve"> </w:t>
      </w:r>
      <w:hyperlink r:id="rId142">
        <w:r>
          <w:rPr>
            <w:rStyle w:val="Hyperlink"/>
          </w:rPr>
          <w:t xml:space="preserve">https://doi.org/10.1080/13504851.2021.1946470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65" Target="media/rId65.png" /><Relationship Type="http://schemas.openxmlformats.org/officeDocument/2006/relationships/image" Id="rId59" Target="media/rId59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75" Target="media/rId75.png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hyperlink" Id="rId98" Target="http://issaasphil.org/wp-content/uploads/2025/06/5.-Bathan-et-al.-2025-The-dynamics-of-price-transmission-FINAL.pdf" TargetMode="External" /><Relationship Type="http://schemas.openxmlformats.org/officeDocument/2006/relationships/hyperlink" Id="rId138" Target="https://doi.org/10.1002/jae.2333" TargetMode="External" /><Relationship Type="http://schemas.openxmlformats.org/officeDocument/2006/relationships/hyperlink" Id="rId92" Target="https://doi.org/10.1016/j.eap.2020.12.005" TargetMode="External" /><Relationship Type="http://schemas.openxmlformats.org/officeDocument/2006/relationships/hyperlink" Id="rId126" Target="https://doi.org/10.1016/j.eneco.2022.105909" TargetMode="External" /><Relationship Type="http://schemas.openxmlformats.org/officeDocument/2006/relationships/hyperlink" Id="rId94" Target="https://doi.org/10.1016/j.foodpol.2020.101876" TargetMode="External" /><Relationship Type="http://schemas.openxmlformats.org/officeDocument/2006/relationships/hyperlink" Id="rId112" Target="https://doi.org/10.1016/j.gfs.2012.09.001" TargetMode="External" /><Relationship Type="http://schemas.openxmlformats.org/officeDocument/2006/relationships/hyperlink" Id="rId110" Target="https://doi.org/10.1016/j.gfs.2015.01.001" TargetMode="External" /><Relationship Type="http://schemas.openxmlformats.org/officeDocument/2006/relationships/hyperlink" Id="rId104" Target="https://doi.org/10.1016/j.worlddev.2017.01.015" TargetMode="External" /><Relationship Type="http://schemas.openxmlformats.org/officeDocument/2006/relationships/hyperlink" Id="rId108" Target="https://doi.org/10.1080/00074910802008053" TargetMode="External" /><Relationship Type="http://schemas.openxmlformats.org/officeDocument/2006/relationships/hyperlink" Id="rId90" Target="https://doi.org/10.1080/0951274032000175770" TargetMode="External" /><Relationship Type="http://schemas.openxmlformats.org/officeDocument/2006/relationships/hyperlink" Id="rId142" Target="https://doi.org/10.1080/13504851.2021.1946470" TargetMode="External" /><Relationship Type="http://schemas.openxmlformats.org/officeDocument/2006/relationships/hyperlink" Id="rId118" Target="https://doi.org/10.1093/oep/gpw016" TargetMode="External" /><Relationship Type="http://schemas.openxmlformats.org/officeDocument/2006/relationships/hyperlink" Id="rId132" Target="https://doi.org/10.1093/wber/6.3.399" TargetMode="External" /><Relationship Type="http://schemas.openxmlformats.org/officeDocument/2006/relationships/hyperlink" Id="rId88" Target="https://doi.org/10.1111/1467-8489.70012" TargetMode="External" /><Relationship Type="http://schemas.openxmlformats.org/officeDocument/2006/relationships/hyperlink" Id="rId128" Target="https://doi.org/10.1111/j.1477-9552.2004.tb00116.x" TargetMode="External" /><Relationship Type="http://schemas.openxmlformats.org/officeDocument/2006/relationships/hyperlink" Id="rId122" Target="https://doi.org/10.1111/j.1574-0862.2008.00347.x" TargetMode="External" /><Relationship Type="http://schemas.openxmlformats.org/officeDocument/2006/relationships/hyperlink" Id="rId116" Target="https://doi.org/10.1162/003465398557825" TargetMode="External" /><Relationship Type="http://schemas.openxmlformats.org/officeDocument/2006/relationships/hyperlink" Id="rId124" Target="https://doi.org/10.1257/0002828053828518" TargetMode="External" /><Relationship Type="http://schemas.openxmlformats.org/officeDocument/2006/relationships/hyperlink" Id="rId106" Target="https://doi.org/10.1355/9789815011067-030" TargetMode="External" /><Relationship Type="http://schemas.openxmlformats.org/officeDocument/2006/relationships/hyperlink" Id="rId120" Target="https://doi.org/10.2307/1238402" TargetMode="External" /><Relationship Type="http://schemas.openxmlformats.org/officeDocument/2006/relationships/hyperlink" Id="rId134" Target="https://doi.org/10.2307/1913610" TargetMode="External" /><Relationship Type="http://schemas.openxmlformats.org/officeDocument/2006/relationships/hyperlink" Id="rId114" Target="https://doi.org/10.2307/2234068" TargetMode="External" /><Relationship Type="http://schemas.openxmlformats.org/officeDocument/2006/relationships/hyperlink" Id="rId140" Target="https://doi.org/10.37907/2erp6202j" TargetMode="External" /><Relationship Type="http://schemas.openxmlformats.org/officeDocument/2006/relationships/hyperlink" Id="rId136" Target="https://doi.org/10.3982/ECTA17813" TargetMode="External" /><Relationship Type="http://schemas.openxmlformats.org/officeDocument/2006/relationships/hyperlink" Id="rId130" Target="https://doi.org/10.3982/ECTA18756" TargetMode="External" /><Relationship Type="http://schemas.openxmlformats.org/officeDocument/2006/relationships/hyperlink" Id="rId96" Target="https://doi.org/10.62550/gk22125025" TargetMode="External" /><Relationship Type="http://schemas.openxmlformats.org/officeDocument/2006/relationships/hyperlink" Id="rId100" Target="https://doi.org/10.62986/dp2019.16" TargetMode="External" /><Relationship Type="http://schemas.openxmlformats.org/officeDocument/2006/relationships/hyperlink" Id="rId102" Target="https://doi.org/10.62986/pn2021.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://issaasphil.org/wp-content/uploads/2025/06/5.-Bathan-et-al.-2025-The-dynamics-of-price-transmission-FINAL.pdf" TargetMode="External" /><Relationship Type="http://schemas.openxmlformats.org/officeDocument/2006/relationships/hyperlink" Id="rId138" Target="https://doi.org/10.1002/jae.2333" TargetMode="External" /><Relationship Type="http://schemas.openxmlformats.org/officeDocument/2006/relationships/hyperlink" Id="rId92" Target="https://doi.org/10.1016/j.eap.2020.12.005" TargetMode="External" /><Relationship Type="http://schemas.openxmlformats.org/officeDocument/2006/relationships/hyperlink" Id="rId126" Target="https://doi.org/10.1016/j.eneco.2022.105909" TargetMode="External" /><Relationship Type="http://schemas.openxmlformats.org/officeDocument/2006/relationships/hyperlink" Id="rId94" Target="https://doi.org/10.1016/j.foodpol.2020.101876" TargetMode="External" /><Relationship Type="http://schemas.openxmlformats.org/officeDocument/2006/relationships/hyperlink" Id="rId112" Target="https://doi.org/10.1016/j.gfs.2012.09.001" TargetMode="External" /><Relationship Type="http://schemas.openxmlformats.org/officeDocument/2006/relationships/hyperlink" Id="rId110" Target="https://doi.org/10.1016/j.gfs.2015.01.001" TargetMode="External" /><Relationship Type="http://schemas.openxmlformats.org/officeDocument/2006/relationships/hyperlink" Id="rId104" Target="https://doi.org/10.1016/j.worlddev.2017.01.015" TargetMode="External" /><Relationship Type="http://schemas.openxmlformats.org/officeDocument/2006/relationships/hyperlink" Id="rId108" Target="https://doi.org/10.1080/00074910802008053" TargetMode="External" /><Relationship Type="http://schemas.openxmlformats.org/officeDocument/2006/relationships/hyperlink" Id="rId90" Target="https://doi.org/10.1080/0951274032000175770" TargetMode="External" /><Relationship Type="http://schemas.openxmlformats.org/officeDocument/2006/relationships/hyperlink" Id="rId142" Target="https://doi.org/10.1080/13504851.2021.1946470" TargetMode="External" /><Relationship Type="http://schemas.openxmlformats.org/officeDocument/2006/relationships/hyperlink" Id="rId118" Target="https://doi.org/10.1093/oep/gpw016" TargetMode="External" /><Relationship Type="http://schemas.openxmlformats.org/officeDocument/2006/relationships/hyperlink" Id="rId132" Target="https://doi.org/10.1093/wber/6.3.399" TargetMode="External" /><Relationship Type="http://schemas.openxmlformats.org/officeDocument/2006/relationships/hyperlink" Id="rId88" Target="https://doi.org/10.1111/1467-8489.70012" TargetMode="External" /><Relationship Type="http://schemas.openxmlformats.org/officeDocument/2006/relationships/hyperlink" Id="rId128" Target="https://doi.org/10.1111/j.1477-9552.2004.tb00116.x" TargetMode="External" /><Relationship Type="http://schemas.openxmlformats.org/officeDocument/2006/relationships/hyperlink" Id="rId122" Target="https://doi.org/10.1111/j.1574-0862.2008.00347.x" TargetMode="External" /><Relationship Type="http://schemas.openxmlformats.org/officeDocument/2006/relationships/hyperlink" Id="rId116" Target="https://doi.org/10.1162/003465398557825" TargetMode="External" /><Relationship Type="http://schemas.openxmlformats.org/officeDocument/2006/relationships/hyperlink" Id="rId124" Target="https://doi.org/10.1257/0002828053828518" TargetMode="External" /><Relationship Type="http://schemas.openxmlformats.org/officeDocument/2006/relationships/hyperlink" Id="rId106" Target="https://doi.org/10.1355/9789815011067-030" TargetMode="External" /><Relationship Type="http://schemas.openxmlformats.org/officeDocument/2006/relationships/hyperlink" Id="rId120" Target="https://doi.org/10.2307/1238402" TargetMode="External" /><Relationship Type="http://schemas.openxmlformats.org/officeDocument/2006/relationships/hyperlink" Id="rId134" Target="https://doi.org/10.2307/1913610" TargetMode="External" /><Relationship Type="http://schemas.openxmlformats.org/officeDocument/2006/relationships/hyperlink" Id="rId114" Target="https://doi.org/10.2307/2234068" TargetMode="External" /><Relationship Type="http://schemas.openxmlformats.org/officeDocument/2006/relationships/hyperlink" Id="rId140" Target="https://doi.org/10.37907/2erp6202j" TargetMode="External" /><Relationship Type="http://schemas.openxmlformats.org/officeDocument/2006/relationships/hyperlink" Id="rId136" Target="https://doi.org/10.3982/ECTA17813" TargetMode="External" /><Relationship Type="http://schemas.openxmlformats.org/officeDocument/2006/relationships/hyperlink" Id="rId130" Target="https://doi.org/10.3982/ECTA18756" TargetMode="External" /><Relationship Type="http://schemas.openxmlformats.org/officeDocument/2006/relationships/hyperlink" Id="rId96" Target="https://doi.org/10.62550/gk22125025" TargetMode="External" /><Relationship Type="http://schemas.openxmlformats.org/officeDocument/2006/relationships/hyperlink" Id="rId100" Target="https://doi.org/10.62986/dp2019.16" TargetMode="External" /><Relationship Type="http://schemas.openxmlformats.org/officeDocument/2006/relationships/hyperlink" Id="rId102" Target="https://doi.org/10.62986/pn2021.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Opening the Rice Border: World Price Pass-Through, Domestic Rice Prices and the Poor after the Philippine Rice Tariffication Law</dc:title>
  <dc:creator>[Name 1], [Name 2], [Name 3]</dc:creator>
  <cp:keywords/>
  <dcterms:created xsi:type="dcterms:W3CDTF">2026-10-14T18:38:46Z</dcterms:created>
  <dcterms:modified xsi:type="dcterms:W3CDTF">2026-10-14T18:38:46Z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/home/user/publication-d/paper/references.bib</vt:lpwstr>
  </property>
  <property fmtid="{D5CDD505-2E9C-101B-9397-08002B2CF9AE}" pid="3" name="date">
    <vt:lpwstr>October 2026</vt:lpwstr>
  </property>
  <property fmtid="{D5CDD505-2E9C-101B-9397-08002B2CF9AE}" pid="4" name="link-citations">
    <vt:lpwstr>True</vt:lpwstr>
  </property>
  <property fmtid="{D5CDD505-2E9C-101B-9397-08002B2CF9AE}" pid="5" name="subtitle">
    <vt:lpwstr>Working paper</vt:lpwstr>
  </property>
</Properties>
</file>