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</w:t>
      </w:r>
      <w:r>
        <w:t xml:space="preserve"> </w:t>
      </w:r>
      <w:r>
        <w:t xml:space="preserve">letter</w:t>
      </w:r>
    </w:p>
    <w:p>
      <w:pPr>
        <w:pStyle w:val="FirstParagraph"/>
      </w:pPr>
      <w:r>
        <w:t xml:space="preserve">16 October 2026</w:t>
      </w:r>
    </w:p>
    <w:p>
      <w:pPr>
        <w:pStyle w:val="BodyText"/>
      </w:pPr>
      <w:r>
        <w:t xml:space="preserve">The Editors</w:t>
      </w:r>
      <w:r>
        <w:br/>
      </w:r>
      <w:r>
        <w:rPr>
          <w:iCs/>
          <w:i/>
        </w:rPr>
        <w:t xml:space="preserve">Journal of Asian Economics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t xml:space="preserve">“</w:t>
      </w:r>
      <w:r>
        <w:t xml:space="preserve">Can Machine Learning Beat Simple</w:t>
      </w:r>
      <w:r>
        <w:t xml:space="preserve"> </w:t>
      </w:r>
      <w:r>
        <w:t xml:space="preserve">Benchmarks in Forecasting Philippine Inflation? Evidence from a Pre-Registered</w:t>
      </w:r>
      <w:r>
        <w:t xml:space="preserve"> </w:t>
      </w:r>
      <w:r>
        <w:t xml:space="preserve">Pseudo Out-of-Sample Evaluation, 2005–2026</w:t>
      </w:r>
      <w:r>
        <w:t xml:space="preserve">”</w:t>
      </w:r>
      <w:r>
        <w:t xml:space="preserve">, for publication in the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Asian Economics</w:t>
      </w:r>
      <w:r>
        <w:t xml:space="preserve">.</w:t>
      </w:r>
    </w:p>
    <w:p>
      <w:pPr>
        <w:pStyle w:val="BodyText"/>
      </w:pPr>
      <w:r>
        <w:t xml:space="preserve">Machine-learning methods are increasingly promoted as tools for forecasting</w:t>
      </w:r>
      <w:r>
        <w:t xml:space="preserve"> </w:t>
      </w:r>
      <w:r>
        <w:t xml:space="preserve">inflation, mostly on the strength of evidence from the United States. The</w:t>
      </w:r>
      <w:r>
        <w:t xml:space="preserve"> </w:t>
      </w:r>
      <w:r>
        <w:t xml:space="preserve">paper asks whether that evidence carries over to an Asian emerging economy</w:t>
      </w:r>
      <w:r>
        <w:t xml:space="preserve"> </w:t>
      </w:r>
      <w:r>
        <w:t xml:space="preserve">where inflation is driven by rice, food and oil shocks. Using official monthly</w:t>
      </w:r>
      <w:r>
        <w:t xml:space="preserve"> </w:t>
      </w:r>
      <w:r>
        <w:t xml:space="preserve">data from the Philippine Statistics Authority and 86 predictors, it</w:t>
      </w:r>
      <w:r>
        <w:t xml:space="preserve"> </w:t>
      </w:r>
      <w:r>
        <w:t xml:space="preserve">compares five machine-learning methods, their combination and a factor model</w:t>
      </w:r>
      <w:r>
        <w:t xml:space="preserve"> </w:t>
      </w:r>
      <w:r>
        <w:t xml:space="preserve">with standard benchmarks over 260 out-of-sample months.</w:t>
      </w:r>
    </w:p>
    <w:p>
      <w:pPr>
        <w:pStyle w:val="BodyText"/>
      </w:pPr>
      <w:r>
        <w:t xml:space="preserve">The main finding is negative and, we believe, useful. Every model beats the</w:t>
      </w:r>
      <w:r>
        <w:t xml:space="preserve"> </w:t>
      </w:r>
      <w:r>
        <w:t xml:space="preserve">random walk, but none beats a simple autoregressive benchmark: the best</w:t>
      </w:r>
      <w:r>
        <w:t xml:space="preserve"> </w:t>
      </w:r>
      <w:r>
        <w:t xml:space="preserve">machine-learning forecast has an error between 0.98 and</w:t>
      </w:r>
      <w:r>
        <w:t xml:space="preserve"> </w:t>
      </w:r>
      <w:r>
        <w:t xml:space="preserve">1.03 times the benchmark’s, and no difference is significant. The</w:t>
      </w:r>
      <w:r>
        <w:t xml:space="preserve"> </w:t>
      </w:r>
      <w:r>
        <w:t xml:space="preserve">result holds across window lengths, predictor sets and samples. Two features</w:t>
      </w:r>
      <w:r>
        <w:t xml:space="preserve"> </w:t>
      </w:r>
      <w:r>
        <w:t xml:space="preserve">make it credible. The design was pre-registered before any Philippine forecast</w:t>
      </w:r>
      <w:r>
        <w:t xml:space="preserve"> </w:t>
      </w:r>
      <w:r>
        <w:t xml:space="preserve">was computed, and the code first had to reproduce the reference paper’s main</w:t>
      </w:r>
      <w:r>
        <w:t xml:space="preserve"> </w:t>
      </w:r>
      <w:r>
        <w:t xml:space="preserve">result on US data. The paper also shows where the predictive content lies (food</w:t>
      </w:r>
      <w:r>
        <w:t xml:space="preserve"> </w:t>
      </w:r>
      <w:r>
        <w:t xml:space="preserve">and regional prices) and why it does not translate into accuracy. These lessons</w:t>
      </w:r>
      <w:r>
        <w:t xml:space="preserve"> </w:t>
      </w:r>
      <w:r>
        <w:t xml:space="preserve">are relevant to other Asian central banks with similar inflation dynamics.</w:t>
      </w:r>
    </w:p>
    <w:p>
      <w:pPr>
        <w:pStyle w:val="BodyText"/>
      </w:pPr>
      <w:r>
        <w:t xml:space="preserve">The manuscript is original, has not been published, and is not under</w:t>
      </w:r>
      <w:r>
        <w:t xml:space="preserve"> </w:t>
      </w:r>
      <w:r>
        <w:t xml:space="preserve">consideration elsewhere. There are no competing interests and no funding to</w:t>
      </w:r>
      <w:r>
        <w:t xml:space="preserve"> </w:t>
      </w:r>
      <w:r>
        <w:t xml:space="preserve">declare. All data are public, and the replication package rebuilds every number</w:t>
      </w:r>
      <w:r>
        <w:t xml:space="preserve"> </w:t>
      </w:r>
      <w:r>
        <w:t xml:space="preserve">from the raw downloads.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Lian Cataytay</w:t>
      </w:r>
      <w:r>
        <w:br/>
      </w:r>
      <w:r>
        <w:t xml:space="preserve">University of Southeastern Philippines</w:t>
      </w:r>
      <w:r>
        <w:br/>
      </w:r>
      <w:r>
        <w:t xml:space="preserve">lrcataytay00745@usep.edu.ph</w:t>
      </w:r>
    </w:p>
    <w:sectPr>
      <w:footerReference r:id="rId9" w:type="default"/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/>
      <w:ind w:firstLine="0"/>
      <w:jc w:val="center"/>
    </w:pPr>
    <w:r/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480" w:lineRule="auto"/>
      <w:ind w:left="0" w:right="0" w:firstLine="72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pPr>
      <w:keepNext w:val="0"/>
      <w:widowControl/>
      <w:spacing w:after="0" w:before="0" w:line="480" w:lineRule="auto"/>
      <w:ind w:left="0" w:right="0" w:firstLine="720"/>
      <w:jc w:val="left"/>
    </w:pPr>
    <w:qFormat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48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24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24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Date" w:type="paragraph">
    <w:name w:val="Date"/>
    <w:next w:val="BodyText"/>
    <w:qFormat/>
    <w:pPr>
      <w:keepNext/>
      <w:keepLines/>
      <w:widowControl/>
      <w:spacing w:after="48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ind w:left="0" w:right="0" w:firstLine="0"/>
      <w:jc w:val="center"/>
      <w:widowControl/>
      <w:spacing w:after="120" w:before="240" w:line="240" w:lineRule="auto"/>
    </w:pPr>
    <w:rPr>
      <w:color w:val="000000"/>
      <w:sz w:val="24"/>
      <w:szCs w:val="20"/>
      <w:rFonts w:ascii="Times New Roman" w:cs="Times New Roman" w:eastAsia="Times New Roman" w:hAnsi="Times New Roman"/>
      <w:b/>
      <w:i w:val="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240" w:before="0" w:line="240" w:lineRule="auto"/>
      <w:ind w:left="720" w:right="720" w:firstLine="0"/>
      <w:jc w:val="both"/>
    </w:pPr>
    <w:rPr>
      <w:rFonts w:ascii="Times New Roman" w:cs="Times New Roman" w:eastAsia="Times New Roman" w:hAnsi="Times New Roman"/>
      <w:b w:val="0"/>
      <w:i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120" w:before="0" w:line="240" w:lineRule="auto"/>
      <w:ind w:left="720" w:right="0" w:hanging="72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1"/>
    </w:pPr>
    <w:rPr>
      <w:rFonts w:ascii="Times New Roman" w:cs="Times New Roman" w:eastAsia="Times New Roman" w:hAnsi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2"/>
    </w:pPr>
    <w:rPr>
      <w:rFonts w:ascii="Times New Roman" w:cs="Times New Roman" w:eastAsia="Times New Roman" w:hAnsi="Times New Roman"/>
      <w:b w:val="0"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3"/>
    </w:pPr>
    <w:rPr>
      <w:rFonts w:ascii="Times New Roman" w:cs="Times New Roman" w:eastAsia="Times New Roman" w:hAnsi="Times New Roman"/>
      <w:i/>
      <w:b w:val="0"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4"/>
    </w:pPr>
    <w:rPr>
      <w:rFonts w:ascii="Times New Roman" w:cs="Times New Roman" w:eastAsia="Times New Roman" w:hAnsi="Times New Roman"/>
      <w:b w:val="0"/>
      <w:i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5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6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7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0" w:before="240" w:line="480" w:lineRule="auto"/>
      <w:ind w:left="0" w:right="0" w:firstLine="0"/>
      <w:jc w:val="left"/>
      <w:outlineLvl w:val="8"/>
    </w:pPr>
    <w:rPr>
      <w:rFonts w:ascii="Times New Roman" w:cs="Times New Roman" w:eastAsia="Times New Roman" w:hAnsi="Times New Roman"/>
      <w:b w:val="0"/>
      <w:i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240" w:before="120" w:line="240" w:lineRule="auto"/>
      <w:ind w:left="720" w:right="72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keepNext w:val="0"/>
      <w:widowControl/>
      <w:spacing w:after="4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val="single" w:sz="12" w:space="0" w:color="000000"/>
        <w:left w:val="nil"/>
        <w:bottom w:val="single" w:sz="12" w:space="0" w:color="000000"/>
        <w:right w:val="nil"/>
        <w:insideH w:val="nil"/>
        <w:insideV w:val="nil"/>
      </w:tblBorders>
    </w:tblPr>
    <w:tblStylePr w:type="firstRow">
      <w:tcPr>
        <w:tcBorders>
          <w:bottom w:val="single" w:sz="6" w:space="0" w:color="000000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/>
      <w:i w:val="0"/>
      <w:color w:val="000000"/>
      <w:sz w:val="24"/>
    </w:rPr>
  </w:style>
  <w:style w:customStyle="1" w:styleId="Definition" w:type="paragraph">
    <w:name w:val="Definition"/>
    <w:basedOn w:val="Normal"/>
    <w:pPr>
      <w:keepNext w:val="0"/>
      <w:widowControl/>
      <w:spacing w:after="120" w:before="0" w:line="240" w:lineRule="auto"/>
      <w:ind w:left="72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1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ableCaption" w:type="paragraph">
    <w:name w:val="Table Caption"/>
    <w:basedOn w:val="Caption"/>
    <w:pPr>
      <w:keepNext/>
      <w:widowControl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keepNext w:val="0"/>
      <w:widowControl/>
      <w:spacing w:after="240" w:before="1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  <w:pPr>
      <w:keepNext/>
      <w:widowControl/>
      <w:spacing w:after="0" w:before="24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CaptionedFigure" w:type="paragraph">
    <w:name w:val="Captioned Figure"/>
    <w:basedOn w:val="Figure"/>
    <w:pPr>
      <w:keepNext/>
      <w:widowControl/>
      <w:spacing w:after="0" w:before="24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b w:val="0"/>
      <w:i w:val="0"/>
      <w:color w:val="000000"/>
      <w:sz w:val="20"/>
      <w:u w:val="none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b w:val="0"/>
      <w:i w:val="0"/>
      <w:color w:val="000000"/>
      <w:sz w:val="24"/>
      <w:u w:val="none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b w:val="0"/>
      <w:i w:val="0"/>
      <w:color w:val="000000"/>
      <w:sz w:val="24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120" w:before="240" w:line="240" w:lineRule="auto"/>
      <w:ind w:left="0" w:right="0" w:firstLine="0"/>
      <w:jc w:val="left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4"/>
    </w:rPr>
  </w:style>
  <w:style w:customStyle="1" w:styleId="TableNote" w:type="paragraph">
    <w:name w:val="Table Note"/>
    <w:basedOn w:val="Normal"/>
    <w:pPr>
      <w:keepNext w:val="0"/>
      <w:widowControl/>
      <w:spacing w:after="8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0"/>
    </w:rPr>
  </w:style>
  <w:style w:customStyle="1" w:styleId="FigureNote" w:type="paragraph">
    <w:name w:val="Figure Note"/>
    <w:basedOn w:val="Normal"/>
    <w:pPr>
      <w:keepNext w:val="0"/>
      <w:widowControl/>
      <w:spacing w:after="8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/>
  <cp:keywords/>
  <dcterms:created xsi:type="dcterms:W3CDTF">2026-10-16T03:05:16Z</dcterms:created>
  <dcterms:modified xsi:type="dcterms:W3CDTF">2026-10-16T03:05:16Z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