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Push</w:t>
      </w:r>
      <w:r>
        <w:t xml:space="preserve"> </w:t>
      </w:r>
      <w:r>
        <w:t xml:space="preserve">Factors</w:t>
      </w:r>
      <w:r>
        <w:t xml:space="preserve"> </w:t>
      </w:r>
      <w:r>
        <w:t xml:space="preserve">and</w:t>
      </w:r>
      <w:r>
        <w:t xml:space="preserve"> </w:t>
      </w:r>
      <w:r>
        <w:t xml:space="preserve">Filipino</w:t>
      </w:r>
      <w:r>
        <w:t xml:space="preserve"> </w:t>
      </w:r>
      <w:r>
        <w:t xml:space="preserve">Emigration:</w:t>
      </w:r>
      <w:r>
        <w:t xml:space="preserve"> </w:t>
      </w:r>
      <w:r>
        <w:t xml:space="preserve">A</w:t>
      </w:r>
      <w:r>
        <w:t xml:space="preserve"> </w:t>
      </w:r>
      <w:r>
        <w:t xml:space="preserve">Critical</w:t>
      </w:r>
      <w:r>
        <w:t xml:space="preserve"> </w:t>
      </w:r>
      <w:r>
        <w:t xml:space="preserve">Review</w:t>
      </w:r>
      <w:r>
        <w:t xml:space="preserve"> </w:t>
      </w:r>
      <w:r>
        <w:t xml:space="preserve">of</w:t>
      </w:r>
      <w:r>
        <w:t xml:space="preserve"> </w:t>
      </w:r>
      <w:r>
        <w:t xml:space="preserve">Agbola</w:t>
      </w:r>
      <w:r>
        <w:t xml:space="preserve"> </w:t>
      </w:r>
      <w:r>
        <w:t xml:space="preserve">and</w:t>
      </w:r>
      <w:r>
        <w:t xml:space="preserve"> </w:t>
      </w:r>
      <w:r>
        <w:t xml:space="preserve">Acupan</w:t>
      </w:r>
      <w:r>
        <w:t xml:space="preserve"> </w:t>
      </w:r>
      <w:r>
        <w:t xml:space="preserve">(2010)</w:t>
      </w:r>
    </w:p>
    <w:p>
      <w:pPr>
        <w:pStyle w:val="Author"/>
      </w:pPr>
      <w:r>
        <w:t xml:space="preserve">Lian</w:t>
      </w:r>
      <w:r>
        <w:t xml:space="preserve"> </w:t>
      </w:r>
      <w:r>
        <w:t xml:space="preserve">Cataytay</w:t>
      </w:r>
      <w:r>
        <w:rPr>
          <w:rStyle w:val="FootnoteReference"/>
        </w:rPr>
        <w:footnoteReference w:id="20"/>
      </w:r>
    </w:p>
    <w:p>
      <w:pPr>
        <w:pStyle w:val="Date"/>
      </w:pPr>
      <w:r>
        <w:t xml:space="preserve">October</w:t>
      </w:r>
      <w:r>
        <w:t xml:space="preserve"> </w:t>
      </w:r>
      <w:r>
        <w:t xml:space="preserve">2026</w:t>
      </w:r>
    </w:p>
    <w:p>
      <w:pPr>
        <w:pStyle w:val="AbstractTitle"/>
      </w:pPr>
      <w:r>
        <w:t xml:space="preserve">Abstract</w:t>
      </w:r>
    </w:p>
    <w:p>
      <w:pPr>
        <w:pStyle w:val="Abstract"/>
      </w:pPr>
      <w:r>
        <w:t xml:space="preserve">This</w:t>
      </w:r>
      <w:r>
        <w:t xml:space="preserve"> </w:t>
      </w:r>
      <w:r>
        <w:t xml:space="preserve">review</w:t>
      </w:r>
      <w:r>
        <w:t xml:space="preserve"> </w:t>
      </w:r>
      <w:r>
        <w:t xml:space="preserve">assesses</w:t>
      </w:r>
      <w:r>
        <w:t xml:space="preserve"> </w:t>
      </w:r>
      <w:r>
        <w:t xml:space="preserve">Agbola</w:t>
      </w:r>
      <w:r>
        <w:t xml:space="preserve"> </w:t>
      </w:r>
      <w:r>
        <w:t xml:space="preserve">and</w:t>
      </w:r>
      <w:r>
        <w:t xml:space="preserve"> </w:t>
      </w:r>
      <w:r>
        <w:t xml:space="preserve">Acupan’s</w:t>
      </w:r>
      <w:r>
        <w:t xml:space="preserve"> </w:t>
      </w:r>
      <w:r>
        <w:t xml:space="preserve">(2010)</w:t>
      </w:r>
      <w:r>
        <w:t xml:space="preserve"> </w:t>
      </w:r>
      <w:r>
        <w:t xml:space="preserve">study</w:t>
      </w:r>
      <w:r>
        <w:t xml:space="preserve"> </w:t>
      </w:r>
      <w:r>
        <w:t xml:space="preserve">of</w:t>
      </w:r>
      <w:r>
        <w:t xml:space="preserve"> </w:t>
      </w:r>
      <w:r>
        <w:t xml:space="preserve">the</w:t>
      </w:r>
      <w:r>
        <w:t xml:space="preserve"> </w:t>
      </w:r>
      <w:r>
        <w:t xml:space="preserve">push</w:t>
      </w:r>
      <w:r>
        <w:t xml:space="preserve"> </w:t>
      </w:r>
      <w:r>
        <w:t xml:space="preserve">factors</w:t>
      </w:r>
      <w:r>
        <w:t xml:space="preserve"> </w:t>
      </w:r>
      <w:r>
        <w:t xml:space="preserve">behind</w:t>
      </w:r>
      <w:r>
        <w:t xml:space="preserve"> </w:t>
      </w:r>
      <w:r>
        <w:t xml:space="preserve">emigration</w:t>
      </w:r>
      <w:r>
        <w:t xml:space="preserve"> </w:t>
      </w:r>
      <w:r>
        <w:t xml:space="preserve">from</w:t>
      </w:r>
      <w:r>
        <w:t xml:space="preserve"> </w:t>
      </w:r>
      <w:r>
        <w:t xml:space="preserve">the</w:t>
      </w:r>
      <w:r>
        <w:t xml:space="preserve"> </w:t>
      </w:r>
      <w:r>
        <w:t xml:space="preserve">Philippines.</w:t>
      </w:r>
      <w:r>
        <w:t xml:space="preserve"> </w:t>
      </w:r>
      <w:r>
        <w:t xml:space="preserve">The</w:t>
      </w:r>
      <w:r>
        <w:t xml:space="preserve"> </w:t>
      </w:r>
      <w:r>
        <w:t xml:space="preserve">authors</w:t>
      </w:r>
      <w:r>
        <w:t xml:space="preserve"> </w:t>
      </w:r>
      <w:r>
        <w:t xml:space="preserve">estimate</w:t>
      </w:r>
      <w:r>
        <w:t xml:space="preserve"> </w:t>
      </w:r>
      <w:r>
        <w:t xml:space="preserve">an</w:t>
      </w:r>
      <w:r>
        <w:t xml:space="preserve"> </w:t>
      </w:r>
      <w:r>
        <w:t xml:space="preserve">error</w:t>
      </w:r>
      <w:r>
        <w:t xml:space="preserve"> </w:t>
      </w:r>
      <w:r>
        <w:t xml:space="preserve">correction</w:t>
      </w:r>
      <w:r>
        <w:t xml:space="preserve"> </w:t>
      </w:r>
      <w:r>
        <w:t xml:space="preserve">model</w:t>
      </w:r>
      <w:r>
        <w:t xml:space="preserve"> </w:t>
      </w:r>
      <w:r>
        <w:t xml:space="preserve">on</w:t>
      </w:r>
      <w:r>
        <w:t xml:space="preserve"> </w:t>
      </w:r>
      <w:r>
        <w:t xml:space="preserve">yearly</w:t>
      </w:r>
      <w:r>
        <w:t xml:space="preserve"> </w:t>
      </w:r>
      <w:r>
        <w:t xml:space="preserve">national</w:t>
      </w:r>
      <w:r>
        <w:t xml:space="preserve"> </w:t>
      </w:r>
      <w:r>
        <w:t xml:space="preserve">data</w:t>
      </w:r>
      <w:r>
        <w:t xml:space="preserve"> </w:t>
      </w:r>
      <w:r>
        <w:t xml:space="preserve">for</w:t>
      </w:r>
      <w:r>
        <w:t xml:space="preserve"> </w:t>
      </w:r>
      <w:r>
        <w:t xml:space="preserve">1975–2005</w:t>
      </w:r>
      <w:r>
        <w:t xml:space="preserve"> </w:t>
      </w:r>
      <w:r>
        <w:t xml:space="preserve">and</w:t>
      </w:r>
      <w:r>
        <w:t xml:space="preserve"> </w:t>
      </w:r>
      <w:r>
        <w:t xml:space="preserve">find</w:t>
      </w:r>
      <w:r>
        <w:t xml:space="preserve"> </w:t>
      </w:r>
      <w:r>
        <w:t xml:space="preserve">that</w:t>
      </w:r>
      <w:r>
        <w:t xml:space="preserve"> </w:t>
      </w:r>
      <w:r>
        <w:t xml:space="preserve">unemployment</w:t>
      </w:r>
      <w:r>
        <w:t xml:space="preserve"> </w:t>
      </w:r>
      <w:r>
        <w:t xml:space="preserve">raises</w:t>
      </w:r>
      <w:r>
        <w:t xml:space="preserve"> </w:t>
      </w:r>
      <w:r>
        <w:t xml:space="preserve">emigration,</w:t>
      </w:r>
      <w:r>
        <w:t xml:space="preserve"> </w:t>
      </w:r>
      <w:r>
        <w:t xml:space="preserve">while</w:t>
      </w:r>
      <w:r>
        <w:t xml:space="preserve"> </w:t>
      </w:r>
      <w:r>
        <w:t xml:space="preserve">adult</w:t>
      </w:r>
      <w:r>
        <w:t xml:space="preserve"> </w:t>
      </w:r>
      <w:r>
        <w:t xml:space="preserve">literacy,</w:t>
      </w:r>
      <w:r>
        <w:t xml:space="preserve"> </w:t>
      </w:r>
      <w:r>
        <w:t xml:space="preserve">political</w:t>
      </w:r>
      <w:r>
        <w:t xml:space="preserve"> </w:t>
      </w:r>
      <w:r>
        <w:t xml:space="preserve">instability</w:t>
      </w:r>
      <w:r>
        <w:t xml:space="preserve"> </w:t>
      </w:r>
      <w:r>
        <w:t xml:space="preserve">and</w:t>
      </w:r>
      <w:r>
        <w:t xml:space="preserve"> </w:t>
      </w:r>
      <w:r>
        <w:t xml:space="preserve">population</w:t>
      </w:r>
      <w:r>
        <w:t xml:space="preserve"> </w:t>
      </w:r>
      <w:r>
        <w:t xml:space="preserve">density</w:t>
      </w:r>
      <w:r>
        <w:t xml:space="preserve"> </w:t>
      </w:r>
      <w:r>
        <w:t xml:space="preserve">lower</w:t>
      </w:r>
      <w:r>
        <w:t xml:space="preserve"> </w:t>
      </w:r>
      <w:r>
        <w:t xml:space="preserve">it.</w:t>
      </w:r>
      <w:r>
        <w:t xml:space="preserve"> </w:t>
      </w:r>
      <w:r>
        <w:t xml:space="preserve">The</w:t>
      </w:r>
      <w:r>
        <w:t xml:space="preserve"> </w:t>
      </w:r>
      <w:r>
        <w:t xml:space="preserve">methods</w:t>
      </w:r>
      <w:r>
        <w:t xml:space="preserve"> </w:t>
      </w:r>
      <w:r>
        <w:t xml:space="preserve">are</w:t>
      </w:r>
      <w:r>
        <w:t xml:space="preserve"> </w:t>
      </w:r>
      <w:r>
        <w:t xml:space="preserve">applied</w:t>
      </w:r>
      <w:r>
        <w:t xml:space="preserve"> </w:t>
      </w:r>
      <w:r>
        <w:t xml:space="preserve">carefully,</w:t>
      </w:r>
      <w:r>
        <w:t xml:space="preserve"> </w:t>
      </w:r>
      <w:r>
        <w:t xml:space="preserve">but</w:t>
      </w:r>
      <w:r>
        <w:t xml:space="preserve"> </w:t>
      </w:r>
      <w:r>
        <w:t xml:space="preserve">the</w:t>
      </w:r>
      <w:r>
        <w:t xml:space="preserve"> </w:t>
      </w:r>
      <w:r>
        <w:t xml:space="preserve">sample</w:t>
      </w:r>
      <w:r>
        <w:t xml:space="preserve"> </w:t>
      </w:r>
      <w:r>
        <w:t xml:space="preserve">is</w:t>
      </w:r>
      <w:r>
        <w:t xml:space="preserve"> </w:t>
      </w:r>
      <w:r>
        <w:t xml:space="preserve">small</w:t>
      </w:r>
      <w:r>
        <w:t xml:space="preserve"> </w:t>
      </w:r>
      <w:r>
        <w:t xml:space="preserve">(31</w:t>
      </w:r>
      <w:r>
        <w:t xml:space="preserve"> </w:t>
      </w:r>
      <w:r>
        <w:t xml:space="preserve">observations</w:t>
      </w:r>
      <w:r>
        <w:t xml:space="preserve"> </w:t>
      </w:r>
      <w:r>
        <w:t xml:space="preserve">for</w:t>
      </w:r>
      <w:r>
        <w:t xml:space="preserve"> </w:t>
      </w:r>
      <w:r>
        <w:t xml:space="preserve">ten</w:t>
      </w:r>
      <w:r>
        <w:t xml:space="preserve"> </w:t>
      </w:r>
      <w:r>
        <w:t xml:space="preserve">explanatory</w:t>
      </w:r>
      <w:r>
        <w:t xml:space="preserve"> </w:t>
      </w:r>
      <w:r>
        <w:t xml:space="preserve">terms),</w:t>
      </w:r>
      <w:r>
        <w:t xml:space="preserve"> </w:t>
      </w:r>
      <w:r>
        <w:t xml:space="preserve">two</w:t>
      </w:r>
      <w:r>
        <w:t xml:space="preserve"> </w:t>
      </w:r>
      <w:r>
        <w:t xml:space="preserve">proxies</w:t>
      </w:r>
      <w:r>
        <w:t xml:space="preserve"> </w:t>
      </w:r>
      <w:r>
        <w:t xml:space="preserve">are</w:t>
      </w:r>
      <w:r>
        <w:t xml:space="preserve"> </w:t>
      </w:r>
      <w:r>
        <w:t xml:space="preserve">weak,</w:t>
      </w:r>
      <w:r>
        <w:t xml:space="preserve"> </w:t>
      </w:r>
      <w:r>
        <w:t xml:space="preserve">and</w:t>
      </w:r>
      <w:r>
        <w:t xml:space="preserve"> </w:t>
      </w:r>
      <w:r>
        <w:t xml:space="preserve">pull</w:t>
      </w:r>
      <w:r>
        <w:t xml:space="preserve"> </w:t>
      </w:r>
      <w:r>
        <w:t xml:space="preserve">factors</w:t>
      </w:r>
      <w:r>
        <w:t xml:space="preserve"> </w:t>
      </w:r>
      <w:r>
        <w:t xml:space="preserve">in</w:t>
      </w:r>
      <w:r>
        <w:t xml:space="preserve"> </w:t>
      </w:r>
      <w:r>
        <w:t xml:space="preserve">destination</w:t>
      </w:r>
      <w:r>
        <w:t xml:space="preserve"> </w:t>
      </w:r>
      <w:r>
        <w:t xml:space="preserve">countries</w:t>
      </w:r>
      <w:r>
        <w:t xml:space="preserve"> </w:t>
      </w:r>
      <w:r>
        <w:t xml:space="preserve">are</w:t>
      </w:r>
      <w:r>
        <w:t xml:space="preserve"> </w:t>
      </w:r>
      <w:r>
        <w:t xml:space="preserve">left</w:t>
      </w:r>
      <w:r>
        <w:t xml:space="preserve"> </w:t>
      </w:r>
      <w:r>
        <w:t xml:space="preserve">out.</w:t>
      </w:r>
      <w:r>
        <w:t xml:space="preserve"> </w:t>
      </w:r>
      <w:r>
        <w:t xml:space="preserve">We</w:t>
      </w:r>
      <w:r>
        <w:t xml:space="preserve"> </w:t>
      </w:r>
      <w:r>
        <w:t xml:space="preserve">suggest</w:t>
      </w:r>
      <w:r>
        <w:t xml:space="preserve"> </w:t>
      </w:r>
      <w:r>
        <w:t xml:space="preserve">four</w:t>
      </w:r>
      <w:r>
        <w:t xml:space="preserve"> </w:t>
      </w:r>
      <w:r>
        <w:t xml:space="preserve">extensions,</w:t>
      </w:r>
      <w:r>
        <w:t xml:space="preserve"> </w:t>
      </w:r>
      <w:r>
        <w:t xml:space="preserve">the</w:t>
      </w:r>
      <w:r>
        <w:t xml:space="preserve"> </w:t>
      </w:r>
      <w:r>
        <w:t xml:space="preserve">most</w:t>
      </w:r>
      <w:r>
        <w:t xml:space="preserve"> </w:t>
      </w:r>
      <w:r>
        <w:t xml:space="preserve">important</w:t>
      </w:r>
      <w:r>
        <w:t xml:space="preserve"> </w:t>
      </w:r>
      <w:r>
        <w:t xml:space="preserve">being</w:t>
      </w:r>
      <w:r>
        <w:t xml:space="preserve"> </w:t>
      </w:r>
      <w:r>
        <w:t xml:space="preserve">separate</w:t>
      </w:r>
      <w:r>
        <w:t xml:space="preserve"> </w:t>
      </w:r>
      <w:r>
        <w:t xml:space="preserve">models</w:t>
      </w:r>
      <w:r>
        <w:t xml:space="preserve"> </w:t>
      </w:r>
      <w:r>
        <w:t xml:space="preserve">for</w:t>
      </w:r>
      <w:r>
        <w:t xml:space="preserve"> </w:t>
      </w:r>
      <w:r>
        <w:t xml:space="preserve">temporary</w:t>
      </w:r>
      <w:r>
        <w:t xml:space="preserve"> </w:t>
      </w:r>
      <w:r>
        <w:t xml:space="preserve">and</w:t>
      </w:r>
      <w:r>
        <w:t xml:space="preserve"> </w:t>
      </w:r>
      <w:r>
        <w:t xml:space="preserve">permanent</w:t>
      </w:r>
      <w:r>
        <w:t xml:space="preserve"> </w:t>
      </w:r>
      <w:r>
        <w:t xml:space="preserve">migration.</w:t>
      </w:r>
    </w:p>
    <w:p>
      <w:pPr>
        <w:pStyle w:val="Abstract"/>
      </w:pPr>
      <w:r>
        <w:rPr>
          <w:bCs/>
          <w:b/>
        </w:rPr>
        <w:t xml:space="preserve">Keywords:</w:t>
      </w:r>
      <w:r>
        <w:t xml:space="preserve"> </w:t>
      </w:r>
      <w:r>
        <w:t xml:space="preserve">international</w:t>
      </w:r>
      <w:r>
        <w:t xml:space="preserve"> </w:t>
      </w:r>
      <w:r>
        <w:t xml:space="preserve">migration,</w:t>
      </w:r>
      <w:r>
        <w:t xml:space="preserve"> </w:t>
      </w:r>
      <w:r>
        <w:t xml:space="preserve">push</w:t>
      </w:r>
      <w:r>
        <w:t xml:space="preserve"> </w:t>
      </w:r>
      <w:r>
        <w:t xml:space="preserve">factors,</w:t>
      </w:r>
      <w:r>
        <w:t xml:space="preserve"> </w:t>
      </w:r>
      <w:r>
        <w:t xml:space="preserve">error</w:t>
      </w:r>
      <w:r>
        <w:t xml:space="preserve"> </w:t>
      </w:r>
      <w:r>
        <w:t xml:space="preserve">correction</w:t>
      </w:r>
      <w:r>
        <w:t xml:space="preserve"> </w:t>
      </w:r>
      <w:r>
        <w:t xml:space="preserve">model,</w:t>
      </w:r>
      <w:r>
        <w:t xml:space="preserve"> </w:t>
      </w:r>
      <w:r>
        <w:t xml:space="preserve">Philippines</w:t>
      </w:r>
    </w:p>
    <w:p>
      <w:pPr>
        <w:pStyle w:val="Abstract"/>
      </w:pPr>
      <w:r>
        <w:rPr>
          <w:bCs/>
          <w:b/>
        </w:rPr>
        <w:t xml:space="preserve">JEL</w:t>
      </w:r>
      <w:r>
        <w:rPr>
          <w:bCs/>
          <w:b/>
        </w:rPr>
        <w:t xml:space="preserve"> </w:t>
      </w:r>
      <w:r>
        <w:rPr>
          <w:bCs/>
          <w:b/>
        </w:rPr>
        <w:t xml:space="preserve">codes:</w:t>
      </w:r>
      <w:r>
        <w:t xml:space="preserve"> </w:t>
      </w:r>
      <w:r>
        <w:t xml:space="preserve">F22,</w:t>
      </w:r>
      <w:r>
        <w:t xml:space="preserve"> </w:t>
      </w:r>
      <w:r>
        <w:t xml:space="preserve">J61,</w:t>
      </w:r>
      <w:r>
        <w:t xml:space="preserve"> </w:t>
      </w:r>
      <w:r>
        <w:t xml:space="preserve">O15</w:t>
      </w:r>
    </w:p>
    <w:bookmarkStart w:id="21" w:name="introduction"/>
    <w:p>
      <w:pPr>
        <w:pStyle w:val="Heading1"/>
      </w:pPr>
      <w:r>
        <w:rPr>
          <w:rStyle w:val="SectionNumber"/>
        </w:rPr>
        <w:t xml:space="preserve">1</w:t>
      </w:r>
      <w:r>
        <w:tab/>
      </w:r>
      <w:r>
        <w:t xml:space="preserve">Introduction</w:t>
      </w:r>
    </w:p>
    <w:p>
      <w:pPr>
        <w:pStyle w:val="FirstParagraph"/>
      </w:pPr>
      <w:r>
        <w:t xml:space="preserve">About 8.2 million Filipinos live or work in more than 193 countries, and they sent home US$14.4 billion in remittances in 2007</w:t>
      </w:r>
      <w:r>
        <w:t xml:space="preserve"> </w:t>
      </w:r>
      <w:r>
        <w:t xml:space="preserve">(Agbola and Acupan 2010)</w:t>
      </w:r>
      <w:r>
        <w:t xml:space="preserve">. Sending workers abroad began in the 1970s as a short-term fix for unemployment. It has since become a permanent part of the economy. Yet, as the authors note, the causes of emigration from the Philippines are</w:t>
      </w:r>
      <w:r>
        <w:t xml:space="preserve"> </w:t>
      </w:r>
      <w:r>
        <w:t xml:space="preserve">“</w:t>
      </w:r>
      <w:r>
        <w:t xml:space="preserve">not well established.</w:t>
      </w:r>
      <w:r>
        <w:t xml:space="preserve">”</w:t>
      </w:r>
    </w:p>
    <w:p>
      <w:pPr>
        <w:pStyle w:val="BodyText"/>
      </w:pPr>
      <w:r>
        <w:t xml:space="preserve">The study asks one question: how do economic, demographic and political factors at home affect emigration? A</w:t>
      </w:r>
      <w:r>
        <w:t xml:space="preserve"> </w:t>
      </w:r>
      <w:r>
        <w:rPr>
          <w:iCs/>
          <w:i/>
        </w:rPr>
        <w:t xml:space="preserve">push factor</w:t>
      </w:r>
      <w:r>
        <w:t xml:space="preserve"> </w:t>
      </w:r>
      <w:r>
        <w:t xml:space="preserve">is a condition at home that pushes people out, such as high unemployment. A</w:t>
      </w:r>
      <w:r>
        <w:t xml:space="preserve"> </w:t>
      </w:r>
      <w:r>
        <w:rPr>
          <w:iCs/>
          <w:i/>
        </w:rPr>
        <w:t xml:space="preserve">pull factor</w:t>
      </w:r>
      <w:r>
        <w:t xml:space="preserve"> </w:t>
      </w:r>
      <w:r>
        <w:t xml:space="preserve">is a condition abroad that draws them in, such as higher wages.</w:t>
      </w:r>
    </w:p>
    <w:bookmarkEnd w:id="21"/>
    <w:bookmarkStart w:id="22" w:name="theoretical-framework"/>
    <w:p>
      <w:pPr>
        <w:pStyle w:val="Heading1"/>
      </w:pPr>
      <w:r>
        <w:rPr>
          <w:rStyle w:val="SectionNumber"/>
        </w:rPr>
        <w:t xml:space="preserve">2</w:t>
      </w:r>
      <w:r>
        <w:tab/>
      </w:r>
      <w:r>
        <w:t xml:space="preserve">Theoretical framework</w:t>
      </w:r>
    </w:p>
    <w:p>
      <w:pPr>
        <w:pStyle w:val="FirstParagraph"/>
      </w:pPr>
      <w:r>
        <w:t xml:space="preserve">The authors combine four theories. In the classic models, people migrate when they expect a better life abroad</w:t>
      </w:r>
      <w:r>
        <w:t xml:space="preserve"> </w:t>
      </w:r>
      <w:r>
        <w:t xml:space="preserve">(Ravenstein 1885; Todaro 1969)</w:t>
      </w:r>
      <w:r>
        <w:t xml:space="preserve">. Human capital theory treats migration as an investment, so more educated people should migrate more. The Roy model, as applied by</w:t>
      </w:r>
      <w:r>
        <w:t xml:space="preserve"> </w:t>
      </w:r>
      <w:r>
        <w:t xml:space="preserve">Borjas (1987)</w:t>
      </w:r>
      <w:r>
        <w:t xml:space="preserve">, says that income inequality decides which skill groups leave.</w:t>
      </w:r>
    </w:p>
    <w:p>
      <w:pPr>
        <w:pStyle w:val="BodyText"/>
      </w:pPr>
      <w:r>
        <w:t xml:space="preserve">The resulting model, in words, is</w:t>
      </w:r>
    </w:p>
    <w:p>
      <w:pPr>
        <w:pStyle w:val="BodyText"/>
      </w:pPr>
      <m:oMathPara>
        <m:oMathParaPr>
          <m:jc m:val="center"/>
        </m:oMathParaPr>
        <m:oMath>
          <m:sSub>
            <m:e>
              <m:r>
                <m:t>m</m:t>
              </m:r>
            </m:e>
            <m:sub>
              <m:r>
                <m:t>t</m:t>
              </m:r>
            </m:sub>
          </m:sSub>
          <m:r>
            <m:rPr>
              <m:sty m:val="p"/>
            </m:rPr>
            <m:t>=</m:t>
          </m:r>
          <m:r>
            <m:t>f</m:t>
          </m:r>
          <m:d>
            <m:dPr>
              <m:begChr m:val="("/>
              <m:endChr m:val=")"/>
              <m:sepChr m:val=""/>
              <m:grow/>
            </m:dPr>
            <m:e>
              <m:sSub>
                <m:e>
                  <m:r>
                    <m:t>c</m:t>
                  </m:r>
                </m:e>
                <m:sub>
                  <m:r>
                    <m:t>t</m:t>
                  </m:r>
                </m:sub>
              </m:sSub>
              <m:r>
                <m:rPr>
                  <m:sty m:val="p"/>
                </m:rPr>
                <m:t>,</m:t>
              </m:r>
              <m:r>
                <m:t> </m:t>
              </m:r>
              <m:sSub>
                <m:e>
                  <m:r>
                    <m:rPr>
                      <m:sty m:val="p"/>
                    </m:rPr>
                    <m:t>ℓ</m:t>
                  </m:r>
                </m:e>
                <m:sub>
                  <m:r>
                    <m:t>t</m:t>
                  </m:r>
                </m:sub>
              </m:sSub>
              <m:r>
                <m:rPr>
                  <m:sty m:val="p"/>
                </m:rPr>
                <m:t>,</m:t>
              </m:r>
              <m:r>
                <m:t> </m:t>
              </m:r>
              <m:sSub>
                <m:e>
                  <m:r>
                    <m:t>g</m:t>
                  </m:r>
                </m:e>
                <m:sub>
                  <m:r>
                    <m:t>t</m:t>
                  </m:r>
                </m:sub>
              </m:sSub>
              <m:r>
                <m:rPr>
                  <m:sty m:val="p"/>
                </m:rPr>
                <m:t>,</m:t>
              </m:r>
              <m:r>
                <m:t> </m:t>
              </m:r>
              <m:sSubSup>
                <m:e>
                  <m:r>
                    <m:t>g</m:t>
                  </m:r>
                </m:e>
                <m:sub>
                  <m:r>
                    <m:t>t</m:t>
                  </m:r>
                </m:sub>
                <m:sup>
                  <m:r>
                    <m:t>2</m:t>
                  </m:r>
                </m:sup>
              </m:sSubSup>
              <m:r>
                <m:rPr>
                  <m:sty m:val="p"/>
                </m:rPr>
                <m:t>,</m:t>
              </m:r>
              <m:r>
                <m:t> </m:t>
              </m:r>
              <m:sSub>
                <m:e>
                  <m:r>
                    <m:t>s</m:t>
                  </m:r>
                </m:e>
                <m:sub>
                  <m:r>
                    <m:t>t</m:t>
                  </m:r>
                </m:sub>
              </m:sSub>
              <m:r>
                <m:rPr>
                  <m:sty m:val="p"/>
                </m:rPr>
                <m:t>,</m:t>
              </m:r>
              <m:r>
                <m:t> </m:t>
              </m:r>
              <m:sSub>
                <m:e>
                  <m:r>
                    <m:t>π</m:t>
                  </m:r>
                </m:e>
                <m:sub>
                  <m:r>
                    <m:t>t</m:t>
                  </m:r>
                </m:sub>
              </m:sSub>
              <m:r>
                <m:rPr>
                  <m:sty m:val="p"/>
                </m:rPr>
                <m:t>,</m:t>
              </m:r>
              <m:r>
                <m:t> </m:t>
              </m:r>
              <m:sSub>
                <m:e>
                  <m:r>
                    <m:t>d</m:t>
                  </m:r>
                </m:e>
                <m:sub>
                  <m:r>
                    <m:t>t</m:t>
                  </m:r>
                </m:sub>
              </m:sSub>
              <m:r>
                <m:rPr>
                  <m:sty m:val="p"/>
                </m:rPr>
                <m:t>,</m:t>
              </m:r>
              <m:r>
                <m:t> </m:t>
              </m:r>
              <m:sSub>
                <m:e>
                  <m:r>
                    <m:t>u</m:t>
                  </m:r>
                </m:e>
                <m:sub>
                  <m:r>
                    <m:t>t</m:t>
                  </m:r>
                </m:sub>
              </m:sSub>
              <m:r>
                <m:rPr>
                  <m:sty m:val="p"/>
                </m:rPr>
                <m:t>,</m:t>
              </m:r>
              <m:r>
                <m:t> </m:t>
              </m:r>
              <m:sSub>
                <m:e>
                  <m:r>
                    <m:t>y</m:t>
                  </m:r>
                </m:e>
                <m:sub>
                  <m:r>
                    <m:t>t</m:t>
                  </m:r>
                </m:sub>
              </m:sSub>
            </m:e>
          </m:d>
          <m:r>
            <m:t>  </m:t>
          </m:r>
          <m:r>
            <m:t>  </m:t>
          </m:r>
          <m:d>
            <m:dPr>
              <m:begChr m:val="("/>
              <m:endChr m:val=")"/>
              <m:sepChr m:val=""/>
              <m:grow/>
            </m:dPr>
            <m:e>
              <m:r>
                <m:t>1</m:t>
              </m:r>
            </m:e>
          </m:d>
        </m:oMath>
      </m:oMathPara>
    </w:p>
    <w:p>
      <w:pPr>
        <w:pStyle w:val="FirstParagraph"/>
      </w:pPr>
      <w:r>
        <w:t xml:space="preserve">where</w:t>
      </w:r>
      <w:r>
        <w:t xml:space="preserve"> </w:t>
      </w:r>
      <m:oMath>
        <m:sSub>
          <m:e>
            <m:r>
              <m:t>m</m:t>
            </m:r>
          </m:e>
          <m:sub>
            <m:r>
              <m:t>t</m:t>
            </m:r>
          </m:sub>
        </m:sSub>
      </m:oMath>
      <w:r>
        <w:t xml:space="preserve"> </w:t>
      </w:r>
      <w:r>
        <w:t xml:space="preserve">is the migration share in year</w:t>
      </w:r>
      <w:r>
        <w:t xml:space="preserve"> </w:t>
      </w:r>
      <m:oMath>
        <m:r>
          <m:t>t</m:t>
        </m:r>
      </m:oMath>
      <w:r>
        <w:t xml:space="preserve">,</w:t>
      </w:r>
      <w:r>
        <w:t xml:space="preserve"> </w:t>
      </w:r>
      <m:oMath>
        <m:sSub>
          <m:e>
            <m:r>
              <m:t>c</m:t>
            </m:r>
          </m:e>
          <m:sub>
            <m:r>
              <m:t>t</m:t>
            </m:r>
          </m:sub>
        </m:sSub>
      </m:oMath>
      <w:r>
        <w:t xml:space="preserve"> </w:t>
      </w:r>
      <w:r>
        <w:t xml:space="preserve">the cost of migration,</w:t>
      </w:r>
      <w:r>
        <w:t xml:space="preserve"> </w:t>
      </w:r>
      <m:oMath>
        <m:sSub>
          <m:e>
            <m:r>
              <m:rPr>
                <m:sty m:val="p"/>
              </m:rPr>
              <m:t>ℓ</m:t>
            </m:r>
          </m:e>
          <m:sub>
            <m:r>
              <m:t>t</m:t>
            </m:r>
          </m:sub>
        </m:sSub>
      </m:oMath>
      <w:r>
        <w:t xml:space="preserve"> </w:t>
      </w:r>
      <w:r>
        <w:t xml:space="preserve">adult literacy,</w:t>
      </w:r>
      <w:r>
        <w:t xml:space="preserve"> </w:t>
      </w:r>
      <m:oMath>
        <m:sSub>
          <m:e>
            <m:r>
              <m:t>g</m:t>
            </m:r>
          </m:e>
          <m:sub>
            <m:r>
              <m:t>t</m:t>
            </m:r>
          </m:sub>
        </m:sSub>
      </m:oMath>
      <w:r>
        <w:t xml:space="preserve"> </w:t>
      </w:r>
      <w:r>
        <w:t xml:space="preserve">income inequality,</w:t>
      </w:r>
      <w:r>
        <w:t xml:space="preserve"> </w:t>
      </w:r>
      <m:oMath>
        <m:sSub>
          <m:e>
            <m:r>
              <m:t>s</m:t>
            </m:r>
          </m:e>
          <m:sub>
            <m:r>
              <m:t>t</m:t>
            </m:r>
          </m:sub>
        </m:sSub>
      </m:oMath>
      <w:r>
        <w:t xml:space="preserve"> </w:t>
      </w:r>
      <w:r>
        <w:t xml:space="preserve">political instability,</w:t>
      </w:r>
      <w:r>
        <w:t xml:space="preserve"> </w:t>
      </w:r>
      <m:oMath>
        <m:sSub>
          <m:e>
            <m:r>
              <m:t>π</m:t>
            </m:r>
          </m:e>
          <m:sub>
            <m:r>
              <m:t>t</m:t>
            </m:r>
          </m:sub>
        </m:sSub>
      </m:oMath>
      <w:r>
        <w:t xml:space="preserve"> </w:t>
      </w:r>
      <w:r>
        <w:t xml:space="preserve">inflation,</w:t>
      </w:r>
      <w:r>
        <w:t xml:space="preserve"> </w:t>
      </w:r>
      <m:oMath>
        <m:sSub>
          <m:e>
            <m:r>
              <m:t>d</m:t>
            </m:r>
          </m:e>
          <m:sub>
            <m:r>
              <m:t>t</m:t>
            </m:r>
          </m:sub>
        </m:sSub>
      </m:oMath>
      <w:r>
        <w:t xml:space="preserve"> </w:t>
      </w:r>
      <w:r>
        <w:t xml:space="preserve">population density,</w:t>
      </w:r>
      <w:r>
        <w:t xml:space="preserve"> </w:t>
      </w:r>
      <m:oMath>
        <m:sSub>
          <m:e>
            <m:r>
              <m:t>u</m:t>
            </m:r>
          </m:e>
          <m:sub>
            <m:r>
              <m:t>t</m:t>
            </m:r>
          </m:sub>
        </m:sSub>
      </m:oMath>
      <w:r>
        <w:t xml:space="preserve"> </w:t>
      </w:r>
      <w:r>
        <w:t xml:space="preserve">unemployment and</w:t>
      </w:r>
      <w:r>
        <w:t xml:space="preserve"> </w:t>
      </w:r>
      <m:oMath>
        <m:sSub>
          <m:e>
            <m:r>
              <m:t>y</m:t>
            </m:r>
          </m:e>
          <m:sub>
            <m:r>
              <m:t>t</m:t>
            </m:r>
          </m:sub>
        </m:sSub>
      </m:oMath>
      <w:r>
        <w:t xml:space="preserve"> </w:t>
      </w:r>
      <w:r>
        <w:t xml:space="preserve">per capita income.</w:t>
      </w:r>
    </w:p>
    <w:bookmarkEnd w:id="22"/>
    <w:bookmarkStart w:id="23" w:name="results"/>
    <w:p>
      <w:pPr>
        <w:pStyle w:val="Heading1"/>
      </w:pPr>
      <w:r>
        <w:rPr>
          <w:rStyle w:val="SectionNumber"/>
        </w:rPr>
        <w:t xml:space="preserve">3</w:t>
      </w:r>
      <w:r>
        <w:tab/>
      </w:r>
      <w:r>
        <w:t xml:space="preserve">Results</w:t>
      </w:r>
    </w:p>
    <w:p>
      <w:pPr>
        <w:pStyle w:val="FirstParagraph"/>
      </w:pPr>
      <w:r>
        <w:t xml:space="preserve">Table 1 reports the main estimates. Four push factors are statistically significant at the 5% level, and the model explains 63% of the year-to-year changes in the migration share.</w:t>
      </w:r>
    </w:p>
    <w:p>
      <w:pPr>
        <w:pStyle w:val="TableCaption"/>
      </w:pPr>
      <w:r>
        <w:t xml:space="preserve">Table 1. Error correction model estimates of the migration share, Philippines, 1975–2005</w:t>
      </w:r>
    </w:p>
    <w:tbl>
      <w:tblPr>
        <w:tblStyle w:val="Table"/>
        <w:tblW w:type="auto" w:w="0"/>
        <w:tblBorders>
          <w:top w:val="single" w:sz="12" w:space="0" w:color="000000"/>
          <w:left w:val="nil"/>
          <w:bottom w:val="single" w:sz="12" w:space="0" w:color="000000"/>
          <w:right w:val="nil"/>
          <w:insideH w:val="nil"/>
          <w:insideV w:val="nil"/>
        </w:tblBorders>
        <w:tblLook w:firstRow="1" w:lastRow="0" w:firstColumn="0" w:lastColumn="0" w:noHBand="0" w:noVBand="0" w:val="0020"/>
        <w:jc w:val="start"/>
        <w:tblCaption w:val="Table 1. Error correction model estimates of the migration share, Philippines, 1975–2005"/>
      </w:tblPr>
      <w:tblGrid>
        <w:gridCol w:w="2640"/>
        <w:gridCol w:w="2640"/>
        <w:gridCol w:w="2640"/>
      </w:tblGrid>
      <w:tr>
        <w:trPr>
          <w:tblHeader w:val="true"/>
        </w:trPr>
        <w:tc>
          <w:tcPr>
            <w:tcBorders>
              <w:bottom w:val="single" w:sz="6" w:space="0" w:color="000000"/>
            </w:tcBorders>
          </w:tcPr>
          <w:p>
            <w:pPr>
              <w:pStyle w:val="Compact"/>
              <w:spacing w:before="0" w:after="0" w:line="240" w:lineRule="auto"/>
              <w:ind w:firstLine="0" w:left="0"/>
              <w:jc w:val="left"/>
            </w:pPr>
            <w:r>
              <w:rPr>
                <w:sz w:val="20"/>
                <w:szCs w:val="20"/>
              </w:rPr>
              <w:t xml:space="preserve">Explanatory variable</w:t>
            </w:r>
          </w:p>
        </w:tc>
        <w:tc>
          <w:tcPr>
            <w:tcBorders>
              <w:bottom w:val="single" w:sz="6" w:space="0" w:color="000000"/>
            </w:tcBorders>
          </w:tcPr>
          <w:p>
            <w:pPr>
              <w:pStyle w:val="Compact"/>
              <w:spacing w:before="0" w:after="0" w:line="240" w:lineRule="auto"/>
              <w:ind w:firstLine="0" w:left="0"/>
              <w:jc w:val="right"/>
            </w:pPr>
            <w:r>
              <w:rPr>
                <w:sz w:val="20"/>
                <w:szCs w:val="20"/>
              </w:rPr>
              <w:t xml:space="preserve">Coefficient</w:t>
            </w:r>
          </w:p>
        </w:tc>
        <w:tc>
          <w:tcPr>
            <w:tcBorders>
              <w:bottom w:val="single" w:sz="6" w:space="0" w:color="000000"/>
            </w:tcBorders>
          </w:tcPr>
          <w:p>
            <w:pPr>
              <w:pStyle w:val="Compact"/>
              <w:spacing w:before="0" w:after="0" w:line="240" w:lineRule="auto"/>
              <w:ind w:firstLine="0" w:left="0"/>
              <w:jc w:val="right"/>
            </w:pPr>
            <w:r>
              <w:rPr>
                <w:iCs/>
                <w:i/>
                <w:sz w:val="20"/>
                <w:szCs w:val="20"/>
              </w:rPr>
              <w:t xml:space="preserve">t</w:t>
            </w:r>
            <w:r>
              <w:rPr>
                <w:sz w:val="20"/>
                <w:szCs w:val="20"/>
              </w:rPr>
              <w:t xml:space="preserve">-statistic</w:t>
            </w:r>
          </w:p>
        </w:tc>
      </w:tr>
      <w:tr>
        <w:tc>
          <w:tcPr/>
          <w:p>
            <w:pPr>
              <w:pStyle w:val="Compact"/>
              <w:spacing w:before="0" w:after="0" w:line="240" w:lineRule="auto"/>
              <w:ind w:firstLine="0" w:left="0"/>
              <w:jc w:val="left"/>
            </w:pPr>
            <w:r>
              <w:rPr>
                <w:sz w:val="20"/>
                <w:szCs w:val="20"/>
              </w:rPr>
              <w:t xml:space="preserve">Unemployment</w:t>
            </w:r>
          </w:p>
        </w:tc>
        <w:tc>
          <w:tcPr/>
          <w:p>
            <w:pPr>
              <w:pStyle w:val="Compact"/>
              <w:spacing w:before="0" w:after="0" w:line="240" w:lineRule="auto"/>
              <w:ind w:firstLine="0" w:left="0"/>
              <w:jc w:val="right"/>
            </w:pPr>
            <w:r>
              <w:rPr>
                <w:sz w:val="20"/>
                <w:szCs w:val="20"/>
              </w:rPr>
              <w:t xml:space="preserve">0.236***</w:t>
            </w:r>
          </w:p>
        </w:tc>
        <w:tc>
          <w:tcPr/>
          <w:p>
            <w:pPr>
              <w:pStyle w:val="Compact"/>
              <w:spacing w:before="0" w:after="0" w:line="240" w:lineRule="auto"/>
              <w:ind w:firstLine="0" w:left="0"/>
              <w:jc w:val="right"/>
            </w:pPr>
            <w:r>
              <w:rPr>
                <w:sz w:val="20"/>
                <w:szCs w:val="20"/>
              </w:rPr>
              <w:t xml:space="preserve">(4.629)</w:t>
            </w:r>
          </w:p>
        </w:tc>
      </w:tr>
      <w:tr>
        <w:tc>
          <w:tcPr/>
          <w:p>
            <w:pPr>
              <w:pStyle w:val="Compact"/>
              <w:spacing w:before="0" w:after="0" w:line="240" w:lineRule="auto"/>
              <w:ind w:firstLine="0" w:left="0"/>
              <w:jc w:val="left"/>
            </w:pPr>
            <w:r>
              <w:rPr>
                <w:sz w:val="20"/>
                <w:szCs w:val="20"/>
              </w:rPr>
              <w:t xml:space="preserve">Adult literacy</w:t>
            </w:r>
          </w:p>
        </w:tc>
        <w:tc>
          <w:tcPr/>
          <w:p>
            <w:pPr>
              <w:pStyle w:val="Compact"/>
              <w:spacing w:before="0" w:after="0" w:line="240" w:lineRule="auto"/>
              <w:ind w:firstLine="0" w:left="0"/>
              <w:jc w:val="right"/>
            </w:pPr>
            <w:r>
              <w:rPr>
                <w:sz w:val="20"/>
                <w:szCs w:val="20"/>
              </w:rPr>
              <w:t xml:space="preserve">−0.659***</w:t>
            </w:r>
          </w:p>
        </w:tc>
        <w:tc>
          <w:tcPr/>
          <w:p>
            <w:pPr>
              <w:pStyle w:val="Compact"/>
              <w:spacing w:before="0" w:after="0" w:line="240" w:lineRule="auto"/>
              <w:ind w:firstLine="0" w:left="0"/>
              <w:jc w:val="right"/>
            </w:pPr>
            <w:r>
              <w:rPr>
                <w:sz w:val="20"/>
                <w:szCs w:val="20"/>
              </w:rPr>
              <w:t xml:space="preserve">(−5.225)</w:t>
            </w:r>
          </w:p>
        </w:tc>
      </w:tr>
      <w:tr>
        <w:tc>
          <w:tcPr/>
          <w:p>
            <w:pPr>
              <w:pStyle w:val="Compact"/>
              <w:spacing w:before="0" w:after="0" w:line="240" w:lineRule="auto"/>
              <w:ind w:firstLine="0" w:left="0"/>
              <w:jc w:val="left"/>
            </w:pPr>
            <w:r>
              <w:rPr>
                <w:sz w:val="20"/>
                <w:szCs w:val="20"/>
              </w:rPr>
              <w:t xml:space="preserve">Political instability</w:t>
            </w:r>
          </w:p>
        </w:tc>
        <w:tc>
          <w:tcPr/>
          <w:p>
            <w:pPr>
              <w:pStyle w:val="Compact"/>
              <w:spacing w:before="0" w:after="0" w:line="240" w:lineRule="auto"/>
              <w:ind w:firstLine="0" w:left="0"/>
              <w:jc w:val="right"/>
            </w:pPr>
            <w:r>
              <w:rPr>
                <w:sz w:val="20"/>
                <w:szCs w:val="20"/>
              </w:rPr>
              <w:t xml:space="preserve">−0.482***</w:t>
            </w:r>
          </w:p>
        </w:tc>
        <w:tc>
          <w:tcPr/>
          <w:p>
            <w:pPr>
              <w:pStyle w:val="Compact"/>
              <w:spacing w:before="0" w:after="0" w:line="240" w:lineRule="auto"/>
              <w:ind w:firstLine="0" w:left="0"/>
              <w:jc w:val="right"/>
            </w:pPr>
            <w:r>
              <w:rPr>
                <w:sz w:val="20"/>
                <w:szCs w:val="20"/>
              </w:rPr>
              <w:t xml:space="preserve">(−3.444)</w:t>
            </w:r>
          </w:p>
        </w:tc>
      </w:tr>
      <w:tr>
        <w:tc>
          <w:tcPr/>
          <w:p>
            <w:pPr>
              <w:pStyle w:val="Compact"/>
              <w:spacing w:before="0" w:after="0" w:line="240" w:lineRule="auto"/>
              <w:ind w:firstLine="0" w:left="0"/>
              <w:jc w:val="left"/>
            </w:pPr>
            <w:r>
              <w:rPr>
                <w:sz w:val="20"/>
                <w:szCs w:val="20"/>
              </w:rPr>
              <w:t xml:space="preserve">Population density</w:t>
            </w:r>
          </w:p>
        </w:tc>
        <w:tc>
          <w:tcPr/>
          <w:p>
            <w:pPr>
              <w:pStyle w:val="Compact"/>
              <w:spacing w:before="0" w:after="0" w:line="240" w:lineRule="auto"/>
              <w:ind w:firstLine="0" w:left="0"/>
              <w:jc w:val="right"/>
            </w:pPr>
            <w:r>
              <w:rPr>
                <w:sz w:val="20"/>
                <w:szCs w:val="20"/>
              </w:rPr>
              <w:t xml:space="preserve">−0.254**</w:t>
            </w:r>
          </w:p>
        </w:tc>
        <w:tc>
          <w:tcPr/>
          <w:p>
            <w:pPr>
              <w:pStyle w:val="Compact"/>
              <w:spacing w:before="0" w:after="0" w:line="240" w:lineRule="auto"/>
              <w:ind w:firstLine="0" w:left="0"/>
              <w:jc w:val="right"/>
            </w:pPr>
            <w:r>
              <w:rPr>
                <w:sz w:val="20"/>
                <w:szCs w:val="20"/>
              </w:rPr>
              <w:t xml:space="preserve">(−2.756)</w:t>
            </w:r>
          </w:p>
        </w:tc>
      </w:tr>
      <w:tr>
        <w:tc>
          <w:tcPr/>
          <w:p>
            <w:pPr>
              <w:pStyle w:val="Compact"/>
              <w:spacing w:before="0" w:after="0" w:line="240" w:lineRule="auto"/>
              <w:ind w:firstLine="0" w:left="0"/>
              <w:jc w:val="left"/>
            </w:pPr>
            <w:r>
              <w:rPr>
                <w:sz w:val="20"/>
                <w:szCs w:val="20"/>
              </w:rPr>
              <w:t xml:space="preserve">Income inequality</w:t>
            </w:r>
          </w:p>
        </w:tc>
        <w:tc>
          <w:tcPr/>
          <w:p>
            <w:pPr>
              <w:pStyle w:val="Compact"/>
              <w:spacing w:before="0" w:after="0" w:line="240" w:lineRule="auto"/>
              <w:ind w:firstLine="0" w:left="0"/>
              <w:jc w:val="right"/>
            </w:pPr>
            <w:r>
              <w:rPr>
                <w:sz w:val="20"/>
                <w:szCs w:val="20"/>
              </w:rPr>
              <w:t xml:space="preserve">−171.195</w:t>
            </w:r>
          </w:p>
        </w:tc>
        <w:tc>
          <w:tcPr/>
          <w:p>
            <w:pPr>
              <w:pStyle w:val="Compact"/>
              <w:spacing w:before="0" w:after="0" w:line="240" w:lineRule="auto"/>
              <w:ind w:firstLine="0" w:left="0"/>
              <w:jc w:val="right"/>
            </w:pPr>
            <w:r>
              <w:rPr>
                <w:sz w:val="20"/>
                <w:szCs w:val="20"/>
              </w:rPr>
              <w:t xml:space="preserve">(−1.594)</w:t>
            </w:r>
          </w:p>
        </w:tc>
      </w:tr>
      <w:tr>
        <w:tc>
          <w:tcPr/>
          <w:p>
            <w:pPr>
              <w:pStyle w:val="Compact"/>
              <w:spacing w:before="0" w:after="0" w:line="240" w:lineRule="auto"/>
              <w:ind w:firstLine="0" w:left="0"/>
              <w:jc w:val="left"/>
            </w:pPr>
            <w:r>
              <w:rPr>
                <w:sz w:val="20"/>
                <w:szCs w:val="20"/>
              </w:rPr>
              <w:t xml:space="preserve">Income inequality²</w:t>
            </w:r>
          </w:p>
        </w:tc>
        <w:tc>
          <w:tcPr/>
          <w:p>
            <w:pPr>
              <w:pStyle w:val="Compact"/>
              <w:spacing w:before="0" w:after="0" w:line="240" w:lineRule="auto"/>
              <w:ind w:firstLine="0" w:left="0"/>
              <w:jc w:val="right"/>
            </w:pPr>
            <w:r>
              <w:rPr>
                <w:sz w:val="20"/>
                <w:szCs w:val="20"/>
              </w:rPr>
              <w:t xml:space="preserve">165.927</w:t>
            </w:r>
          </w:p>
        </w:tc>
        <w:tc>
          <w:tcPr/>
          <w:p>
            <w:pPr>
              <w:pStyle w:val="Compact"/>
              <w:spacing w:before="0" w:after="0" w:line="240" w:lineRule="auto"/>
              <w:ind w:firstLine="0" w:left="0"/>
              <w:jc w:val="right"/>
            </w:pPr>
            <w:r>
              <w:rPr>
                <w:sz w:val="20"/>
                <w:szCs w:val="20"/>
              </w:rPr>
              <w:t xml:space="preserve">(1.323)</w:t>
            </w:r>
          </w:p>
        </w:tc>
      </w:tr>
      <w:tr>
        <w:tc>
          <w:tcPr/>
          <w:p>
            <w:pPr>
              <w:pStyle w:val="Compact"/>
              <w:spacing w:before="0" w:after="0" w:line="240" w:lineRule="auto"/>
              <w:ind w:firstLine="0" w:left="0"/>
              <w:jc w:val="left"/>
            </w:pPr>
            <w:r>
              <w:rPr>
                <w:sz w:val="20"/>
                <w:szCs w:val="20"/>
              </w:rPr>
              <w:t xml:space="preserve">Inflation</w:t>
            </w:r>
          </w:p>
        </w:tc>
        <w:tc>
          <w:tcPr/>
          <w:p>
            <w:pPr>
              <w:pStyle w:val="Compact"/>
              <w:spacing w:before="0" w:after="0" w:line="240" w:lineRule="auto"/>
              <w:ind w:firstLine="0" w:left="0"/>
              <w:jc w:val="right"/>
            </w:pPr>
            <w:r>
              <w:rPr>
                <w:sz w:val="20"/>
                <w:szCs w:val="20"/>
              </w:rPr>
              <w:t xml:space="preserve">−0.036</w:t>
            </w:r>
          </w:p>
        </w:tc>
        <w:tc>
          <w:tcPr/>
          <w:p>
            <w:pPr>
              <w:pStyle w:val="Compact"/>
              <w:spacing w:before="0" w:after="0" w:line="240" w:lineRule="auto"/>
              <w:ind w:firstLine="0" w:left="0"/>
              <w:jc w:val="right"/>
            </w:pPr>
            <w:r>
              <w:rPr>
                <w:sz w:val="20"/>
                <w:szCs w:val="20"/>
              </w:rPr>
              <w:t xml:space="preserve">(−1.327)</w:t>
            </w:r>
          </w:p>
        </w:tc>
      </w:tr>
      <w:tr>
        <w:tc>
          <w:tcPr/>
          <w:p>
            <w:pPr>
              <w:pStyle w:val="Compact"/>
              <w:spacing w:before="0" w:after="0" w:line="240" w:lineRule="auto"/>
              <w:ind w:firstLine="0" w:left="0"/>
              <w:jc w:val="left"/>
            </w:pPr>
            <w:r>
              <w:rPr>
                <w:sz w:val="20"/>
                <w:szCs w:val="20"/>
              </w:rPr>
              <w:t xml:space="preserve">Cost of migration</w:t>
            </w:r>
          </w:p>
        </w:tc>
        <w:tc>
          <w:tcPr/>
          <w:p>
            <w:pPr>
              <w:pStyle w:val="Compact"/>
              <w:spacing w:before="0" w:after="0" w:line="240" w:lineRule="auto"/>
              <w:ind w:firstLine="0" w:left="0"/>
              <w:jc w:val="right"/>
            </w:pPr>
            <w:r>
              <w:rPr>
                <w:sz w:val="20"/>
                <w:szCs w:val="20"/>
              </w:rPr>
              <w:t xml:space="preserve">−0.002</w:t>
            </w:r>
          </w:p>
        </w:tc>
        <w:tc>
          <w:tcPr/>
          <w:p>
            <w:pPr>
              <w:pStyle w:val="Compact"/>
              <w:spacing w:before="0" w:after="0" w:line="240" w:lineRule="auto"/>
              <w:ind w:firstLine="0" w:left="0"/>
              <w:jc w:val="right"/>
            </w:pPr>
            <w:r>
              <w:rPr>
                <w:sz w:val="20"/>
                <w:szCs w:val="20"/>
              </w:rPr>
              <w:t xml:space="preserve">(−0.429)</w:t>
            </w:r>
          </w:p>
        </w:tc>
      </w:tr>
      <w:tr>
        <w:tc>
          <w:tcPr/>
          <w:p>
            <w:pPr>
              <w:pStyle w:val="Compact"/>
              <w:spacing w:before="0" w:after="0" w:line="240" w:lineRule="auto"/>
              <w:ind w:firstLine="0" w:left="0"/>
              <w:jc w:val="left"/>
            </w:pPr>
            <w:r>
              <w:rPr>
                <w:sz w:val="20"/>
                <w:szCs w:val="20"/>
              </w:rPr>
              <w:t xml:space="preserve">Per capita income</w:t>
            </w:r>
          </w:p>
        </w:tc>
        <w:tc>
          <w:tcPr/>
          <w:p>
            <w:pPr>
              <w:pStyle w:val="Compact"/>
              <w:spacing w:before="0" w:after="0" w:line="240" w:lineRule="auto"/>
              <w:ind w:firstLine="0" w:left="0"/>
              <w:jc w:val="right"/>
            </w:pPr>
            <w:r>
              <w:rPr>
                <w:sz w:val="20"/>
                <w:szCs w:val="20"/>
              </w:rPr>
              <w:t xml:space="preserve">−0.0002</w:t>
            </w:r>
          </w:p>
        </w:tc>
        <w:tc>
          <w:tcPr/>
          <w:p>
            <w:pPr>
              <w:pStyle w:val="Compact"/>
              <w:spacing w:before="0" w:after="0" w:line="240" w:lineRule="auto"/>
              <w:ind w:firstLine="0" w:left="0"/>
              <w:jc w:val="right"/>
            </w:pPr>
            <w:r>
              <w:rPr>
                <w:sz w:val="20"/>
                <w:szCs w:val="20"/>
              </w:rPr>
              <w:t xml:space="preserve">(−0.293)</w:t>
            </w:r>
          </w:p>
        </w:tc>
      </w:tr>
      <w:tr>
        <w:tc>
          <w:tcPr/>
          <w:p>
            <w:pPr>
              <w:pStyle w:val="Compact"/>
              <w:spacing w:before="0" w:after="0" w:line="240" w:lineRule="auto"/>
              <w:ind w:firstLine="0" w:left="0"/>
              <w:jc w:val="left"/>
            </w:pPr>
            <w:r>
              <w:rPr>
                <w:sz w:val="20"/>
                <w:szCs w:val="20"/>
              </w:rPr>
              <w:t xml:space="preserve">Adjusted R²</w:t>
            </w:r>
          </w:p>
        </w:tc>
        <w:tc>
          <w:tcPr/>
          <w:p>
            <w:pPr>
              <w:pStyle w:val="Compact"/>
              <w:spacing w:before="0" w:after="0" w:line="240" w:lineRule="auto"/>
              <w:ind w:firstLine="0" w:left="0"/>
              <w:jc w:val="right"/>
            </w:pPr>
            <w:r>
              <w:rPr>
                <w:sz w:val="20"/>
                <w:szCs w:val="20"/>
              </w:rPr>
              <w:t xml:space="preserve">0.63</w:t>
            </w:r>
          </w:p>
        </w:tc>
        <w:tc>
          <w:tcPr/>
          <w:p>
            <w:pPr>
              <w:pStyle w:val="Compact"/>
              <w:spacing w:before="0" w:after="0" w:line="240" w:lineRule="auto"/>
              <w:ind w:firstLine="0" w:left="0"/>
            </w:pPr>
          </w:p>
        </w:tc>
      </w:tr>
    </w:tbl>
    <w:p>
      <w:pPr>
        <w:pStyle w:val="TableNote"/>
      </w:pPr>
      <w:r>
        <w:rPr>
          <w:iCs/>
          <w:i/>
        </w:rPr>
        <w:t xml:space="preserve">Notes:</w:t>
      </w:r>
      <w:r>
        <w:t xml:space="preserve"> </w:t>
      </w:r>
      <w:r>
        <w:rPr>
          <w:iCs/>
          <w:i/>
        </w:rPr>
        <w:t xml:space="preserve">t</w:t>
      </w:r>
      <w:r>
        <w:t xml:space="preserve">-statistics in parentheses. ***</w:t>
      </w:r>
      <w:r>
        <w:t xml:space="preserve"> </w:t>
      </w:r>
      <w:r>
        <w:rPr>
          <w:iCs/>
          <w:i/>
        </w:rPr>
        <w:t xml:space="preserve">p</w:t>
      </w:r>
      <w:r>
        <w:t xml:space="preserve"> </w:t>
      </w:r>
      <w:r>
        <w:t xml:space="preserve">&lt; 0.01, **</w:t>
      </w:r>
      <w:r>
        <w:t xml:space="preserve"> </w:t>
      </w:r>
      <w:r>
        <w:rPr>
          <w:iCs/>
          <w:i/>
        </w:rPr>
        <w:t xml:space="preserve">p</w:t>
      </w:r>
      <w:r>
        <w:t xml:space="preserve"> </w:t>
      </w:r>
      <w:r>
        <w:t xml:space="preserve">&lt; 0.05, *</w:t>
      </w:r>
      <w:r>
        <w:t xml:space="preserve"> </w:t>
      </w:r>
      <w:r>
        <w:rPr>
          <w:iCs/>
          <w:i/>
        </w:rPr>
        <w:t xml:space="preserve">p</w:t>
      </w:r>
      <w:r>
        <w:t xml:space="preserve"> </w:t>
      </w:r>
      <w:r>
        <w:t xml:space="preserve">&lt; 0.10. The error correction term is −0.776, so about 78% of any gap from the long-run relationship closes within a year.</w:t>
      </w:r>
    </w:p>
    <w:p>
      <w:pPr>
        <w:pStyle w:val="TableNote"/>
      </w:pPr>
      <w:r>
        <w:rPr>
          <w:iCs/>
          <w:i/>
        </w:rPr>
        <w:t xml:space="preserve">Source:</w:t>
      </w:r>
      <w:r>
        <w:t xml:space="preserve"> </w:t>
      </w:r>
      <w:r>
        <w:t xml:space="preserve">Agbola and Acupan (2010)</w:t>
      </w:r>
      <w:r>
        <w:t xml:space="preserve">, Table 4.</w:t>
      </w:r>
    </w:p>
    <w:p>
      <w:pPr>
        <w:pStyle w:val="BodyText"/>
      </w:pPr>
      <w:r>
        <w:t xml:space="preserve">The positive unemployment coefficient fits the idea of emigration as a</w:t>
      </w:r>
      <w:r>
        <w:t xml:space="preserve"> </w:t>
      </w:r>
      <w:r>
        <w:t xml:space="preserve">“</w:t>
      </w:r>
      <w:r>
        <w:t xml:space="preserve">safety valve</w:t>
      </w:r>
      <w:r>
        <w:t xml:space="preserve">”</w:t>
      </w:r>
      <w:r>
        <w:t xml:space="preserve"> </w:t>
      </w:r>
      <w:r>
        <w:t xml:space="preserve">when there are not enough jobs at home. The negative literacy coefficient is the opposite of what human capital theory predicts.</w:t>
      </w:r>
    </w:p>
    <w:bookmarkEnd w:id="23"/>
    <w:bookmarkStart w:id="25" w:name="critical-assessment"/>
    <w:p>
      <w:pPr>
        <w:pStyle w:val="Heading1"/>
      </w:pPr>
      <w:r>
        <w:rPr>
          <w:rStyle w:val="SectionNumber"/>
        </w:rPr>
        <w:t xml:space="preserve">4</w:t>
      </w:r>
      <w:r>
        <w:tab/>
      </w:r>
      <w:r>
        <w:t xml:space="preserve">Critical assessment</w:t>
      </w:r>
    </w:p>
    <w:p>
      <w:pPr>
        <w:pStyle w:val="FirstParagraph"/>
      </w:pPr>
      <w:r>
        <w:t xml:space="preserve">The study’s strengths are an important question and careful time-series steps: unit root tests, cointegration tests, a general-to-specific model and diagnostic tests that all pass. Its weaknesses are three. First, the sample is small: 31 yearly observations for ten explanatory terms. Second, airfare stands in for the full cost of migration, and adult literacy stands in for education.</w:t>
      </w:r>
      <w:r>
        <w:rPr>
          <w:rStyle w:val="FootnoteReference"/>
        </w:rPr>
        <w:footnoteReference w:id="24"/>
      </w:r>
      <w:r>
        <w:t xml:space="preserve"> </w:t>
      </w:r>
      <w:r>
        <w:t xml:space="preserve">Third, only push factors are modelled.</w:t>
      </w:r>
    </w:p>
    <w:bookmarkEnd w:id="25"/>
    <w:bookmarkStart w:id="31" w:name="references"/>
    <w:p>
      <w:pPr>
        <w:pStyle w:val="Heading1"/>
      </w:pPr>
      <w:r>
        <w:t xml:space="preserve">References</w:t>
      </w:r>
    </w:p>
    <w:bookmarkStart w:id="30" w:name="refs"/>
    <w:bookmarkStart w:id="26" w:name="ref-agbola2010"/>
    <w:p>
      <w:pPr>
        <w:pStyle w:val="Bibliography"/>
      </w:pPr>
      <w:r>
        <w:t xml:space="preserve">Agbola, Frank W., and Angelito B. Acupan. 2010.</w:t>
      </w:r>
      <w:r>
        <w:t xml:space="preserve"> </w:t>
      </w:r>
      <w:r>
        <w:t xml:space="preserve">“An Empirical Analysis of International Labour Migration in the</w:t>
      </w:r>
      <w:r>
        <w:t xml:space="preserve"> </w:t>
      </w:r>
      <w:r>
        <w:t xml:space="preserve">Philippines</w:t>
      </w:r>
      <w:r>
        <w:t xml:space="preserve">.”</w:t>
      </w:r>
      <w:r>
        <w:t xml:space="preserve"> </w:t>
      </w:r>
      <w:r>
        <w:rPr>
          <w:iCs/>
          <w:i/>
        </w:rPr>
        <w:t xml:space="preserve">Economic Systems</w:t>
      </w:r>
      <w:r>
        <w:t xml:space="preserve"> </w:t>
      </w:r>
      <w:r>
        <w:t xml:space="preserve">34 (4): 386–96.</w:t>
      </w:r>
    </w:p>
    <w:bookmarkEnd w:id="26"/>
    <w:bookmarkStart w:id="27" w:name="ref-borjas1987"/>
    <w:p>
      <w:pPr>
        <w:pStyle w:val="Bibliography"/>
      </w:pPr>
      <w:r>
        <w:t xml:space="preserve">Borjas, George J. 1987.</w:t>
      </w:r>
      <w:r>
        <w:t xml:space="preserve"> </w:t>
      </w:r>
      <w:r>
        <w:t xml:space="preserve">“Self-Selection and the Earnings of Immigrants.”</w:t>
      </w:r>
      <w:r>
        <w:t xml:space="preserve"> </w:t>
      </w:r>
      <w:r>
        <w:rPr>
          <w:iCs/>
          <w:i/>
        </w:rPr>
        <w:t xml:space="preserve">American Economic Review</w:t>
      </w:r>
      <w:r>
        <w:t xml:space="preserve"> </w:t>
      </w:r>
      <w:r>
        <w:t xml:space="preserve">77 (4): 531–53.</w:t>
      </w:r>
    </w:p>
    <w:bookmarkEnd w:id="27"/>
    <w:bookmarkStart w:id="28" w:name="ref-ravenstein1885"/>
    <w:p>
      <w:pPr>
        <w:pStyle w:val="Bibliography"/>
      </w:pPr>
      <w:r>
        <w:t xml:space="preserve">Ravenstein, Ernest George. 1885.</w:t>
      </w:r>
      <w:r>
        <w:t xml:space="preserve"> </w:t>
      </w:r>
      <w:r>
        <w:t xml:space="preserve">“The Laws of Migration.”</w:t>
      </w:r>
      <w:r>
        <w:t xml:space="preserve"> </w:t>
      </w:r>
      <w:r>
        <w:rPr>
          <w:iCs/>
          <w:i/>
        </w:rPr>
        <w:t xml:space="preserve">Journal of the Statistical Society of London</w:t>
      </w:r>
      <w:r>
        <w:t xml:space="preserve"> </w:t>
      </w:r>
      <w:r>
        <w:t xml:space="preserve">48 (2): 167–235.</w:t>
      </w:r>
    </w:p>
    <w:bookmarkEnd w:id="28"/>
    <w:bookmarkStart w:id="29" w:name="ref-todaro1969"/>
    <w:p>
      <w:pPr>
        <w:pStyle w:val="Bibliography"/>
      </w:pPr>
      <w:r>
        <w:t xml:space="preserve">Todaro, Michael P. 1969.</w:t>
      </w:r>
      <w:r>
        <w:t xml:space="preserve"> </w:t>
      </w:r>
      <w:r>
        <w:t xml:space="preserve">“A Model of Labor Migration and Urban Unemployment in Less Developed Countries.”</w:t>
      </w:r>
      <w:r>
        <w:t xml:space="preserve"> </w:t>
      </w:r>
      <w:r>
        <w:rPr>
          <w:iCs/>
          <w:i/>
        </w:rPr>
        <w:t xml:space="preserve">American Economic Review</w:t>
      </w:r>
      <w:r>
        <w:t xml:space="preserve"> </w:t>
      </w:r>
      <w:r>
        <w:t xml:space="preserve">59 (1): 138–48.</w:t>
      </w:r>
    </w:p>
    <w:bookmarkEnd w:id="29"/>
    <w:bookmarkEnd w:id="30"/>
    <w:bookmarkEnd w:id="31"/>
    <w:sectPr>
      <w:footerReference r:id="rId9" w:type="default"/>
      <w:pgSz w:h="15840" w:w="12240"/>
      <w:pgMar w:bottom="1440" w:footer="720" w:gutter="0" w:header="72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after="0"/>
      <w:ind w:firstLine="0"/>
      <w:jc w:val="center"/>
    </w:pPr>
    <w:r/>
    <w:r>
      <w:rPr>
        <w:rFonts w:ascii="Times New Roman" w:hAnsi="Times New Roman" w:eastAsia="Times New Roman" w:cs="Times New Roman"/>
        <w:sz w:val="24"/>
      </w:rPr>
      <w:fldChar w:fldCharType="begin"/>
      <w:instrText xml:space="preserve"> PAGE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Graduate</w:t>
      </w:r>
      <w:r>
        <w:t xml:space="preserve"> </w:t>
      </w:r>
      <w:r>
        <w:t xml:space="preserve">student</w:t>
      </w:r>
      <w:r>
        <w:t xml:space="preserve"> </w:t>
      </w:r>
      <w:r>
        <w:t xml:space="preserve">in</w:t>
      </w:r>
      <w:r>
        <w:t xml:space="preserve"> </w:t>
      </w:r>
      <w:r>
        <w:t xml:space="preserve">economics.</w:t>
      </w:r>
      <w:r>
        <w:t xml:space="preserve"> </w:t>
      </w:r>
      <w:r>
        <w:t xml:space="preserve">This</w:t>
      </w:r>
      <w:r>
        <w:t xml:space="preserve"> </w:t>
      </w:r>
      <w:r>
        <w:t xml:space="preserve">document</w:t>
      </w:r>
      <w:r>
        <w:t xml:space="preserve"> </w:t>
      </w:r>
      <w:r>
        <w:t xml:space="preserve">is</w:t>
      </w:r>
      <w:r>
        <w:t xml:space="preserve"> </w:t>
      </w:r>
      <w:r>
        <w:t xml:space="preserve">an</w:t>
      </w:r>
      <w:r>
        <w:t xml:space="preserve"> </w:t>
      </w:r>
      <w:r>
        <w:t xml:space="preserve">example</w:t>
      </w:r>
      <w:r>
        <w:t xml:space="preserve"> </w:t>
      </w:r>
      <w:r>
        <w:t xml:space="preserve">of</w:t>
      </w:r>
      <w:r>
        <w:t xml:space="preserve"> </w:t>
      </w:r>
      <w:r>
        <w:t xml:space="preserve">the</w:t>
      </w:r>
      <w:r>
        <w:t xml:space="preserve"> </w:t>
      </w:r>
      <w:r>
        <w:t xml:space="preserve">Lian</w:t>
      </w:r>
      <w:r>
        <w:t xml:space="preserve"> </w:t>
      </w:r>
      <w:r>
        <w:t xml:space="preserve">signature</w:t>
      </w:r>
      <w:r>
        <w:t xml:space="preserve"> </w:t>
      </w:r>
      <w:r>
        <w:t xml:space="preserve">style;</w:t>
      </w:r>
      <w:r>
        <w:t xml:space="preserve"> </w:t>
      </w:r>
      <w:r>
        <w:t xml:space="preserve">the</w:t>
      </w:r>
      <w:r>
        <w:t xml:space="preserve"> </w:t>
      </w:r>
      <w:r>
        <w:t xml:space="preserve">review</w:t>
      </w:r>
      <w:r>
        <w:t xml:space="preserve"> </w:t>
      </w:r>
      <w:r>
        <w:t xml:space="preserve">text</w:t>
      </w:r>
      <w:r>
        <w:t xml:space="preserve"> </w:t>
      </w:r>
      <w:r>
        <w:t xml:space="preserve">is</w:t>
      </w:r>
      <w:r>
        <w:t xml:space="preserve"> </w:t>
      </w:r>
      <w:r>
        <w:t xml:space="preserve">a</w:t>
      </w:r>
      <w:r>
        <w:t xml:space="preserve"> </w:t>
      </w:r>
      <w:r>
        <w:t xml:space="preserve">short</w:t>
      </w:r>
      <w:r>
        <w:t xml:space="preserve"> </w:t>
      </w:r>
      <w:r>
        <w:t xml:space="preserve">illustration.</w:t>
      </w:r>
    </w:p>
  </w:footnote>
  <w:footnote w:id="24">
    <w:p>
      <w:pPr>
        <w:pStyle w:val="FootnoteText"/>
      </w:pPr>
      <w:r>
        <w:rPr>
          <w:rStyle w:val="FootnoteReference"/>
        </w:rPr>
        <w:footnoteRef/>
      </w:r>
      <w:r>
        <w:t xml:space="preserve"> </w:t>
      </w:r>
      <w:r>
        <w:t xml:space="preserve">A</w:t>
      </w:r>
      <w:r>
        <w:t xml:space="preserve"> </w:t>
      </w:r>
      <w:r>
        <w:rPr>
          <w:iCs/>
          <w:i/>
        </w:rPr>
        <w:t xml:space="preserve">proxy</w:t>
      </w:r>
      <w:r>
        <w:t xml:space="preserve"> </w:t>
      </w:r>
      <w:r>
        <w:t xml:space="preserve">is a stand-in measure for something that cannot be measured directly.</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keepNext w:val="0"/>
      <w:widowControl/>
      <w:spacing w:after="0" w:before="0" w:line="480" w:lineRule="auto"/>
      <w:ind w:left="0" w:right="0" w:firstLine="720"/>
      <w:jc w:val="left"/>
    </w:pPr>
    <w:rPr>
      <w:rFonts w:ascii="Times New Roman" w:cs="Times New Roman" w:eastAsia="Times New Roman" w:hAnsi="Times New Roman"/>
      <w:b w:val="0"/>
      <w:i w:val="0"/>
      <w:color w:val="000000"/>
      <w:sz w:val="24"/>
    </w:rPr>
  </w:style>
  <w:style w:styleId="BodyText" w:type="paragraph">
    <w:name w:val="Body Text"/>
    <w:basedOn w:val="Normal"/>
    <w:link w:val="BodyTextChar"/>
    <w:pPr>
      <w:keepNext w:val="0"/>
      <w:widowControl/>
      <w:spacing w:after="0" w:before="0" w:line="480" w:lineRule="auto"/>
      <w:ind w:left="0" w:right="0" w:firstLine="720"/>
      <w:jc w:val="left"/>
    </w:pPr>
    <w:qFormat/>
    <w:rPr>
      <w:rFonts w:ascii="Times New Roman" w:cs="Times New Roman" w:eastAsia="Times New Roman" w:hAnsi="Times New Roman"/>
      <w:b w:val="0"/>
      <w:i w:val="0"/>
      <w:color w:val="000000"/>
      <w:sz w:val="24"/>
    </w:rPr>
  </w:style>
  <w:style w:customStyle="1" w:styleId="FirstParagraph" w:type="paragraph">
    <w:name w:val="First Paragraph"/>
    <w:basedOn w:val="BodyText"/>
    <w:next w:val="BodyText"/>
    <w:qFormat/>
    <w:pPr>
      <w:keepNext w:val="0"/>
      <w:widowControl/>
      <w:spacing w:after="0" w:before="0" w:line="480" w:lineRule="auto"/>
      <w:ind w:left="0" w:right="0" w:firstLine="0"/>
      <w:jc w:val="left"/>
    </w:pPr>
    <w:rPr>
      <w:rFonts w:ascii="Times New Roman" w:cs="Times New Roman" w:eastAsia="Times New Roman" w:hAnsi="Times New Roman"/>
      <w:b w:val="0"/>
      <w:i w:val="0"/>
      <w:color w:val="000000"/>
      <w:sz w:val="24"/>
    </w:rPr>
  </w:style>
  <w:style w:customStyle="1" w:styleId="Compact" w:type="paragraph">
    <w:name w:val="Compact"/>
    <w:basedOn w:val="BodyText"/>
    <w:qFormat/>
    <w:pPr>
      <w:keepNext w:val="0"/>
      <w:widowControl/>
      <w:spacing w:after="0" w:before="0" w:line="240" w:lineRule="auto"/>
      <w:ind w:left="0" w:right="0" w:firstLine="0"/>
      <w:jc w:val="left"/>
    </w:pPr>
    <w:rPr>
      <w:rFonts w:ascii="Times New Roman" w:cs="Times New Roman" w:eastAsia="Times New Roman" w:hAnsi="Times New Roman"/>
      <w:b w:val="0"/>
      <w:i w:val="0"/>
      <w:color w:val="000000"/>
      <w:sz w:val="24"/>
    </w:rPr>
  </w:style>
  <w:style w:styleId="Title" w:type="paragraph">
    <w:name w:val="Title"/>
    <w:basedOn w:val="Normal"/>
    <w:next w:val="BodyText"/>
    <w:qFormat/>
    <w:pPr>
      <w:keepNext/>
      <w:keepLines/>
      <w:widowControl/>
      <w:spacing w:after="240" w:before="0" w:line="240" w:lineRule="auto"/>
      <w:ind w:left="0" w:right="0" w:firstLine="0"/>
      <w:jc w:val="center"/>
    </w:pPr>
    <w:rPr>
      <w:rFonts w:ascii="Times New Roman" w:cs="Times New Roman" w:eastAsia="Times New Roman" w:hAnsi="Times New Roman"/>
      <w:b/>
      <w:bCs/>
      <w:i w:val="0"/>
      <w:color w:val="000000"/>
      <w:sz w:val="28"/>
      <w:szCs w:val="36"/>
    </w:rPr>
  </w:style>
  <w:style w:styleId="Subtitle" w:type="paragraph">
    <w:name w:val="Subtitle"/>
    <w:basedOn w:val="Title"/>
    <w:next w:val="BodyText"/>
    <w:qFormat/>
    <w:pPr>
      <w:keepNext/>
      <w:keepLines/>
      <w:widowControl/>
      <w:spacing w:after="240" w:before="0" w:line="240" w:lineRule="auto"/>
      <w:ind w:left="0" w:right="0" w:firstLine="0"/>
      <w:jc w:val="center"/>
    </w:pPr>
    <w:rPr>
      <w:rFonts w:ascii="Times New Roman" w:cs="Times New Roman" w:eastAsia="Times New Roman" w:hAnsi="Times New Roman"/>
      <w:b w:val="0"/>
      <w:i w:val="0"/>
      <w:color w:val="000000"/>
      <w:sz w:val="24"/>
      <w:szCs w:val="30"/>
    </w:rPr>
  </w:style>
  <w:style w:customStyle="1" w:styleId="Author" w:type="paragraph">
    <w:name w:val="Author"/>
    <w:next w:val="BodyText"/>
    <w:qFormat/>
    <w:pPr>
      <w:keepNext/>
      <w:keepLines/>
      <w:widowControl/>
      <w:spacing w:after="0" w:before="0" w:line="240" w:lineRule="auto"/>
      <w:ind w:left="0" w:right="0" w:firstLine="0"/>
      <w:jc w:val="center"/>
    </w:pPr>
    <w:rPr>
      <w:rFonts w:ascii="Times New Roman" w:cs="Times New Roman" w:eastAsia="Times New Roman" w:hAnsi="Times New Roman"/>
      <w:b w:val="0"/>
      <w:i w:val="0"/>
      <w:color w:val="000000"/>
      <w:sz w:val="24"/>
    </w:rPr>
  </w:style>
  <w:style w:styleId="Date" w:type="paragraph">
    <w:name w:val="Date"/>
    <w:next w:val="BodyText"/>
    <w:qFormat/>
    <w:pPr>
      <w:keepNext/>
      <w:keepLines/>
      <w:widowControl/>
      <w:spacing w:after="480" w:before="0" w:line="240" w:lineRule="auto"/>
      <w:ind w:left="0" w:right="0" w:firstLine="0"/>
      <w:jc w:val="center"/>
    </w:pPr>
    <w:rPr>
      <w:rFonts w:ascii="Times New Roman" w:cs="Times New Roman" w:eastAsia="Times New Roman" w:hAnsi="Times New Roman"/>
      <w:b w:val="0"/>
      <w:i w:val="0"/>
      <w:color w:val="000000"/>
      <w:sz w:val="24"/>
    </w:rPr>
  </w:style>
  <w:style w:customStyle="1" w:styleId="AbstractTitle" w:type="paragraph">
    <w:name w:val="Abstract Title"/>
    <w:basedOn w:val="Normal"/>
    <w:next w:val="Abstract"/>
    <w:qFormat/>
    <w:pPr>
      <w:keepNext/>
      <w:keepLines/>
      <w:ind w:left="0" w:right="0" w:firstLine="0"/>
      <w:jc w:val="center"/>
      <w:widowControl/>
      <w:spacing w:after="120" w:before="240" w:line="240" w:lineRule="auto"/>
    </w:pPr>
    <w:rPr>
      <w:color w:val="000000"/>
      <w:sz w:val="24"/>
      <w:szCs w:val="20"/>
      <w:rFonts w:ascii="Times New Roman" w:cs="Times New Roman" w:eastAsia="Times New Roman" w:hAnsi="Times New Roman"/>
      <w:b/>
      <w:i w:val="0"/>
    </w:rPr>
  </w:style>
  <w:style w:customStyle="1" w:styleId="Abstract" w:type="paragraph">
    <w:name w:val="Abstract"/>
    <w:basedOn w:val="Normal"/>
    <w:next w:val="BodyText"/>
    <w:qFormat/>
    <w:pPr>
      <w:keepNext w:val="0"/>
      <w:keepLines/>
      <w:widowControl/>
      <w:spacing w:after="240" w:before="0" w:line="240" w:lineRule="auto"/>
      <w:ind w:left="720" w:right="720" w:firstLine="0"/>
      <w:jc w:val="both"/>
    </w:pPr>
    <w:rPr>
      <w:rFonts w:ascii="Times New Roman" w:cs="Times New Roman" w:eastAsia="Times New Roman" w:hAnsi="Times New Roman"/>
      <w:b w:val="0"/>
      <w:i w:val="0"/>
      <w:color w:val="000000"/>
      <w:sz w:val="24"/>
      <w:szCs w:val="20"/>
    </w:rPr>
  </w:style>
  <w:style w:styleId="Bibliography" w:type="paragraph">
    <w:name w:val="Bibliography"/>
    <w:basedOn w:val="Normal"/>
    <w:next w:val="Bibliography"/>
    <w:qFormat/>
    <w:pPr>
      <w:keepNext w:val="0"/>
      <w:widowControl/>
      <w:spacing w:after="120" w:before="0" w:line="240" w:lineRule="auto"/>
      <w:ind w:left="720" w:right="0" w:hanging="720"/>
      <w:jc w:val="left"/>
    </w:pPr>
    <w:rPr>
      <w:rFonts w:ascii="Times New Roman" w:cs="Times New Roman" w:eastAsia="Times New Roman" w:hAnsi="Times New Roman"/>
      <w:b w:val="0"/>
      <w:i w:val="0"/>
      <w:color w:val="000000"/>
      <w:sz w:val="24"/>
    </w:rPr>
  </w:style>
  <w:style w:styleId="Heading1" w:type="paragraph">
    <w:name w:val="Heading 1"/>
    <w:basedOn w:val="Normal"/>
    <w:next w:val="BodyText"/>
    <w:uiPriority w:val="9"/>
    <w:qFormat/>
    <w:pPr>
      <w:keepNext/>
      <w:keepLines/>
      <w:widowControl/>
      <w:spacing w:after="0" w:before="240" w:line="480" w:lineRule="auto"/>
      <w:ind w:left="0" w:right="0" w:firstLine="0"/>
      <w:jc w:val="left"/>
      <w:outlineLvl w:val="0"/>
    </w:pPr>
    <w:rPr>
      <w:rFonts w:ascii="Times New Roman" w:cs="Times New Roman" w:eastAsia="Times New Roman" w:hAnsi="Times New Roman"/>
      <w:b/>
      <w:bCs/>
      <w:i w:val="0"/>
      <w:color w:val="000000"/>
      <w:sz w:val="24"/>
      <w:szCs w:val="32"/>
    </w:rPr>
  </w:style>
  <w:style w:styleId="Heading2" w:type="paragraph">
    <w:name w:val="Heading 2"/>
    <w:basedOn w:val="Normal"/>
    <w:next w:val="BodyText"/>
    <w:uiPriority w:val="9"/>
    <w:unhideWhenUsed/>
    <w:qFormat/>
    <w:pPr>
      <w:keepNext/>
      <w:keepLines/>
      <w:widowControl/>
      <w:spacing w:after="0" w:before="240" w:line="480" w:lineRule="auto"/>
      <w:ind w:left="0" w:right="0" w:firstLine="0"/>
      <w:jc w:val="left"/>
      <w:outlineLvl w:val="1"/>
    </w:pPr>
    <w:rPr>
      <w:rFonts w:ascii="Times New Roman" w:cs="Times New Roman" w:eastAsia="Times New Roman" w:hAnsi="Times New Roman"/>
      <w:b/>
      <w:bCs/>
      <w:i/>
      <w:color w:val="000000"/>
      <w:sz w:val="24"/>
      <w:szCs w:val="28"/>
    </w:rPr>
  </w:style>
  <w:style w:styleId="Heading3" w:type="paragraph">
    <w:name w:val="Heading 3"/>
    <w:basedOn w:val="Normal"/>
    <w:next w:val="BodyText"/>
    <w:uiPriority w:val="9"/>
    <w:unhideWhenUsed/>
    <w:qFormat/>
    <w:pPr>
      <w:keepNext/>
      <w:keepLines/>
      <w:widowControl/>
      <w:spacing w:after="0" w:before="240" w:line="480" w:lineRule="auto"/>
      <w:ind w:left="0" w:right="0" w:firstLine="0"/>
      <w:jc w:val="left"/>
      <w:outlineLvl w:val="2"/>
    </w:pPr>
    <w:rPr>
      <w:rFonts w:ascii="Times New Roman" w:cs="Times New Roman" w:eastAsia="Times New Roman" w:hAnsi="Times New Roman"/>
      <w:b w:val="0"/>
      <w:bCs/>
      <w:i/>
      <w:color w:val="000000"/>
      <w:sz w:val="24"/>
      <w:szCs w:val="24"/>
    </w:rPr>
  </w:style>
  <w:style w:styleId="Heading4" w:type="paragraph">
    <w:name w:val="Heading 4"/>
    <w:basedOn w:val="Normal"/>
    <w:next w:val="BodyText"/>
    <w:uiPriority w:val="9"/>
    <w:unhideWhenUsed/>
    <w:qFormat/>
    <w:pPr>
      <w:keepNext/>
      <w:keepLines/>
      <w:widowControl/>
      <w:spacing w:after="0" w:before="240" w:line="480" w:lineRule="auto"/>
      <w:ind w:left="0" w:right="0" w:firstLine="0"/>
      <w:jc w:val="left"/>
      <w:outlineLvl w:val="3"/>
    </w:pPr>
    <w:rPr>
      <w:rFonts w:ascii="Times New Roman" w:cs="Times New Roman" w:eastAsia="Times New Roman" w:hAnsi="Times New Roman"/>
      <w:i/>
      <w:b w:val="0"/>
      <w:bCs/>
      <w:color w:val="000000"/>
      <w:sz w:val="24"/>
      <w:szCs w:val="24"/>
    </w:rPr>
  </w:style>
  <w:style w:styleId="Heading5" w:type="paragraph">
    <w:name w:val="Heading 5"/>
    <w:basedOn w:val="Normal"/>
    <w:next w:val="BodyText"/>
    <w:uiPriority w:val="9"/>
    <w:unhideWhenUsed/>
    <w:qFormat/>
    <w:pPr>
      <w:keepNext/>
      <w:keepLines/>
      <w:widowControl/>
      <w:spacing w:after="0" w:before="240" w:line="480" w:lineRule="auto"/>
      <w:ind w:left="0" w:right="0" w:firstLine="0"/>
      <w:jc w:val="left"/>
      <w:outlineLvl w:val="4"/>
    </w:pPr>
    <w:rPr>
      <w:rFonts w:ascii="Times New Roman" w:cs="Times New Roman" w:eastAsia="Times New Roman" w:hAnsi="Times New Roman"/>
      <w:b w:val="0"/>
      <w:i/>
      <w:iCs/>
      <w:color w:val="000000"/>
      <w:sz w:val="24"/>
      <w:szCs w:val="24"/>
    </w:rPr>
  </w:style>
  <w:style w:styleId="Heading6" w:type="paragraph">
    <w:name w:val="Heading 6"/>
    <w:basedOn w:val="Normal"/>
    <w:next w:val="BodyText"/>
    <w:uiPriority w:val="9"/>
    <w:unhideWhenUsed/>
    <w:qFormat/>
    <w:pPr>
      <w:keepNext/>
      <w:keepLines/>
      <w:widowControl/>
      <w:spacing w:after="0" w:before="240" w:line="480" w:lineRule="auto"/>
      <w:ind w:left="0" w:right="0" w:firstLine="0"/>
      <w:jc w:val="left"/>
      <w:outlineLvl w:val="5"/>
    </w:pPr>
    <w:rPr>
      <w:rFonts w:ascii="Times New Roman" w:cs="Times New Roman" w:eastAsia="Times New Roman" w:hAnsi="Times New Roman"/>
      <w:b w:val="0"/>
      <w:i/>
      <w:color w:val="000000"/>
      <w:sz w:val="24"/>
      <w:szCs w:val="24"/>
    </w:rPr>
  </w:style>
  <w:style w:styleId="Heading7" w:type="paragraph">
    <w:name w:val="Heading 7"/>
    <w:basedOn w:val="Normal"/>
    <w:next w:val="BodyText"/>
    <w:uiPriority w:val="9"/>
    <w:unhideWhenUsed/>
    <w:qFormat/>
    <w:pPr>
      <w:keepNext/>
      <w:keepLines/>
      <w:widowControl/>
      <w:spacing w:after="0" w:before="240" w:line="480" w:lineRule="auto"/>
      <w:ind w:left="0" w:right="0" w:firstLine="0"/>
      <w:jc w:val="left"/>
      <w:outlineLvl w:val="6"/>
    </w:pPr>
    <w:rPr>
      <w:rFonts w:ascii="Times New Roman" w:cs="Times New Roman" w:eastAsia="Times New Roman" w:hAnsi="Times New Roman"/>
      <w:b w:val="0"/>
      <w:i/>
      <w:color w:val="000000"/>
      <w:sz w:val="24"/>
      <w:szCs w:val="24"/>
    </w:rPr>
  </w:style>
  <w:style w:styleId="Heading8" w:type="paragraph">
    <w:name w:val="Heading 8"/>
    <w:basedOn w:val="Normal"/>
    <w:next w:val="BodyText"/>
    <w:uiPriority w:val="9"/>
    <w:unhideWhenUsed/>
    <w:qFormat/>
    <w:pPr>
      <w:keepNext/>
      <w:keepLines/>
      <w:widowControl/>
      <w:spacing w:after="0" w:before="240" w:line="480" w:lineRule="auto"/>
      <w:ind w:left="0" w:right="0" w:firstLine="0"/>
      <w:jc w:val="left"/>
      <w:outlineLvl w:val="7"/>
    </w:pPr>
    <w:rPr>
      <w:rFonts w:ascii="Times New Roman" w:cs="Times New Roman" w:eastAsia="Times New Roman" w:hAnsi="Times New Roman"/>
      <w:b w:val="0"/>
      <w:i/>
      <w:color w:val="000000"/>
      <w:sz w:val="24"/>
      <w:szCs w:val="24"/>
    </w:rPr>
  </w:style>
  <w:style w:styleId="Heading9" w:type="paragraph">
    <w:name w:val="Heading 9"/>
    <w:basedOn w:val="Normal"/>
    <w:next w:val="BodyText"/>
    <w:uiPriority w:val="9"/>
    <w:unhideWhenUsed/>
    <w:qFormat/>
    <w:pPr>
      <w:keepNext/>
      <w:keepLines/>
      <w:widowControl/>
      <w:spacing w:after="0" w:before="240" w:line="480" w:lineRule="auto"/>
      <w:ind w:left="0" w:right="0" w:firstLine="0"/>
      <w:jc w:val="left"/>
      <w:outlineLvl w:val="8"/>
    </w:pPr>
    <w:rPr>
      <w:rFonts w:ascii="Times New Roman" w:cs="Times New Roman" w:eastAsia="Times New Roman" w:hAnsi="Times New Roman"/>
      <w:b w:val="0"/>
      <w:i/>
      <w:color w:val="000000"/>
      <w:sz w:val="24"/>
      <w:szCs w:val="24"/>
    </w:rPr>
  </w:style>
  <w:style w:styleId="BlockText" w:type="paragraph">
    <w:name w:val="Block Text"/>
    <w:basedOn w:val="BodyText"/>
    <w:next w:val="BodyText"/>
    <w:uiPriority w:val="9"/>
    <w:unhideWhenUsed/>
    <w:qFormat/>
    <w:pPr>
      <w:keepNext w:val="0"/>
      <w:widowControl/>
      <w:spacing w:after="240" w:before="120" w:line="240" w:lineRule="auto"/>
      <w:ind w:left="720" w:right="720" w:firstLine="0"/>
      <w:jc w:val="left"/>
    </w:pPr>
    <w:rPr>
      <w:rFonts w:ascii="Times New Roman" w:cs="Times New Roman" w:eastAsia="Times New Roman" w:hAnsi="Times New Roman"/>
      <w:b w:val="0"/>
      <w:i w:val="0"/>
      <w:color w:val="000000"/>
      <w:sz w:val="24"/>
    </w:rPr>
  </w:style>
  <w:style w:styleId="FootnoteText" w:type="paragraph">
    <w:name w:val="Footnote Text"/>
    <w:basedOn w:val="Normal"/>
    <w:next w:val="FootnoteText"/>
    <w:uiPriority w:val="9"/>
    <w:unhideWhenUsed/>
    <w:qFormat/>
    <w:pPr>
      <w:keepNext w:val="0"/>
      <w:widowControl/>
      <w:spacing w:after="40" w:before="0" w:line="240" w:lineRule="auto"/>
      <w:ind w:left="0" w:right="0" w:firstLine="0"/>
      <w:jc w:val="left"/>
    </w:pPr>
    <w:rPr>
      <w:rFonts w:ascii="Times New Roman" w:cs="Times New Roman" w:eastAsia="Times New Roman" w:hAnsi="Times New Roman"/>
      <w:b w:val="0"/>
      <w:i w:val="0"/>
      <w:color w:val="000000"/>
      <w:sz w:val="20"/>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Borders>
        <w:top w:val="single" w:sz="12" w:space="0" w:color="000000"/>
        <w:left w:val="nil"/>
        <w:bottom w:val="single" w:sz="12" w:space="0" w:color="000000"/>
        <w:right w:val="nil"/>
        <w:insideH w:val="nil"/>
        <w:insideV w:val="nil"/>
      </w:tblBorders>
    </w:tblPr>
    <w:tblStylePr w:type="firstRow">
      <w:tcPr>
        <w:tcBorders>
          <w:bottom w:val="single" w:sz="6" w:space="0" w:color="000000"/>
        </w:tcBorders>
      </w:tcPr>
    </w:tblStylePr>
  </w:style>
  <w:style w:customStyle="1" w:styleId="DefinitionTerm" w:type="paragraph">
    <w:name w:val="Definition Term"/>
    <w:basedOn w:val="Normal"/>
    <w:next w:val="Definition"/>
    <w:pPr>
      <w:keepNext/>
      <w:keepLines/>
      <w:widowControl/>
      <w:spacing w:after="0" w:before="0" w:line="240" w:lineRule="auto"/>
      <w:ind w:left="0" w:right="0" w:firstLine="0"/>
      <w:jc w:val="left"/>
    </w:pPr>
    <w:rPr>
      <w:rFonts w:ascii="Times New Roman" w:cs="Times New Roman" w:eastAsia="Times New Roman" w:hAnsi="Times New Roman"/>
      <w:b/>
      <w:i w:val="0"/>
      <w:color w:val="000000"/>
      <w:sz w:val="24"/>
    </w:rPr>
  </w:style>
  <w:style w:customStyle="1" w:styleId="Definition" w:type="paragraph">
    <w:name w:val="Definition"/>
    <w:basedOn w:val="Normal"/>
    <w:pPr>
      <w:keepNext w:val="0"/>
      <w:widowControl/>
      <w:spacing w:after="120" w:before="0" w:line="240" w:lineRule="auto"/>
      <w:ind w:left="720" w:right="0" w:firstLine="0"/>
      <w:jc w:val="left"/>
    </w:pPr>
    <w:rPr>
      <w:rFonts w:ascii="Times New Roman" w:cs="Times New Roman" w:eastAsia="Times New Roman" w:hAnsi="Times New Roman"/>
      <w:b w:val="0"/>
      <w:i w:val="0"/>
      <w:color w:val="000000"/>
      <w:sz w:val="24"/>
    </w:rPr>
  </w:style>
  <w:style w:styleId="Caption" w:type="paragraph">
    <w:name w:val="Caption"/>
    <w:basedOn w:val="Normal"/>
    <w:link w:val="BodyTextChar"/>
    <w:pPr>
      <w:keepNext w:val="0"/>
      <w:widowControl/>
      <w:spacing w:after="240" w:before="120" w:line="240" w:lineRule="auto"/>
      <w:ind w:left="0" w:right="0" w:firstLine="0"/>
      <w:jc w:val="left"/>
    </w:pPr>
    <w:rPr>
      <w:rFonts w:ascii="Times New Roman" w:cs="Times New Roman" w:eastAsia="Times New Roman" w:hAnsi="Times New Roman"/>
      <w:b w:val="0"/>
      <w:i w:val="0"/>
      <w:color w:val="000000"/>
      <w:sz w:val="24"/>
    </w:rPr>
  </w:style>
  <w:style w:customStyle="1" w:styleId="TableCaption" w:type="paragraph">
    <w:name w:val="Table Caption"/>
    <w:basedOn w:val="Caption"/>
    <w:pPr>
      <w:keepNext/>
      <w:widowControl/>
      <w:spacing w:after="120" w:before="240" w:line="240" w:lineRule="auto"/>
      <w:ind w:left="0" w:right="0" w:firstLine="0"/>
      <w:jc w:val="left"/>
    </w:pPr>
    <w:rPr>
      <w:rFonts w:ascii="Times New Roman" w:cs="Times New Roman" w:eastAsia="Times New Roman" w:hAnsi="Times New Roman"/>
      <w:b w:val="0"/>
      <w:i w:val="0"/>
      <w:color w:val="000000"/>
      <w:sz w:val="24"/>
    </w:rPr>
  </w:style>
  <w:style w:customStyle="1" w:styleId="ImageCaption" w:type="paragraph">
    <w:name w:val="Image Caption"/>
    <w:basedOn w:val="Caption"/>
    <w:pPr>
      <w:keepNext w:val="0"/>
      <w:widowControl/>
      <w:spacing w:after="240" w:before="120" w:line="240" w:lineRule="auto"/>
      <w:ind w:left="0" w:right="0" w:firstLine="0"/>
      <w:jc w:val="left"/>
    </w:pPr>
    <w:rPr>
      <w:rFonts w:ascii="Times New Roman" w:cs="Times New Roman" w:eastAsia="Times New Roman" w:hAnsi="Times New Roman"/>
      <w:b w:val="0"/>
      <w:i w:val="0"/>
      <w:color w:val="000000"/>
      <w:sz w:val="24"/>
    </w:rPr>
  </w:style>
  <w:style w:customStyle="1" w:styleId="Figure" w:type="paragraph">
    <w:name w:val="Figure"/>
    <w:basedOn w:val="Normal"/>
    <w:pPr>
      <w:keepNext/>
      <w:widowControl/>
      <w:spacing w:after="0" w:before="240" w:line="240" w:lineRule="auto"/>
      <w:ind w:left="0" w:right="0" w:firstLine="0"/>
      <w:jc w:val="center"/>
    </w:pPr>
    <w:rPr>
      <w:rFonts w:ascii="Times New Roman" w:cs="Times New Roman" w:eastAsia="Times New Roman" w:hAnsi="Times New Roman"/>
      <w:b w:val="0"/>
      <w:i w:val="0"/>
      <w:color w:val="000000"/>
      <w:sz w:val="24"/>
    </w:rPr>
  </w:style>
  <w:style w:customStyle="1" w:styleId="CaptionedFigure" w:type="paragraph">
    <w:name w:val="Captioned Figure"/>
    <w:basedOn w:val="Figure"/>
    <w:pPr>
      <w:keepNext/>
      <w:widowControl/>
      <w:spacing w:after="0" w:before="240" w:line="240" w:lineRule="auto"/>
      <w:ind w:left="0" w:right="0" w:firstLine="0"/>
      <w:jc w:val="center"/>
    </w:pPr>
    <w:rPr>
      <w:rFonts w:ascii="Times New Roman" w:cs="Times New Roman" w:eastAsia="Times New Roman" w:hAnsi="Times New Roman"/>
      <w:b w:val="0"/>
      <w:i w:val="0"/>
      <w:color w:val="000000"/>
      <w:sz w:val="24"/>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urier New" w:cs="Courier New" w:eastAsia="Courier New" w:hAnsi="Courier New"/>
      <w:b w:val="0"/>
      <w:i w:val="0"/>
      <w:color w:val="000000"/>
      <w:sz w:val="20"/>
      <w:u w:val="none"/>
    </w:rPr>
  </w:style>
  <w:style w:customStyle="1" w:styleId="SectionNumber" w:type="character">
    <w:name w:val="Section Number"/>
    <w:basedOn w:val="BodyTextChar"/>
  </w:style>
  <w:style w:styleId="FootnoteReference" w:type="character">
    <w:name w:val="Footnote Reference"/>
    <w:basedOn w:val="BodyTextChar"/>
    <w:rPr>
      <w:rFonts w:ascii="Times New Roman" w:cs="Times New Roman" w:eastAsia="Times New Roman" w:hAnsi="Times New Roman"/>
      <w:b w:val="0"/>
      <w:i w:val="0"/>
      <w:color w:val="000000"/>
      <w:sz w:val="24"/>
      <w:u w:val="none"/>
      <w:vertAlign w:val="superscript"/>
    </w:rPr>
  </w:style>
  <w:style w:styleId="Hyperlink" w:type="character">
    <w:name w:val="Hyperlink"/>
    <w:basedOn w:val="BodyTextChar"/>
    <w:rPr>
      <w:rFonts w:ascii="Times New Roman" w:cs="Times New Roman" w:eastAsia="Times New Roman" w:hAnsi="Times New Roman"/>
      <w:b w:val="0"/>
      <w:i w:val="0"/>
      <w:color w:val="000000"/>
      <w:sz w:val="24"/>
      <w:u w:val="none"/>
    </w:rPr>
  </w:style>
  <w:style w:styleId="TOCHeading" w:type="paragraph">
    <w:name w:val="TOC Heading"/>
    <w:basedOn w:val="Heading1"/>
    <w:next w:val="BodyText"/>
    <w:uiPriority w:val="39"/>
    <w:unhideWhenUsed/>
    <w:qFormat/>
    <w:pPr>
      <w:keepNext w:val="0"/>
      <w:widowControl/>
      <w:spacing w:after="120" w:before="240" w:line="240" w:lineRule="auto"/>
      <w:ind w:left="0" w:right="0" w:firstLine="0"/>
      <w:jc w:val="left"/>
      <w:outlineLvl w:val="9"/>
    </w:pPr>
    <w:rPr>
      <w:rFonts w:ascii="Times New Roman" w:cs="Times New Roman" w:eastAsia="Times New Roman" w:hAnsi="Times New Roman"/>
      <w:b/>
      <w:bCs w:val="0"/>
      <w:i w:val="0"/>
      <w:color w:val="000000"/>
      <w:sz w:val="24"/>
    </w:rPr>
  </w:style>
  <w:style w:customStyle="1" w:styleId="TableNote" w:type="paragraph">
    <w:name w:val="Table Note"/>
    <w:basedOn w:val="Normal"/>
    <w:pPr>
      <w:keepNext w:val="0"/>
      <w:widowControl/>
      <w:spacing w:after="80" w:before="0" w:line="240" w:lineRule="auto"/>
      <w:ind w:left="0" w:right="0" w:firstLine="0"/>
      <w:jc w:val="left"/>
    </w:pPr>
    <w:rPr>
      <w:rFonts w:ascii="Times New Roman" w:cs="Times New Roman" w:eastAsia="Times New Roman" w:hAnsi="Times New Roman"/>
      <w:b w:val="0"/>
      <w:i w:val="0"/>
      <w:color w:val="000000"/>
      <w:sz w:val="20"/>
    </w:rPr>
  </w:style>
  <w:style w:customStyle="1" w:styleId="FigureNote" w:type="paragraph">
    <w:name w:val="Figure Note"/>
    <w:basedOn w:val="Normal"/>
    <w:pPr>
      <w:keepNext w:val="0"/>
      <w:widowControl/>
      <w:spacing w:after="80" w:before="0" w:line="240" w:lineRule="auto"/>
      <w:ind w:left="0" w:right="0" w:firstLine="0"/>
      <w:jc w:val="left"/>
    </w:pPr>
    <w:rPr>
      <w:rFonts w:ascii="Times New Roman" w:cs="Times New Roman" w:eastAsia="Times New Roman" w:hAnsi="Times New Roman"/>
      <w:b w:val="0"/>
      <w:i w:val="0"/>
      <w:color w:val="000000"/>
      <w:sz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0000"/>
      <w:b/>
    </w:rPr>
  </w:style>
  <w:style w:type="character" w:customStyle="1" w:styleId="DataTypeTok">
    <w:name w:val="DataTypeTok"/>
    <w:basedOn w:val="VerbatimChar"/>
    <w:rPr>
      <w:color w:val="000000"/>
    </w:rPr>
  </w:style>
  <w:style w:type="character" w:customStyle="1" w:styleId="DecValTok">
    <w:name w:val="DecValTok"/>
    <w:basedOn w:val="VerbatimChar"/>
    <w:rPr>
      <w:color w:val="000000"/>
    </w:rPr>
  </w:style>
  <w:style w:type="character" w:customStyle="1" w:styleId="BaseNTok">
    <w:name w:val="BaseNTok"/>
    <w:basedOn w:val="VerbatimChar"/>
    <w:rPr>
      <w:color w:val="000000"/>
    </w:rPr>
  </w:style>
  <w:style w:type="character" w:customStyle="1" w:styleId="FloatTok">
    <w:name w:val="FloatTok"/>
    <w:basedOn w:val="VerbatimChar"/>
    <w:rPr>
      <w:color w:val="000000"/>
    </w:rPr>
  </w:style>
  <w:style w:type="character" w:customStyle="1" w:styleId="ConstantTok">
    <w:name w:val="ConstantTok"/>
    <w:basedOn w:val="VerbatimChar"/>
    <w:rPr>
      <w:color w:val="000000"/>
    </w:rPr>
  </w:style>
  <w:style w:type="character" w:customStyle="1" w:styleId="CharTok">
    <w:name w:val="CharTok"/>
    <w:basedOn w:val="VerbatimChar"/>
    <w:rPr>
      <w:color w:val="000000"/>
    </w:rPr>
  </w:style>
  <w:style w:type="character" w:customStyle="1" w:styleId="SpecialCharTok">
    <w:name w:val="SpecialCharTok"/>
    <w:basedOn w:val="VerbatimChar"/>
    <w:rPr>
      <w:color w:val="000000"/>
    </w:rPr>
  </w:style>
  <w:style w:type="character" w:customStyle="1" w:styleId="StringTok">
    <w:name w:val="StringTok"/>
    <w:basedOn w:val="VerbatimChar"/>
    <w:rPr>
      <w:color w:val="000000"/>
    </w:rPr>
  </w:style>
  <w:style w:type="character" w:customStyle="1" w:styleId="VerbatimStringTok">
    <w:name w:val="VerbatimStringTok"/>
    <w:basedOn w:val="VerbatimChar"/>
    <w:rPr>
      <w:color w:val="000000"/>
    </w:rPr>
  </w:style>
  <w:style w:type="character" w:customStyle="1" w:styleId="SpecialStringTok">
    <w:name w:val="SpecialStringTok"/>
    <w:basedOn w:val="VerbatimChar"/>
    <w:rPr>
      <w:color w:val="000000"/>
    </w:rPr>
  </w:style>
  <w:style w:type="character" w:customStyle="1" w:styleId="ImportTok">
    <w:name w:val="ImportTok"/>
    <w:basedOn w:val="VerbatimChar"/>
    <w:rPr>
      <w:color w:val="000000"/>
      <w:b/>
    </w:rPr>
  </w:style>
  <w:style w:type="character" w:customStyle="1" w:styleId="CommentTok">
    <w:name w:val="CommentTok"/>
    <w:basedOn w:val="VerbatimChar"/>
    <w:rPr>
      <w:color w:val="000000"/>
      <w:i/>
    </w:rPr>
  </w:style>
  <w:style w:type="character" w:customStyle="1" w:styleId="DocumentationTok">
    <w:name w:val="DocumentationTok"/>
    <w:basedOn w:val="VerbatimChar"/>
    <w:rPr>
      <w:color w:val="000000"/>
      <w:i/>
    </w:rPr>
  </w:style>
  <w:style w:type="character" w:customStyle="1" w:styleId="AnnotationTok">
    <w:name w:val="AnnotationTok"/>
    <w:basedOn w:val="VerbatimChar"/>
    <w:rPr>
      <w:color w:val="000000"/>
      <w:b/>
      <w:i/>
    </w:rPr>
  </w:style>
  <w:style w:type="character" w:customStyle="1" w:styleId="CommentVarTok">
    <w:name w:val="CommentVarTok"/>
    <w:basedOn w:val="VerbatimChar"/>
    <w:rPr>
      <w:color w:val="000000"/>
      <w:b/>
      <w:i/>
    </w:rPr>
  </w:style>
  <w:style w:type="character" w:customStyle="1" w:styleId="OtherTok">
    <w:name w:val="OtherTok"/>
    <w:basedOn w:val="VerbatimChar"/>
    <w:rPr>
      <w:color w:val="000000"/>
    </w:rPr>
  </w:style>
  <w:style w:type="character" w:customStyle="1" w:styleId="FunctionTok">
    <w:name w:val="FunctionTok"/>
    <w:basedOn w:val="VerbatimChar"/>
    <w:rPr>
      <w:color w:val="000000"/>
    </w:rPr>
  </w:style>
  <w:style w:type="character" w:customStyle="1" w:styleId="VariableTok">
    <w:name w:val="VariableTok"/>
    <w:basedOn w:val="VerbatimChar"/>
    <w:rPr>
      <w:color w:val="000000"/>
    </w:rPr>
  </w:style>
  <w:style w:type="character" w:customStyle="1" w:styleId="ControlFlowTok">
    <w:name w:val="ControlFlowTok"/>
    <w:basedOn w:val="VerbatimChar"/>
    <w:rPr>
      <w:color w:val="000000"/>
      <w:b/>
    </w:rPr>
  </w:style>
  <w:style w:type="character" w:customStyle="1" w:styleId="OperatorTok">
    <w:name w:val="OperatorTok"/>
    <w:basedOn w:val="VerbatimChar"/>
    <w:rPr>
      <w:color w:val="000000"/>
    </w:rPr>
  </w:style>
  <w:style w:type="character" w:customStyle="1" w:styleId="BuiltInTok">
    <w:name w:val="BuiltInTok"/>
    <w:basedOn w:val="VerbatimChar"/>
    <w:rPr>
      <w:color w:val="000000"/>
    </w:rPr>
  </w:style>
  <w:style w:type="character" w:customStyle="1" w:styleId="ExtensionTok">
    <w:name w:val="ExtensionTok"/>
    <w:basedOn w:val="VerbatimChar"/>
    <w:rPr/>
  </w:style>
  <w:style w:type="character" w:customStyle="1" w:styleId="PreprocessorTok">
    <w:name w:val="PreprocessorTok"/>
    <w:basedOn w:val="VerbatimChar"/>
    <w:rPr>
      <w:color w:val="000000"/>
    </w:rPr>
  </w:style>
  <w:style w:type="character" w:customStyle="1" w:styleId="AttributeTok">
    <w:name w:val="AttributeTok"/>
    <w:basedOn w:val="VerbatimChar"/>
    <w:rPr>
      <w:color w:val="000000"/>
    </w:rPr>
  </w:style>
  <w:style w:type="character" w:customStyle="1" w:styleId="RegionMarkerTok">
    <w:name w:val="RegionMarkerTok"/>
    <w:basedOn w:val="VerbatimChar"/>
    <w:rPr/>
  </w:style>
  <w:style w:type="character" w:customStyle="1" w:styleId="InformationTok">
    <w:name w:val="InformationTok"/>
    <w:basedOn w:val="VerbatimChar"/>
    <w:rPr>
      <w:color w:val="000000"/>
      <w:b/>
      <w:i/>
    </w:rPr>
  </w:style>
  <w:style w:type="character" w:customStyle="1" w:styleId="WarningTok">
    <w:name w:val="WarningTok"/>
    <w:basedOn w:val="VerbatimChar"/>
    <w:rPr>
      <w:color w:val="000000"/>
      <w:b/>
      <w:i/>
    </w:rPr>
  </w:style>
  <w:style w:type="character" w:customStyle="1" w:styleId="AlertTok">
    <w:name w:val="AlertTok"/>
    <w:basedOn w:val="VerbatimChar"/>
    <w:rPr>
      <w:color w:val="000000"/>
      <w:b/>
    </w:rPr>
  </w:style>
  <w:style w:type="character" w:customStyle="1" w:styleId="ErrorTok">
    <w:name w:val="ErrorTok"/>
    <w:basedOn w:val="VerbatimChar"/>
    <w:rPr>
      <w:color w:val="00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Push Factors and Filipino Emigration: A Critical Review of Agbola and Acupan (2010)</dc:title>
  <dc:creator>Lian Cataytay</dc:creator>
  <cp:keywords/>
  <dcterms:created xsi:type="dcterms:W3CDTF">2026-10-15T19:52:51Z</dcterms:created>
  <dcterms:modified xsi:type="dcterms:W3CDTF">2026-10-15T19:52:51Z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review assesses Agbola and Acupan’s (2010) study of the push factors behind emigration from the Philippines. The authors estimate an error correction model on yearly national data for 1975–2005 and find that unemployment raises emigration, while adult literacy, political instability and population density lower it. The methods are applied carefully, but the sample is small (31 observations for ten explanatory terms), two proxies are weak, and pull factors in destination countries are left out. We suggest four extensions, the most important being separate models for temporary and permanent migration.Keywords: international migration, push factors, error correction model, PhilippinesJEL codes: F22, J61, O15</vt:lpwstr>
  </property>
  <property fmtid="{D5CDD505-2E9C-101B-9397-08002B2CF9AE}" pid="3" name="bibliography">
    <vt:lpwstr>example_references.bib</vt:lpwstr>
  </property>
  <property fmtid="{D5CDD505-2E9C-101B-9397-08002B2CF9AE}" pid="4" name="date">
    <vt:lpwstr>October 2026</vt:lpwstr>
  </property>
</Properties>
</file>