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Can</w:t>
      </w:r>
      <w:r>
        <w:t xml:space="preserve"> </w:t>
      </w:r>
      <w:r>
        <w:t xml:space="preserve">Machine</w:t>
      </w:r>
      <w:r>
        <w:t xml:space="preserve"> </w:t>
      </w:r>
      <w:r>
        <w:t xml:space="preserve">Learning</w:t>
      </w:r>
      <w:r>
        <w:t xml:space="preserve"> </w:t>
      </w:r>
      <w:r>
        <w:t xml:space="preserve">Beat</w:t>
      </w:r>
      <w:r>
        <w:t xml:space="preserve"> </w:t>
      </w:r>
      <w:r>
        <w:t xml:space="preserve">Simple</w:t>
      </w:r>
      <w:r>
        <w:t xml:space="preserve"> </w:t>
      </w:r>
      <w:r>
        <w:t xml:space="preserve">Benchmarks</w:t>
      </w:r>
      <w:r>
        <w:t xml:space="preserve"> </w:t>
      </w:r>
      <w:r>
        <w:t xml:space="preserve">in</w:t>
      </w:r>
      <w:r>
        <w:t xml:space="preserve"> </w:t>
      </w:r>
      <w:r>
        <w:t xml:space="preserve">Forecasting</w:t>
      </w:r>
      <w:r>
        <w:t xml:space="preserve"> </w:t>
      </w:r>
      <w:r>
        <w:t xml:space="preserve">Philippine</w:t>
      </w:r>
      <w:r>
        <w:t xml:space="preserve"> </w:t>
      </w:r>
      <w:r>
        <w:t xml:space="preserve">Inflation?</w:t>
      </w:r>
      <w:r>
        <w:t xml:space="preserve"> </w:t>
      </w:r>
      <w:r>
        <w:t xml:space="preserve">Evidence</w:t>
      </w:r>
      <w:r>
        <w:t xml:space="preserve"> </w:t>
      </w:r>
      <w:r>
        <w:t xml:space="preserve">from</w:t>
      </w:r>
      <w:r>
        <w:t xml:space="preserve"> </w:t>
      </w:r>
      <w:r>
        <w:t xml:space="preserve">a</w:t>
      </w:r>
      <w:r>
        <w:t xml:space="preserve"> </w:t>
      </w:r>
      <w:r>
        <w:t xml:space="preserve">Pre-Registered</w:t>
      </w:r>
      <w:r>
        <w:t xml:space="preserve"> </w:t>
      </w:r>
      <w:r>
        <w:t xml:space="preserve">Pseudo</w:t>
      </w:r>
      <w:r>
        <w:t xml:space="preserve"> </w:t>
      </w:r>
      <w:r>
        <w:t xml:space="preserve">Out-of-Sample</w:t>
      </w:r>
      <w:r>
        <w:t xml:space="preserve"> </w:t>
      </w:r>
      <w:r>
        <w:t xml:space="preserve">Evaluation,</w:t>
      </w:r>
      <w:r>
        <w:t xml:space="preserve"> </w:t>
      </w:r>
      <w:r>
        <w:t xml:space="preserve">2005–2026</w:t>
      </w:r>
    </w:p>
    <w:p>
      <w:pPr>
        <w:pStyle w:val="Author"/>
      </w:pPr>
      <w:r>
        <w:t xml:space="preserve">Lian</w:t>
      </w:r>
      <w:r>
        <w:t xml:space="preserve"> </w:t>
      </w:r>
      <w:r>
        <w:t xml:space="preserve">Cataytay</w:t>
      </w:r>
      <w:r>
        <w:rPr>
          <w:rStyle w:val="FootnoteReference"/>
        </w:rPr>
        <w:footnoteReference w:id="20"/>
      </w:r>
    </w:p>
    <w:p>
      <w:pPr>
        <w:pStyle w:val="Date"/>
      </w:pPr>
      <w:r>
        <w:t xml:space="preserve">Submitted</w:t>
      </w:r>
      <w:r>
        <w:t xml:space="preserve"> </w:t>
      </w:r>
      <w:r>
        <w:t xml:space="preserve">to</w:t>
      </w:r>
      <w:r>
        <w:t xml:space="preserve"> </w:t>
      </w:r>
      <w:r>
        <w:t xml:space="preserve">the</w:t>
      </w:r>
      <w:r>
        <w:t xml:space="preserve"> </w:t>
      </w:r>
      <w:r>
        <w:rPr>
          <w:iCs/>
          <w:i/>
        </w:rPr>
        <w:t xml:space="preserve">Journal</w:t>
      </w:r>
      <w:r>
        <w:rPr>
          <w:iCs/>
          <w:i/>
        </w:rPr>
        <w:t xml:space="preserve"> </w:t>
      </w:r>
      <w:r>
        <w:rPr>
          <w:iCs/>
          <w:i/>
        </w:rPr>
        <w:t xml:space="preserve">of</w:t>
      </w:r>
      <w:r>
        <w:rPr>
          <w:iCs/>
          <w:i/>
        </w:rPr>
        <w:t xml:space="preserve"> </w:t>
      </w:r>
      <w:r>
        <w:rPr>
          <w:iCs/>
          <w:i/>
        </w:rPr>
        <w:t xml:space="preserve">Asian</w:t>
      </w:r>
      <w:r>
        <w:rPr>
          <w:iCs/>
          <w:i/>
        </w:rPr>
        <w:t xml:space="preserve"> </w:t>
      </w:r>
      <w:r>
        <w:rPr>
          <w:iCs/>
          <w:i/>
        </w:rPr>
        <w:t xml:space="preserve">Economics</w:t>
      </w:r>
      <w:r>
        <w:t xml:space="preserve">.</w:t>
      </w:r>
      <w:r>
        <w:t xml:space="preserve"> </w:t>
      </w:r>
      <w:r>
        <w:t xml:space="preserve">Draft</w:t>
      </w:r>
      <w:r>
        <w:t xml:space="preserve"> </w:t>
      </w:r>
      <w:r>
        <w:t xml:space="preserve">of</w:t>
      </w:r>
      <w:r>
        <w:t xml:space="preserve"> </w:t>
      </w:r>
      <w:r>
        <w:t xml:space="preserve">16</w:t>
      </w:r>
      <w:r>
        <w:t xml:space="preserve"> </w:t>
      </w:r>
      <w:r>
        <w:t xml:space="preserve">October</w:t>
      </w:r>
      <w:r>
        <w:t xml:space="preserve"> </w:t>
      </w:r>
      <w:r>
        <w:t xml:space="preserve">2026</w:t>
      </w:r>
    </w:p>
    <w:p>
      <w:pPr>
        <w:pStyle w:val="AbstractTitle"/>
      </w:pPr>
      <w:r>
        <w:t xml:space="preserve">Abstract</w:t>
      </w:r>
    </w:p>
    <w:p>
      <w:pPr>
        <w:pStyle w:val="Abstract"/>
      </w:pPr>
      <w:r>
        <w:t xml:space="preserve">Do</w:t>
      </w:r>
      <w:r>
        <w:t xml:space="preserve"> </w:t>
      </w:r>
      <w:r>
        <w:t xml:space="preserve">machine-learning</w:t>
      </w:r>
      <w:r>
        <w:t xml:space="preserve"> </w:t>
      </w:r>
      <w:r>
        <w:t xml:space="preserve">(ML)</w:t>
      </w:r>
      <w:r>
        <w:t xml:space="preserve"> </w:t>
      </w:r>
      <w:r>
        <w:t xml:space="preserve">models</w:t>
      </w:r>
      <w:r>
        <w:t xml:space="preserve"> </w:t>
      </w:r>
      <w:r>
        <w:t xml:space="preserve">that</w:t>
      </w:r>
      <w:r>
        <w:t xml:space="preserve"> </w:t>
      </w:r>
      <w:r>
        <w:t xml:space="preserve">use</w:t>
      </w:r>
      <w:r>
        <w:t xml:space="preserve"> </w:t>
      </w:r>
      <w:r>
        <w:t xml:space="preserve">many</w:t>
      </w:r>
      <w:r>
        <w:t xml:space="preserve"> </w:t>
      </w:r>
      <w:r>
        <w:t xml:space="preserve">predictors</w:t>
      </w:r>
      <w:r>
        <w:t xml:space="preserve"> </w:t>
      </w:r>
      <w:r>
        <w:t xml:space="preserve">forecast</w:t>
      </w:r>
      <w:r>
        <w:t xml:space="preserve"> </w:t>
      </w:r>
      <w:r>
        <w:t xml:space="preserve">Philippine</w:t>
      </w:r>
      <w:r>
        <w:t xml:space="preserve"> </w:t>
      </w:r>
      <w:r>
        <w:t xml:space="preserve">inflation</w:t>
      </w:r>
      <w:r>
        <w:t xml:space="preserve"> </w:t>
      </w:r>
      <w:r>
        <w:t xml:space="preserve">better</w:t>
      </w:r>
      <w:r>
        <w:t xml:space="preserve"> </w:t>
      </w:r>
      <w:r>
        <w:t xml:space="preserve">than</w:t>
      </w:r>
      <w:r>
        <w:t xml:space="preserve"> </w:t>
      </w:r>
      <w:r>
        <w:t xml:space="preserve">simple</w:t>
      </w:r>
      <w:r>
        <w:t xml:space="preserve"> </w:t>
      </w:r>
      <w:r>
        <w:t xml:space="preserve">benchmarks?</w:t>
      </w:r>
      <w:r>
        <w:t xml:space="preserve"> </w:t>
      </w:r>
      <w:r>
        <w:t xml:space="preserve">We</w:t>
      </w:r>
      <w:r>
        <w:t xml:space="preserve"> </w:t>
      </w:r>
      <w:r>
        <w:t xml:space="preserve">replicate</w:t>
      </w:r>
      <w:r>
        <w:t xml:space="preserve"> </w:t>
      </w:r>
      <w:r>
        <w:t xml:space="preserve">the</w:t>
      </w:r>
      <w:r>
        <w:t xml:space="preserve"> </w:t>
      </w:r>
      <w:r>
        <w:t xml:space="preserve">data-rich</w:t>
      </w:r>
      <w:r>
        <w:t xml:space="preserve"> </w:t>
      </w:r>
      <w:r>
        <w:t xml:space="preserve">design</w:t>
      </w:r>
      <w:r>
        <w:t xml:space="preserve"> </w:t>
      </w:r>
      <w:r>
        <w:t xml:space="preserve">of</w:t>
      </w:r>
      <w:r>
        <w:t xml:space="preserve"> </w:t>
      </w:r>
      <w:r>
        <w:t xml:space="preserve">Medeiros</w:t>
      </w:r>
      <w:r>
        <w:t xml:space="preserve"> </w:t>
      </w:r>
      <w:r>
        <w:t xml:space="preserve">et</w:t>
      </w:r>
      <w:r>
        <w:t xml:space="preserve"> </w:t>
      </w:r>
      <w:r>
        <w:t xml:space="preserve">al. (2021)</w:t>
      </w:r>
      <w:r>
        <w:t xml:space="preserve"> </w:t>
      </w:r>
      <w:r>
        <w:t xml:space="preserve">on</w:t>
      </w:r>
      <w:r>
        <w:t xml:space="preserve"> </w:t>
      </w:r>
      <w:r>
        <w:t xml:space="preserve">official</w:t>
      </w:r>
      <w:r>
        <w:t xml:space="preserve"> </w:t>
      </w:r>
      <w:r>
        <w:t xml:space="preserve">monthly</w:t>
      </w:r>
      <w:r>
        <w:t xml:space="preserve"> </w:t>
      </w:r>
      <w:r>
        <w:t xml:space="preserve">data</w:t>
      </w:r>
      <w:r>
        <w:t xml:space="preserve"> </w:t>
      </w:r>
      <w:r>
        <w:t xml:space="preserve">from</w:t>
      </w:r>
      <w:r>
        <w:t xml:space="preserve"> </w:t>
      </w:r>
      <w:r>
        <w:t xml:space="preserve">the</w:t>
      </w:r>
      <w:r>
        <w:t xml:space="preserve"> </w:t>
      </w:r>
      <w:r>
        <w:t xml:space="preserve">Philippine</w:t>
      </w:r>
      <w:r>
        <w:t xml:space="preserve"> </w:t>
      </w:r>
      <w:r>
        <w:t xml:space="preserve">Statistics</w:t>
      </w:r>
      <w:r>
        <w:t xml:space="preserve"> </w:t>
      </w:r>
      <w:r>
        <w:t xml:space="preserve">Authority,</w:t>
      </w:r>
      <w:r>
        <w:t xml:space="preserve"> </w:t>
      </w:r>
      <w:r>
        <w:t xml:space="preserve">1994–2026.</w:t>
      </w:r>
      <w:r>
        <w:t xml:space="preserve"> </w:t>
      </w:r>
      <w:r>
        <w:t xml:space="preserve">We</w:t>
      </w:r>
      <w:r>
        <w:t xml:space="preserve"> </w:t>
      </w:r>
      <w:r>
        <w:t xml:space="preserve">compare</w:t>
      </w:r>
      <w:r>
        <w:t xml:space="preserve"> </w:t>
      </w:r>
      <w:r>
        <w:t xml:space="preserve">ridge,</w:t>
      </w:r>
      <w:r>
        <w:t xml:space="preserve"> </w:t>
      </w:r>
      <w:r>
        <w:t xml:space="preserve">LASSO,</w:t>
      </w:r>
      <w:r>
        <w:t xml:space="preserve"> </w:t>
      </w:r>
      <w:r>
        <w:t xml:space="preserve">adaptive</w:t>
      </w:r>
      <w:r>
        <w:t xml:space="preserve"> </w:t>
      </w:r>
      <w:r>
        <w:t xml:space="preserve">LASSO,</w:t>
      </w:r>
      <w:r>
        <w:t xml:space="preserve"> </w:t>
      </w:r>
      <w:r>
        <w:t xml:space="preserve">random</w:t>
      </w:r>
      <w:r>
        <w:t xml:space="preserve"> </w:t>
      </w:r>
      <w:r>
        <w:t xml:space="preserve">forest</w:t>
      </w:r>
      <w:r>
        <w:t xml:space="preserve"> </w:t>
      </w:r>
      <w:r>
        <w:t xml:space="preserve">and</w:t>
      </w:r>
      <w:r>
        <w:t xml:space="preserve"> </w:t>
      </w:r>
      <w:r>
        <w:t xml:space="preserve">gradient</w:t>
      </w:r>
      <w:r>
        <w:t xml:space="preserve"> </w:t>
      </w:r>
      <w:r>
        <w:t xml:space="preserve">boosting</w:t>
      </w:r>
      <w:r>
        <w:t xml:space="preserve"> </w:t>
      </w:r>
      <w:r>
        <w:t xml:space="preserve">forecasts,</w:t>
      </w:r>
      <w:r>
        <w:t xml:space="preserve"> </w:t>
      </w:r>
      <w:r>
        <w:t xml:space="preserve">their</w:t>
      </w:r>
      <w:r>
        <w:t xml:space="preserve"> </w:t>
      </w:r>
      <w:r>
        <w:t xml:space="preserve">combination</w:t>
      </w:r>
      <w:r>
        <w:t xml:space="preserve"> </w:t>
      </w:r>
      <w:r>
        <w:t xml:space="preserve">and</w:t>
      </w:r>
      <w:r>
        <w:t xml:space="preserve"> </w:t>
      </w:r>
      <w:r>
        <w:t xml:space="preserve">a</w:t>
      </w:r>
      <w:r>
        <w:t xml:space="preserve"> </w:t>
      </w:r>
      <w:r>
        <w:t xml:space="preserve">factor</w:t>
      </w:r>
      <w:r>
        <w:t xml:space="preserve"> </w:t>
      </w:r>
      <w:r>
        <w:t xml:space="preserve">model</w:t>
      </w:r>
      <w:r>
        <w:t xml:space="preserve"> </w:t>
      </w:r>
      <w:r>
        <w:t xml:space="preserve">with</w:t>
      </w:r>
      <w:r>
        <w:t xml:space="preserve"> </w:t>
      </w:r>
      <w:r>
        <w:t xml:space="preserve">random-walk</w:t>
      </w:r>
      <w:r>
        <w:t xml:space="preserve"> </w:t>
      </w:r>
      <w:r>
        <w:t xml:space="preserve">and</w:t>
      </w:r>
      <w:r>
        <w:t xml:space="preserve"> </w:t>
      </w:r>
      <w:r>
        <w:t xml:space="preserve">autoregressive</w:t>
      </w:r>
      <w:r>
        <w:t xml:space="preserve"> </w:t>
      </w:r>
      <w:r>
        <w:t xml:space="preserve">(AR)</w:t>
      </w:r>
      <w:r>
        <w:t xml:space="preserve"> </w:t>
      </w:r>
      <w:r>
        <w:t xml:space="preserve">benchmarks</w:t>
      </w:r>
      <w:r>
        <w:t xml:space="preserve"> </w:t>
      </w:r>
      <w:r>
        <w:t xml:space="preserve">over</w:t>
      </w:r>
      <w:r>
        <w:t xml:space="preserve"> </w:t>
      </w:r>
      <w:r>
        <w:t xml:space="preserve">260</w:t>
      </w:r>
      <w:r>
        <w:t xml:space="preserve"> </w:t>
      </w:r>
      <w:r>
        <w:t xml:space="preserve">out-of-sample</w:t>
      </w:r>
      <w:r>
        <w:t xml:space="preserve"> </w:t>
      </w:r>
      <w:r>
        <w:t xml:space="preserve">months,</w:t>
      </w:r>
      <w:r>
        <w:t xml:space="preserve"> </w:t>
      </w:r>
      <w:r>
        <w:t xml:space="preserve">using</w:t>
      </w:r>
      <w:r>
        <w:t xml:space="preserve"> </w:t>
      </w:r>
      <w:r>
        <w:t xml:space="preserve">86</w:t>
      </w:r>
      <w:r>
        <w:t xml:space="preserve"> </w:t>
      </w:r>
      <w:r>
        <w:t xml:space="preserve">predictors</w:t>
      </w:r>
      <w:r>
        <w:t xml:space="preserve"> </w:t>
      </w:r>
      <w:r>
        <w:t xml:space="preserve">that</w:t>
      </w:r>
      <w:r>
        <w:t xml:space="preserve"> </w:t>
      </w:r>
      <w:r>
        <w:t xml:space="preserve">include</w:t>
      </w:r>
      <w:r>
        <w:t xml:space="preserve"> </w:t>
      </w:r>
      <w:r>
        <w:t xml:space="preserve">detailed</w:t>
      </w:r>
      <w:r>
        <w:t xml:space="preserve"> </w:t>
      </w:r>
      <w:r>
        <w:t xml:space="preserve">food</w:t>
      </w:r>
      <w:r>
        <w:t xml:space="preserve"> </w:t>
      </w:r>
      <w:r>
        <w:t xml:space="preserve">and</w:t>
      </w:r>
      <w:r>
        <w:t xml:space="preserve"> </w:t>
      </w:r>
      <w:r>
        <w:t xml:space="preserve">energy</w:t>
      </w:r>
      <w:r>
        <w:t xml:space="preserve"> </w:t>
      </w:r>
      <w:r>
        <w:t xml:space="preserve">prices,</w:t>
      </w:r>
      <w:r>
        <w:t xml:space="preserve"> </w:t>
      </w:r>
      <w:r>
        <w:t xml:space="preserve">all</w:t>
      </w:r>
      <w:r>
        <w:t xml:space="preserve"> </w:t>
      </w:r>
      <w:r>
        <w:t xml:space="preserve">18</w:t>
      </w:r>
      <w:r>
        <w:t xml:space="preserve"> </w:t>
      </w:r>
      <w:r>
        <w:t xml:space="preserve">regional</w:t>
      </w:r>
      <w:r>
        <w:t xml:space="preserve"> </w:t>
      </w:r>
      <w:r>
        <w:t xml:space="preserve">indices</w:t>
      </w:r>
      <w:r>
        <w:t xml:space="preserve"> </w:t>
      </w:r>
      <w:r>
        <w:t xml:space="preserve">and</w:t>
      </w:r>
      <w:r>
        <w:t xml:space="preserve"> </w:t>
      </w:r>
      <w:r>
        <w:t xml:space="preserve">world</w:t>
      </w:r>
      <w:r>
        <w:t xml:space="preserve"> </w:t>
      </w:r>
      <w:r>
        <w:t xml:space="preserve">commodity</w:t>
      </w:r>
      <w:r>
        <w:t xml:space="preserve"> </w:t>
      </w:r>
      <w:r>
        <w:t xml:space="preserve">prices.</w:t>
      </w:r>
      <w:r>
        <w:t xml:space="preserve"> </w:t>
      </w:r>
      <w:r>
        <w:t xml:space="preserve">The</w:t>
      </w:r>
      <w:r>
        <w:t xml:space="preserve"> </w:t>
      </w:r>
      <w:r>
        <w:t xml:space="preserve">design</w:t>
      </w:r>
      <w:r>
        <w:t xml:space="preserve"> </w:t>
      </w:r>
      <w:r>
        <w:t xml:space="preserve">was</w:t>
      </w:r>
      <w:r>
        <w:t xml:space="preserve"> </w:t>
      </w:r>
      <w:r>
        <w:t xml:space="preserve">pre-registered,</w:t>
      </w:r>
      <w:r>
        <w:t xml:space="preserve"> </w:t>
      </w:r>
      <w:r>
        <w:t xml:space="preserve">and</w:t>
      </w:r>
      <w:r>
        <w:t xml:space="preserve"> </w:t>
      </w:r>
      <w:r>
        <w:t xml:space="preserve">the</w:t>
      </w:r>
      <w:r>
        <w:t xml:space="preserve"> </w:t>
      </w:r>
      <w:r>
        <w:t xml:space="preserve">code</w:t>
      </w:r>
      <w:r>
        <w:t xml:space="preserve"> </w:t>
      </w:r>
      <w:r>
        <w:t xml:space="preserve">first</w:t>
      </w:r>
      <w:r>
        <w:t xml:space="preserve"> </w:t>
      </w:r>
      <w:r>
        <w:t xml:space="preserve">had</w:t>
      </w:r>
      <w:r>
        <w:t xml:space="preserve"> </w:t>
      </w:r>
      <w:r>
        <w:t xml:space="preserve">to</w:t>
      </w:r>
      <w:r>
        <w:t xml:space="preserve"> </w:t>
      </w:r>
      <w:r>
        <w:t xml:space="preserve">reproduce</w:t>
      </w:r>
      <w:r>
        <w:t xml:space="preserve"> </w:t>
      </w:r>
      <w:r>
        <w:t xml:space="preserve">the</w:t>
      </w:r>
      <w:r>
        <w:t xml:space="preserve"> </w:t>
      </w:r>
      <w:r>
        <w:t xml:space="preserve">reference</w:t>
      </w:r>
      <w:r>
        <w:t xml:space="preserve"> </w:t>
      </w:r>
      <w:r>
        <w:t xml:space="preserve">paper’s</w:t>
      </w:r>
      <w:r>
        <w:t xml:space="preserve"> </w:t>
      </w:r>
      <w:r>
        <w:t xml:space="preserve">main</w:t>
      </w:r>
      <w:r>
        <w:t xml:space="preserve"> </w:t>
      </w:r>
      <w:r>
        <w:t xml:space="preserve">result</w:t>
      </w:r>
      <w:r>
        <w:t xml:space="preserve"> </w:t>
      </w:r>
      <w:r>
        <w:t xml:space="preserve">on</w:t>
      </w:r>
      <w:r>
        <w:t xml:space="preserve"> </w:t>
      </w:r>
      <w:r>
        <w:t xml:space="preserve">US</w:t>
      </w:r>
      <w:r>
        <w:t xml:space="preserve"> </w:t>
      </w:r>
      <w:r>
        <w:t xml:space="preserve">data,</w:t>
      </w:r>
      <w:r>
        <w:t xml:space="preserve"> </w:t>
      </w:r>
      <w:r>
        <w:t xml:space="preserve">which</w:t>
      </w:r>
      <w:r>
        <w:t xml:space="preserve"> </w:t>
      </w:r>
      <w:r>
        <w:t xml:space="preserve">it</w:t>
      </w:r>
      <w:r>
        <w:t xml:space="preserve"> </w:t>
      </w:r>
      <w:r>
        <w:t xml:space="preserve">did.</w:t>
      </w:r>
      <w:r>
        <w:t xml:space="preserve"> </w:t>
      </w:r>
      <w:r>
        <w:t xml:space="preserve">Every</w:t>
      </w:r>
      <w:r>
        <w:t xml:space="preserve"> </w:t>
      </w:r>
      <w:r>
        <w:t xml:space="preserve">model</w:t>
      </w:r>
      <w:r>
        <w:t xml:space="preserve"> </w:t>
      </w:r>
      <w:r>
        <w:t xml:space="preserve">beats</w:t>
      </w:r>
      <w:r>
        <w:t xml:space="preserve"> </w:t>
      </w:r>
      <w:r>
        <w:t xml:space="preserve">the</w:t>
      </w:r>
      <w:r>
        <w:t xml:space="preserve"> </w:t>
      </w:r>
      <w:r>
        <w:t xml:space="preserve">random</w:t>
      </w:r>
      <w:r>
        <w:t xml:space="preserve"> </w:t>
      </w:r>
      <w:r>
        <w:t xml:space="preserve">walk</w:t>
      </w:r>
      <w:r>
        <w:t xml:space="preserve"> </w:t>
      </w:r>
      <w:r>
        <w:t xml:space="preserve">by</w:t>
      </w:r>
      <w:r>
        <w:t xml:space="preserve"> </w:t>
      </w:r>
      <w:r>
        <w:t xml:space="preserve">a</w:t>
      </w:r>
      <w:r>
        <w:t xml:space="preserve"> </w:t>
      </w:r>
      <w:r>
        <w:t xml:space="preserve">wide</w:t>
      </w:r>
      <w:r>
        <w:t xml:space="preserve"> </w:t>
      </w:r>
      <w:r>
        <w:t xml:space="preserve">margin,</w:t>
      </w:r>
      <w:r>
        <w:t xml:space="preserve"> </w:t>
      </w:r>
      <w:r>
        <w:t xml:space="preserve">but</w:t>
      </w:r>
      <w:r>
        <w:t xml:space="preserve"> </w:t>
      </w:r>
      <w:r>
        <w:t xml:space="preserve">none</w:t>
      </w:r>
      <w:r>
        <w:t xml:space="preserve"> </w:t>
      </w:r>
      <w:r>
        <w:t xml:space="preserve">beats</w:t>
      </w:r>
      <w:r>
        <w:t xml:space="preserve"> </w:t>
      </w:r>
      <w:r>
        <w:t xml:space="preserve">the</w:t>
      </w:r>
      <w:r>
        <w:t xml:space="preserve"> </w:t>
      </w:r>
      <w:r>
        <w:t xml:space="preserve">AR.</w:t>
      </w:r>
      <w:r>
        <w:t xml:space="preserve"> </w:t>
      </w:r>
      <w:r>
        <w:t xml:space="preserve">At</w:t>
      </w:r>
      <w:r>
        <w:t xml:space="preserve"> </w:t>
      </w:r>
      <w:r>
        <w:t xml:space="preserve">the</w:t>
      </w:r>
      <w:r>
        <w:t xml:space="preserve"> </w:t>
      </w:r>
      <w:r>
        <w:t xml:space="preserve">four</w:t>
      </w:r>
      <w:r>
        <w:t xml:space="preserve"> </w:t>
      </w:r>
      <w:r>
        <w:t xml:space="preserve">pre-specified</w:t>
      </w:r>
      <w:r>
        <w:t xml:space="preserve"> </w:t>
      </w:r>
      <w:r>
        <w:t xml:space="preserve">test</w:t>
      </w:r>
      <w:r>
        <w:t xml:space="preserve"> </w:t>
      </w:r>
      <w:r>
        <w:t xml:space="preserve">cases,</w:t>
      </w:r>
      <w:r>
        <w:t xml:space="preserve"> </w:t>
      </w:r>
      <w:r>
        <w:t xml:space="preserve">the</w:t>
      </w:r>
      <w:r>
        <w:t xml:space="preserve"> </w:t>
      </w:r>
      <w:r>
        <w:t xml:space="preserve">best</w:t>
      </w:r>
      <w:r>
        <w:t xml:space="preserve"> </w:t>
      </w:r>
      <w:r>
        <w:t xml:space="preserve">ML</w:t>
      </w:r>
      <w:r>
        <w:t xml:space="preserve"> </w:t>
      </w:r>
      <w:r>
        <w:t xml:space="preserve">forecast,</w:t>
      </w:r>
      <w:r>
        <w:t xml:space="preserve"> </w:t>
      </w:r>
      <w:r>
        <w:t xml:space="preserve">the</w:t>
      </w:r>
      <w:r>
        <w:t xml:space="preserve"> </w:t>
      </w:r>
      <w:r>
        <w:t xml:space="preserve">equal-weight</w:t>
      </w:r>
      <w:r>
        <w:t xml:space="preserve"> </w:t>
      </w:r>
      <w:r>
        <w:t xml:space="preserve">combination,</w:t>
      </w:r>
      <w:r>
        <w:t xml:space="preserve"> </w:t>
      </w:r>
      <w:r>
        <w:t xml:space="preserve">has</w:t>
      </w:r>
      <w:r>
        <w:t xml:space="preserve"> </w:t>
      </w:r>
      <w:r>
        <w:t xml:space="preserve">a</w:t>
      </w:r>
      <w:r>
        <w:t xml:space="preserve"> </w:t>
      </w:r>
      <w:r>
        <w:t xml:space="preserve">root</w:t>
      </w:r>
      <w:r>
        <w:t xml:space="preserve"> </w:t>
      </w:r>
      <w:r>
        <w:t xml:space="preserve">mean</w:t>
      </w:r>
      <w:r>
        <w:t xml:space="preserve"> </w:t>
      </w:r>
      <w:r>
        <w:t xml:space="preserve">squared</w:t>
      </w:r>
      <w:r>
        <w:t xml:space="preserve"> </w:t>
      </w:r>
      <w:r>
        <w:t xml:space="preserve">error</w:t>
      </w:r>
      <w:r>
        <w:t xml:space="preserve"> </w:t>
      </w:r>
      <w:r>
        <w:t xml:space="preserve">between</w:t>
      </w:r>
      <w:r>
        <w:t xml:space="preserve"> </w:t>
      </w:r>
      <w:r>
        <w:t xml:space="preserve">0.98</w:t>
      </w:r>
      <w:r>
        <w:t xml:space="preserve"> </w:t>
      </w:r>
      <w:r>
        <w:t xml:space="preserve">and</w:t>
      </w:r>
      <w:r>
        <w:t xml:space="preserve"> </w:t>
      </w:r>
      <w:r>
        <w:t xml:space="preserve">1.03</w:t>
      </w:r>
      <w:r>
        <w:t xml:space="preserve"> </w:t>
      </w:r>
      <w:r>
        <w:t xml:space="preserve">times</w:t>
      </w:r>
      <w:r>
        <w:t xml:space="preserve"> </w:t>
      </w:r>
      <w:r>
        <w:t xml:space="preserve">the</w:t>
      </w:r>
      <w:r>
        <w:t xml:space="preserve"> </w:t>
      </w:r>
      <w:r>
        <w:t xml:space="preserve">AR’s.</w:t>
      </w:r>
      <w:r>
        <w:t xml:space="preserve"> </w:t>
      </w:r>
      <w:r>
        <w:t xml:space="preserve">No</w:t>
      </w:r>
      <w:r>
        <w:t xml:space="preserve"> </w:t>
      </w:r>
      <w:r>
        <w:t xml:space="preserve">difference</w:t>
      </w:r>
      <w:r>
        <w:t xml:space="preserve"> </w:t>
      </w:r>
      <w:r>
        <w:t xml:space="preserve">is</w:t>
      </w:r>
      <w:r>
        <w:t xml:space="preserve"> </w:t>
      </w:r>
      <w:r>
        <w:t xml:space="preserve">statistically</w:t>
      </w:r>
      <w:r>
        <w:t xml:space="preserve"> </w:t>
      </w:r>
      <w:r>
        <w:t xml:space="preserve">significant,</w:t>
      </w:r>
      <w:r>
        <w:t xml:space="preserve"> </w:t>
      </w:r>
      <w:r>
        <w:t xml:space="preserve">and</w:t>
      </w:r>
      <w:r>
        <w:t xml:space="preserve"> </w:t>
      </w:r>
      <w:r>
        <w:t xml:space="preserve">the</w:t>
      </w:r>
      <w:r>
        <w:t xml:space="preserve"> </w:t>
      </w:r>
      <w:r>
        <w:t xml:space="preserve">AR</w:t>
      </w:r>
      <w:r>
        <w:t xml:space="preserve"> </w:t>
      </w:r>
      <w:r>
        <w:t xml:space="preserve">is</w:t>
      </w:r>
      <w:r>
        <w:t xml:space="preserve"> </w:t>
      </w:r>
      <w:r>
        <w:t xml:space="preserve">never</w:t>
      </w:r>
      <w:r>
        <w:t xml:space="preserve"> </w:t>
      </w:r>
      <w:r>
        <w:t xml:space="preserve">excluded</w:t>
      </w:r>
      <w:r>
        <w:t xml:space="preserve"> </w:t>
      </w:r>
      <w:r>
        <w:t xml:space="preserve">from</w:t>
      </w:r>
      <w:r>
        <w:t xml:space="preserve"> </w:t>
      </w:r>
      <w:r>
        <w:t xml:space="preserve">the</w:t>
      </w:r>
      <w:r>
        <w:t xml:space="preserve"> </w:t>
      </w:r>
      <w:r>
        <w:t xml:space="preserve">90%</w:t>
      </w:r>
      <w:r>
        <w:t xml:space="preserve"> </w:t>
      </w:r>
      <w:r>
        <w:t xml:space="preserve">model</w:t>
      </w:r>
      <w:r>
        <w:t xml:space="preserve"> </w:t>
      </w:r>
      <w:r>
        <w:t xml:space="preserve">confidence</w:t>
      </w:r>
      <w:r>
        <w:t xml:space="preserve"> </w:t>
      </w:r>
      <w:r>
        <w:t xml:space="preserve">set.</w:t>
      </w:r>
      <w:r>
        <w:t xml:space="preserve"> </w:t>
      </w:r>
      <w:r>
        <w:t xml:space="preserve">Only</w:t>
      </w:r>
      <w:r>
        <w:t xml:space="preserve"> </w:t>
      </w:r>
      <w:r>
        <w:t xml:space="preserve">with</w:t>
      </w:r>
      <w:r>
        <w:t xml:space="preserve"> </w:t>
      </w:r>
      <w:r>
        <w:t xml:space="preserve">an</w:t>
      </w:r>
      <w:r>
        <w:t xml:space="preserve"> </w:t>
      </w:r>
      <w:r>
        <w:t xml:space="preserve">expanding</w:t>
      </w:r>
      <w:r>
        <w:t xml:space="preserve"> </w:t>
      </w:r>
      <w:r>
        <w:t xml:space="preserve">estimation</w:t>
      </w:r>
      <w:r>
        <w:t xml:space="preserve"> </w:t>
      </w:r>
      <w:r>
        <w:t xml:space="preserve">window</w:t>
      </w:r>
      <w:r>
        <w:t xml:space="preserve"> </w:t>
      </w:r>
      <w:r>
        <w:t xml:space="preserve">do</w:t>
      </w:r>
      <w:r>
        <w:t xml:space="preserve"> </w:t>
      </w:r>
      <w:r>
        <w:t xml:space="preserve">two</w:t>
      </w:r>
      <w:r>
        <w:t xml:space="preserve"> </w:t>
      </w:r>
      <w:r>
        <w:t xml:space="preserve">ML</w:t>
      </w:r>
      <w:r>
        <w:t xml:space="preserve"> </w:t>
      </w:r>
      <w:r>
        <w:t xml:space="preserve">forecasts</w:t>
      </w:r>
      <w:r>
        <w:t xml:space="preserve"> </w:t>
      </w:r>
      <w:r>
        <w:t xml:space="preserve">become</w:t>
      </w:r>
      <w:r>
        <w:t xml:space="preserve"> </w:t>
      </w:r>
      <w:r>
        <w:t xml:space="preserve">significantly</w:t>
      </w:r>
      <w:r>
        <w:t xml:space="preserve"> </w:t>
      </w:r>
      <w:r>
        <w:t xml:space="preserve">more</w:t>
      </w:r>
      <w:r>
        <w:t xml:space="preserve"> </w:t>
      </w:r>
      <w:r>
        <w:t xml:space="preserve">accurate</w:t>
      </w:r>
      <w:r>
        <w:t xml:space="preserve"> </w:t>
      </w:r>
      <w:r>
        <w:t xml:space="preserve">one</w:t>
      </w:r>
      <w:r>
        <w:t xml:space="preserve"> </w:t>
      </w:r>
      <w:r>
        <w:t xml:space="preserve">month</w:t>
      </w:r>
      <w:r>
        <w:t xml:space="preserve"> </w:t>
      </w:r>
      <w:r>
        <w:t xml:space="preserve">ahead,</w:t>
      </w:r>
      <w:r>
        <w:t xml:space="preserve"> </w:t>
      </w:r>
      <w:r>
        <w:t xml:space="preserve">and</w:t>
      </w:r>
      <w:r>
        <w:t xml:space="preserve"> </w:t>
      </w:r>
      <w:r>
        <w:t xml:space="preserve">not</w:t>
      </w:r>
      <w:r>
        <w:t xml:space="preserve"> </w:t>
      </w:r>
      <w:r>
        <w:t xml:space="preserve">after</w:t>
      </w:r>
      <w:r>
        <w:t xml:space="preserve"> </w:t>
      </w:r>
      <w:r>
        <w:t xml:space="preserve">a</w:t>
      </w:r>
      <w:r>
        <w:t xml:space="preserve"> </w:t>
      </w:r>
      <w:r>
        <w:t xml:space="preserve">correction</w:t>
      </w:r>
      <w:r>
        <w:t xml:space="preserve"> </w:t>
      </w:r>
      <w:r>
        <w:t xml:space="preserve">for</w:t>
      </w:r>
      <w:r>
        <w:t xml:space="preserve"> </w:t>
      </w:r>
      <w:r>
        <w:t xml:space="preserve">multiple</w:t>
      </w:r>
      <w:r>
        <w:t xml:space="preserve"> </w:t>
      </w:r>
      <w:r>
        <w:t xml:space="preserve">testing.</w:t>
      </w:r>
      <w:r>
        <w:t xml:space="preserve"> </w:t>
      </w:r>
      <w:r>
        <w:t xml:space="preserve">The</w:t>
      </w:r>
      <w:r>
        <w:t xml:space="preserve"> </w:t>
      </w:r>
      <w:r>
        <w:t xml:space="preserve">gains</w:t>
      </w:r>
      <w:r>
        <w:t xml:space="preserve"> </w:t>
      </w:r>
      <w:r>
        <w:t xml:space="preserve">are</w:t>
      </w:r>
      <w:r>
        <w:t xml:space="preserve"> </w:t>
      </w:r>
      <w:r>
        <w:t xml:space="preserve">not</w:t>
      </w:r>
      <w:r>
        <w:t xml:space="preserve"> </w:t>
      </w:r>
      <w:r>
        <w:t xml:space="preserve">larger</w:t>
      </w:r>
      <w:r>
        <w:t xml:space="preserve"> </w:t>
      </w:r>
      <w:r>
        <w:t xml:space="preserve">in</w:t>
      </w:r>
      <w:r>
        <w:t xml:space="preserve"> </w:t>
      </w:r>
      <w:r>
        <w:t xml:space="preserve">high-inflation</w:t>
      </w:r>
      <w:r>
        <w:t xml:space="preserve"> </w:t>
      </w:r>
      <w:r>
        <w:t xml:space="preserve">months.</w:t>
      </w:r>
      <w:r>
        <w:t xml:space="preserve"> </w:t>
      </w:r>
      <w:r>
        <w:t xml:space="preserve">Food</w:t>
      </w:r>
      <w:r>
        <w:t xml:space="preserve"> </w:t>
      </w:r>
      <w:r>
        <w:t xml:space="preserve">and</w:t>
      </w:r>
      <w:r>
        <w:t xml:space="preserve"> </w:t>
      </w:r>
      <w:r>
        <w:t xml:space="preserve">regional</w:t>
      </w:r>
      <w:r>
        <w:t xml:space="preserve"> </w:t>
      </w:r>
      <w:r>
        <w:t xml:space="preserve">prices</w:t>
      </w:r>
      <w:r>
        <w:t xml:space="preserve"> </w:t>
      </w:r>
      <w:r>
        <w:t xml:space="preserve">carry</w:t>
      </w:r>
      <w:r>
        <w:t xml:space="preserve"> </w:t>
      </w:r>
      <w:r>
        <w:t xml:space="preserve">most</w:t>
      </w:r>
      <w:r>
        <w:t xml:space="preserve"> </w:t>
      </w:r>
      <w:r>
        <w:t xml:space="preserve">of</w:t>
      </w:r>
      <w:r>
        <w:t xml:space="preserve"> </w:t>
      </w:r>
      <w:r>
        <w:t xml:space="preserve">the</w:t>
      </w:r>
      <w:r>
        <w:t xml:space="preserve"> </w:t>
      </w:r>
      <w:r>
        <w:t xml:space="preserve">random</w:t>
      </w:r>
      <w:r>
        <w:t xml:space="preserve"> </w:t>
      </w:r>
      <w:r>
        <w:t xml:space="preserve">forest’s</w:t>
      </w:r>
      <w:r>
        <w:t xml:space="preserve"> </w:t>
      </w:r>
      <w:r>
        <w:t xml:space="preserve">one-month-ahead</w:t>
      </w:r>
      <w:r>
        <w:t xml:space="preserve"> </w:t>
      </w:r>
      <w:r>
        <w:t xml:space="preserve">predictive</w:t>
      </w:r>
      <w:r>
        <w:t xml:space="preserve"> </w:t>
      </w:r>
      <w:r>
        <w:t xml:space="preserve">content.</w:t>
      </w:r>
      <w:r>
        <w:t xml:space="preserve"> </w:t>
      </w:r>
      <w:r>
        <w:t xml:space="preserve">Yet</w:t>
      </w:r>
      <w:r>
        <w:t xml:space="preserve"> </w:t>
      </w:r>
      <w:r>
        <w:t xml:space="preserve">no</w:t>
      </w:r>
      <w:r>
        <w:t xml:space="preserve"> </w:t>
      </w:r>
      <w:r>
        <w:t xml:space="preserve">model,</w:t>
      </w:r>
      <w:r>
        <w:t xml:space="preserve"> </w:t>
      </w:r>
      <w:r>
        <w:t xml:space="preserve">linear</w:t>
      </w:r>
      <w:r>
        <w:t xml:space="preserve"> </w:t>
      </w:r>
      <w:r>
        <w:t xml:space="preserve">or</w:t>
      </w:r>
      <w:r>
        <w:t xml:space="preserve"> </w:t>
      </w:r>
      <w:r>
        <w:t xml:space="preserve">nonlinear,</w:t>
      </w:r>
      <w:r>
        <w:t xml:space="preserve"> </w:t>
      </w:r>
      <w:r>
        <w:t xml:space="preserve">anticipated</w:t>
      </w:r>
      <w:r>
        <w:t xml:space="preserve"> </w:t>
      </w:r>
      <w:r>
        <w:t xml:space="preserve">the</w:t>
      </w:r>
      <w:r>
        <w:t xml:space="preserve"> </w:t>
      </w:r>
      <w:r>
        <w:t xml:space="preserve">large</w:t>
      </w:r>
      <w:r>
        <w:t xml:space="preserve"> </w:t>
      </w:r>
      <w:r>
        <w:t xml:space="preserve">inflation</w:t>
      </w:r>
      <w:r>
        <w:t xml:space="preserve"> </w:t>
      </w:r>
      <w:r>
        <w:t xml:space="preserve">episodes</w:t>
      </w:r>
      <w:r>
        <w:t xml:space="preserve"> </w:t>
      </w:r>
      <w:r>
        <w:t xml:space="preserve">of</w:t>
      </w:r>
      <w:r>
        <w:t xml:space="preserve"> </w:t>
      </w:r>
      <w:r>
        <w:t xml:space="preserve">2008,</w:t>
      </w:r>
      <w:r>
        <w:t xml:space="preserve"> </w:t>
      </w:r>
      <w:r>
        <w:t xml:space="preserve">2018,</w:t>
      </w:r>
      <w:r>
        <w:t xml:space="preserve"> </w:t>
      </w:r>
      <w:r>
        <w:t xml:space="preserve">2022–23</w:t>
      </w:r>
      <w:r>
        <w:t xml:space="preserve"> </w:t>
      </w:r>
      <w:r>
        <w:t xml:space="preserve">or</w:t>
      </w:r>
      <w:r>
        <w:t xml:space="preserve"> </w:t>
      </w:r>
      <w:r>
        <w:t xml:space="preserve">2026</w:t>
      </w:r>
      <w:r>
        <w:t xml:space="preserve"> </w:t>
      </w:r>
      <w:r>
        <w:t xml:space="preserve">a</w:t>
      </w:r>
      <w:r>
        <w:t xml:space="preserve"> </w:t>
      </w:r>
      <w:r>
        <w:t xml:space="preserve">year</w:t>
      </w:r>
      <w:r>
        <w:t xml:space="preserve"> </w:t>
      </w:r>
      <w:r>
        <w:t xml:space="preserve">ahead.</w:t>
      </w:r>
      <w:r>
        <w:t xml:space="preserve"> </w:t>
      </w:r>
      <w:r>
        <w:t xml:space="preserve">For</w:t>
      </w:r>
      <w:r>
        <w:t xml:space="preserve"> </w:t>
      </w:r>
      <w:r>
        <w:t xml:space="preserve">the</w:t>
      </w:r>
      <w:r>
        <w:t xml:space="preserve"> </w:t>
      </w:r>
      <w:r>
        <w:t xml:space="preserve">Philippines,</w:t>
      </w:r>
      <w:r>
        <w:t xml:space="preserve"> </w:t>
      </w:r>
      <w:r>
        <w:t xml:space="preserve">simple</w:t>
      </w:r>
      <w:r>
        <w:t xml:space="preserve"> </w:t>
      </w:r>
      <w:r>
        <w:t xml:space="preserve">benchmarks</w:t>
      </w:r>
      <w:r>
        <w:t xml:space="preserve"> </w:t>
      </w:r>
      <w:r>
        <w:t xml:space="preserve">remain</w:t>
      </w:r>
      <w:r>
        <w:t xml:space="preserve"> </w:t>
      </w:r>
      <w:r>
        <w:t xml:space="preserve">very</w:t>
      </w:r>
      <w:r>
        <w:t xml:space="preserve"> </w:t>
      </w:r>
      <w:r>
        <w:t xml:space="preserve">hard</w:t>
      </w:r>
      <w:r>
        <w:t xml:space="preserve"> </w:t>
      </w:r>
      <w:r>
        <w:t xml:space="preserve">to</w:t>
      </w:r>
      <w:r>
        <w:t xml:space="preserve"> </w:t>
      </w:r>
      <w:r>
        <w:t xml:space="preserve">beat;</w:t>
      </w:r>
      <w:r>
        <w:t xml:space="preserve"> </w:t>
      </w:r>
      <w:r>
        <w:t xml:space="preserve">adding</w:t>
      </w:r>
      <w:r>
        <w:t xml:space="preserve"> </w:t>
      </w:r>
      <w:r>
        <w:t xml:space="preserve">predictors</w:t>
      </w:r>
      <w:r>
        <w:t xml:space="preserve"> </w:t>
      </w:r>
      <w:r>
        <w:t xml:space="preserve">and</w:t>
      </w:r>
      <w:r>
        <w:t xml:space="preserve"> </w:t>
      </w:r>
      <w:r>
        <w:t xml:space="preserve">nonlinearity</w:t>
      </w:r>
      <w:r>
        <w:t xml:space="preserve"> </w:t>
      </w:r>
      <w:r>
        <w:t xml:space="preserve">does</w:t>
      </w:r>
      <w:r>
        <w:t xml:space="preserve"> </w:t>
      </w:r>
      <w:r>
        <w:t xml:space="preserve">little</w:t>
      </w:r>
      <w:r>
        <w:t xml:space="preserve"> </w:t>
      </w:r>
      <w:r>
        <w:t xml:space="preserve">to</w:t>
      </w:r>
      <w:r>
        <w:t xml:space="preserve"> </w:t>
      </w:r>
      <w:r>
        <w:t xml:space="preserve">change</w:t>
      </w:r>
      <w:r>
        <w:t xml:space="preserve"> </w:t>
      </w:r>
      <w:r>
        <w:t xml:space="preserve">that.</w:t>
      </w:r>
    </w:p>
    <w:p>
      <w:pPr>
        <w:pStyle w:val="Abstract"/>
      </w:pPr>
      <w:r>
        <w:rPr>
          <w:bCs/>
          <w:b/>
        </w:rPr>
        <w:t xml:space="preserve">Keywords:</w:t>
      </w:r>
      <w:r>
        <w:t xml:space="preserve"> </w:t>
      </w:r>
      <w:r>
        <w:t xml:space="preserve">inflation</w:t>
      </w:r>
      <w:r>
        <w:t xml:space="preserve"> </w:t>
      </w:r>
      <w:r>
        <w:t xml:space="preserve">forecasting;</w:t>
      </w:r>
      <w:r>
        <w:t xml:space="preserve"> </w:t>
      </w:r>
      <w:r>
        <w:t xml:space="preserve">machine</w:t>
      </w:r>
      <w:r>
        <w:t xml:space="preserve"> </w:t>
      </w:r>
      <w:r>
        <w:t xml:space="preserve">learning;</w:t>
      </w:r>
      <w:r>
        <w:t xml:space="preserve"> </w:t>
      </w:r>
      <w:r>
        <w:t xml:space="preserve">random</w:t>
      </w:r>
      <w:r>
        <w:t xml:space="preserve"> </w:t>
      </w:r>
      <w:r>
        <w:t xml:space="preserve">forest;</w:t>
      </w:r>
      <w:r>
        <w:t xml:space="preserve"> </w:t>
      </w:r>
      <w:r>
        <w:t xml:space="preserve">LASSO;</w:t>
      </w:r>
      <w:r>
        <w:t xml:space="preserve"> </w:t>
      </w:r>
      <w:r>
        <w:t xml:space="preserve">forecast</w:t>
      </w:r>
      <w:r>
        <w:t xml:space="preserve"> </w:t>
      </w:r>
      <w:r>
        <w:t xml:space="preserve">evaluation;</w:t>
      </w:r>
      <w:r>
        <w:t xml:space="preserve"> </w:t>
      </w:r>
      <w:r>
        <w:t xml:space="preserve">Philippines</w:t>
      </w:r>
    </w:p>
    <w:p>
      <w:pPr>
        <w:pStyle w:val="Abstract"/>
      </w:pPr>
      <w:r>
        <w:rPr>
          <w:bCs/>
          <w:b/>
        </w:rPr>
        <w:t xml:space="preserve">JEL</w:t>
      </w:r>
      <w:r>
        <w:rPr>
          <w:bCs/>
          <w:b/>
        </w:rPr>
        <w:t xml:space="preserve"> </w:t>
      </w:r>
      <w:r>
        <w:rPr>
          <w:bCs/>
          <w:b/>
        </w:rPr>
        <w:t xml:space="preserve">codes:</w:t>
      </w:r>
      <w:r>
        <w:t xml:space="preserve"> </w:t>
      </w:r>
      <w:r>
        <w:t xml:space="preserve">C53,</w:t>
      </w:r>
      <w:r>
        <w:t xml:space="preserve"> </w:t>
      </w:r>
      <w:r>
        <w:t xml:space="preserve">C55,</w:t>
      </w:r>
      <w:r>
        <w:t xml:space="preserve"> </w:t>
      </w:r>
      <w:r>
        <w:t xml:space="preserve">E31,</w:t>
      </w:r>
      <w:r>
        <w:t xml:space="preserve"> </w:t>
      </w:r>
      <w:r>
        <w:t xml:space="preserve">E37</w:t>
      </w:r>
    </w:p>
    <w:bookmarkStart w:id="21" w:name="introduction"/>
    <w:p>
      <w:pPr>
        <w:pStyle w:val="Heading1"/>
      </w:pPr>
      <w:r>
        <w:rPr>
          <w:rStyle w:val="SectionNumber"/>
        </w:rPr>
        <w:t xml:space="preserve">1</w:t>
      </w:r>
      <w:r>
        <w:tab/>
      </w:r>
      <w:r>
        <w:t xml:space="preserve">Introduction</w:t>
      </w:r>
    </w:p>
    <w:p>
      <w:pPr>
        <w:pStyle w:val="FirstParagraph"/>
      </w:pPr>
      <w:r>
        <w:t xml:space="preserve">Inflation forecasts sit at the centre of monetary policy. The Bangko Sentral ng</w:t>
      </w:r>
      <w:r>
        <w:t xml:space="preserve"> </w:t>
      </w:r>
      <w:r>
        <w:t xml:space="preserve">Pilipinas (BSP) has targeted inflation since 2002, and under a forward-looking</w:t>
      </w:r>
      <w:r>
        <w:t xml:space="preserve"> </w:t>
      </w:r>
      <w:r>
        <w:t xml:space="preserve">regime the policy rate responds to where inflation is</w:t>
      </w:r>
      <w:r>
        <w:t xml:space="preserve"> </w:t>
      </w:r>
      <w:r>
        <w:rPr>
          <w:iCs/>
          <w:i/>
        </w:rPr>
        <w:t xml:space="preserve">expected</w:t>
      </w:r>
      <w:r>
        <w:t xml:space="preserve"> </w:t>
      </w:r>
      <w:r>
        <w:t xml:space="preserve">to be one to two</w:t>
      </w:r>
      <w:r>
        <w:t xml:space="preserve"> </w:t>
      </w:r>
      <w:r>
        <w:t xml:space="preserve">years ahead, not where it is today. A better forecast therefore means better-timed</w:t>
      </w:r>
      <w:r>
        <w:t xml:space="preserve"> </w:t>
      </w:r>
      <w:r>
        <w:t xml:space="preserve">policy. The Philippine case is also a hard one. Food is</w:t>
      </w:r>
      <w:r>
        <w:t xml:space="preserve"> </w:t>
      </w:r>
      <w:r>
        <w:t xml:space="preserve">34.8% of the consumer basket and rice alone is 8.9%</w:t>
      </w:r>
      <w:r>
        <w:t xml:space="preserve"> </w:t>
      </w:r>
      <w:r>
        <w:t xml:space="preserve">(Philippine Statistics Authority, 2018 weights). Rice and oil are largely</w:t>
      </w:r>
      <w:r>
        <w:t xml:space="preserve"> </w:t>
      </w:r>
      <w:r>
        <w:t xml:space="preserve">imported, and typhoons hit farm output every year. As a result, Philippine</w:t>
      </w:r>
      <w:r>
        <w:t xml:space="preserve"> </w:t>
      </w:r>
      <w:r>
        <w:t xml:space="preserve">inflation swings much more than inflation in advanced economies. Since 2005 it</w:t>
      </w:r>
      <w:r>
        <w:t xml:space="preserve"> </w:t>
      </w:r>
      <w:r>
        <w:t xml:space="preserve">has left the 2–4% target band in 56% of months</w:t>
      </w:r>
      <w:r>
        <w:t xml:space="preserve"> </w:t>
      </w:r>
      <w:r>
        <w:t xml:space="preserve">(Figure 1), and the most recent episode, an oil-price shock in early 2026, pushed</w:t>
      </w:r>
      <w:r>
        <w:t xml:space="preserve"> </w:t>
      </w:r>
      <w:r>
        <w:t xml:space="preserve">it to 7.2% in September 2026. These features are common</w:t>
      </w:r>
      <w:r>
        <w:t xml:space="preserve"> </w:t>
      </w:r>
      <w:r>
        <w:t xml:space="preserve">across emerging Asia: rice is the staple, food takes a large share of household</w:t>
      </w:r>
      <w:r>
        <w:t xml:space="preserve"> </w:t>
      </w:r>
      <w:r>
        <w:t xml:space="preserve">budgets, and most economies import their oil. The Philippine evidence is</w:t>
      </w:r>
      <w:r>
        <w:t xml:space="preserve"> </w:t>
      </w:r>
      <w:r>
        <w:t xml:space="preserve">therefore a useful test case for other Asian central banks that are weighing</w:t>
      </w:r>
      <w:r>
        <w:t xml:space="preserve"> </w:t>
      </w:r>
      <w:r>
        <w:t xml:space="preserve">whether to add ML tools to their forecasting toolkits.</w:t>
      </w:r>
    </w:p>
    <w:p>
      <w:pPr>
        <w:pStyle w:val="BodyText"/>
      </w:pPr>
      <w:r>
        <w:t xml:space="preserve">Machine-learning (ML) methods promise better forecasts when there are many</w:t>
      </w:r>
      <w:r>
        <w:t xml:space="preserve"> </w:t>
      </w:r>
      <w:r>
        <w:t xml:space="preserve">possible predictors. They do this in two ways: they</w:t>
      </w:r>
      <w:r>
        <w:t xml:space="preserve"> </w:t>
      </w:r>
      <w:r>
        <w:rPr>
          <w:iCs/>
          <w:i/>
        </w:rPr>
        <w:t xml:space="preserve">shrink</w:t>
      </w:r>
      <w:r>
        <w:t xml:space="preserve"> </w:t>
      </w:r>
      <w:r>
        <w:t xml:space="preserve">or</w:t>
      </w:r>
      <w:r>
        <w:t xml:space="preserve"> </w:t>
      </w:r>
      <w:r>
        <w:rPr>
          <w:iCs/>
          <w:i/>
        </w:rPr>
        <w:t xml:space="preserve">select</w:t>
      </w:r>
      <w:r>
        <w:t xml:space="preserve"> </w:t>
      </w:r>
      <w:r>
        <w:t xml:space="preserve">among</w:t>
      </w:r>
      <w:r>
        <w:t xml:space="preserve"> </w:t>
      </w:r>
      <w:r>
        <w:t xml:space="preserve">predictors so that noise does not swamp the signal, and some of them (tree-based</w:t>
      </w:r>
      <w:r>
        <w:t xml:space="preserve"> </w:t>
      </w:r>
      <w:r>
        <w:t xml:space="preserve">methods) also capture</w:t>
      </w:r>
      <w:r>
        <w:t xml:space="preserve"> </w:t>
      </w:r>
      <w:r>
        <w:rPr>
          <w:iCs/>
          <w:i/>
        </w:rPr>
        <w:t xml:space="preserve">nonlinear</w:t>
      </w:r>
      <w:r>
        <w:t xml:space="preserve"> </w:t>
      </w:r>
      <w:r>
        <w:t xml:space="preserve">relationships. The most influential evidence is</w:t>
      </w:r>
      <w:r>
        <w:t xml:space="preserve"> </w:t>
      </w:r>
      <w:r>
        <w:t xml:space="preserve">Medeiros et al. (</w:t>
      </w:r>
      <w:hyperlink w:anchor="ref-medeiros2021">
        <w:r>
          <w:rPr>
            <w:rStyle w:val="Hyperlink"/>
          </w:rPr>
          <w:t xml:space="preserve">2021</w:t>
        </w:r>
      </w:hyperlink>
      <w:r>
        <w:t xml:space="preserve">)</w:t>
      </w:r>
      <w:r>
        <w:t xml:space="preserve">. Using about 120 US macroeconomic series, they find that a</w:t>
      </w:r>
      <w:r>
        <w:t xml:space="preserve"> </w:t>
      </w:r>
      <w:r>
        <w:t xml:space="preserve">random forest (RF) forecasts US consumer price inflation more accurately than</w:t>
      </w:r>
      <w:r>
        <w:t xml:space="preserve"> </w:t>
      </w:r>
      <w:r>
        <w:t xml:space="preserve">the standard benchmarks at every horizon, and that the gains are largest when</w:t>
      </w:r>
      <w:r>
        <w:t xml:space="preserve"> </w:t>
      </w:r>
      <w:r>
        <w:t xml:space="preserve">uncertainty is high. Similar comparisons for Brazil</w:t>
      </w:r>
      <w:r>
        <w:t xml:space="preserve"> </w:t>
      </w:r>
      <w:r>
        <w:t xml:space="preserve">(</w:t>
      </w:r>
      <w:hyperlink w:anchor="ref-garcia2017">
        <w:r>
          <w:rPr>
            <w:rStyle w:val="Hyperlink"/>
          </w:rPr>
          <w:t xml:space="preserve">Garcia, Medeiros, and Vasconcelos 2017</w:t>
        </w:r>
      </w:hyperlink>
      <w:r>
        <w:t xml:space="preserve">;</w:t>
      </w:r>
      <w:r>
        <w:t xml:space="preserve"> </w:t>
      </w:r>
      <w:hyperlink w:anchor="ref-araujo2023">
        <w:r>
          <w:rPr>
            <w:rStyle w:val="Hyperlink"/>
          </w:rPr>
          <w:t xml:space="preserve">Araujo and Gaglianone 2023</w:t>
        </w:r>
      </w:hyperlink>
      <w:r>
        <w:t xml:space="preserve">)</w:t>
      </w:r>
      <w:r>
        <w:t xml:space="preserve"> </w:t>
      </w:r>
      <w:r>
        <w:t xml:space="preserve">and for a broad set of US variables</w:t>
      </w:r>
      <w:r>
        <w:t xml:space="preserve"> </w:t>
      </w:r>
      <w:r>
        <w:t xml:space="preserve">(</w:t>
      </w:r>
      <w:hyperlink w:anchor="ref-gouletcoulombe2022">
        <w:r>
          <w:rPr>
            <w:rStyle w:val="Hyperlink"/>
          </w:rPr>
          <w:t xml:space="preserve">Goulet Coulombe et al. 2022</w:t>
        </w:r>
      </w:hyperlink>
      <w:r>
        <w:t xml:space="preserve">)</w:t>
      </w:r>
      <w:r>
        <w:t xml:space="preserve"> </w:t>
      </w:r>
      <w:r>
        <w:t xml:space="preserve">support the view that</w:t>
      </w:r>
      <w:r>
        <w:t xml:space="preserve"> </w:t>
      </w:r>
      <w:r>
        <w:t xml:space="preserve">ML helps. But the classic finding of inflation forecasting points the other way:</w:t>
      </w:r>
      <w:r>
        <w:t xml:space="preserve"> </w:t>
      </w:r>
      <w:r>
        <w:t xml:space="preserve">simple univariate benchmarks are very hard to beat</w:t>
      </w:r>
      <w:r>
        <w:t xml:space="preserve"> </w:t>
      </w:r>
      <w:r>
        <w:t xml:space="preserve">(</w:t>
      </w:r>
      <w:hyperlink w:anchor="ref-atkeson2001">
        <w:r>
          <w:rPr>
            <w:rStyle w:val="Hyperlink"/>
          </w:rPr>
          <w:t xml:space="preserve">Atkeson and Ohanian 2001</w:t>
        </w:r>
      </w:hyperlink>
      <w:r>
        <w:t xml:space="preserve">;</w:t>
      </w:r>
      <w:r>
        <w:t xml:space="preserve"> </w:t>
      </w:r>
      <w:hyperlink w:anchor="ref-stock2007">
        <w:r>
          <w:rPr>
            <w:rStyle w:val="Hyperlink"/>
          </w:rPr>
          <w:t xml:space="preserve">Stock and Watson 2007</w:t>
        </w:r>
      </w:hyperlink>
      <w:r>
        <w:t xml:space="preserve">;</w:t>
      </w:r>
      <w:r>
        <w:t xml:space="preserve"> </w:t>
      </w:r>
      <w:hyperlink w:anchor="ref-faust2013">
        <w:r>
          <w:rPr>
            <w:rStyle w:val="Hyperlink"/>
          </w:rPr>
          <w:t xml:space="preserve">Faust and Wright 2013</w:t>
        </w:r>
      </w:hyperlink>
      <w:r>
        <w:t xml:space="preserve">)</w:t>
      </w:r>
      <w:r>
        <w:t xml:space="preserve">.</w:t>
      </w:r>
    </w:p>
    <w:p>
      <w:pPr>
        <w:pStyle w:val="BodyText"/>
      </w:pPr>
      <w:r>
        <w:t xml:space="preserve">This paper asks which of these two findings holds for the Philippines. We</w:t>
      </w:r>
      <w:r>
        <w:t xml:space="preserve"> </w:t>
      </w:r>
      <w:r>
        <w:t xml:space="preserve">replicate the design of</w:t>
      </w:r>
      <w:r>
        <w:t xml:space="preserve"> </w:t>
      </w:r>
      <w:r>
        <w:t xml:space="preserve">Medeiros et al. (</w:t>
      </w:r>
      <w:hyperlink w:anchor="ref-medeiros2021">
        <w:r>
          <w:rPr>
            <w:rStyle w:val="Hyperlink"/>
          </w:rPr>
          <w:t xml:space="preserve">2021</w:t>
        </w:r>
      </w:hyperlink>
      <w:r>
        <w:t xml:space="preserve">)</w:t>
      </w:r>
      <w:r>
        <w:t xml:space="preserve"> </w:t>
      </w:r>
      <w:r>
        <w:t xml:space="preserve">on official monthly data from the</w:t>
      </w:r>
      <w:r>
        <w:t xml:space="preserve"> </w:t>
      </w:r>
      <w:r>
        <w:t xml:space="preserve">Philippine Statistics Authority (PSA), 1994–2026, and compare five ML models,</w:t>
      </w:r>
      <w:r>
        <w:t xml:space="preserve"> </w:t>
      </w:r>
      <w:r>
        <w:t xml:space="preserve">their combination and a factor model with three benchmarks over</w:t>
      </w:r>
      <w:r>
        <w:t xml:space="preserve"> </w:t>
      </w:r>
      <w:r>
        <w:t xml:space="preserve">260 out-of-sample months (January 2005 to August 2026). We ask three</w:t>
      </w:r>
      <w:r>
        <w:t xml:space="preserve"> </w:t>
      </w:r>
      <w:r>
        <w:t xml:space="preserve">research questions. RQ1: are the ML models more accurate than the benchmarks?</w:t>
      </w:r>
      <w:r>
        <w:t xml:space="preserve"> </w:t>
      </w:r>
      <w:r>
        <w:t xml:space="preserve">RQ2: which predictors carry the gains? RQ3: are the gains larger in</w:t>
      </w:r>
      <w:r>
        <w:t xml:space="preserve"> </w:t>
      </w:r>
      <w:r>
        <w:t xml:space="preserve">high-inflation periods?</w:t>
      </w:r>
    </w:p>
    <w:p>
      <w:pPr>
        <w:pStyle w:val="BodyText"/>
      </w:pPr>
      <w:r>
        <w:t xml:space="preserve">The paper makes three contributions. First, to our knowledge it is the first</w:t>
      </w:r>
      <w:r>
        <w:t xml:space="preserve"> </w:t>
      </w:r>
      <w:r>
        <w:t xml:space="preserve">systematic evaluation of data-rich ML inflation forecasts for the Philippines,</w:t>
      </w:r>
      <w:r>
        <w:t xml:space="preserve"> </w:t>
      </w:r>
      <w:r>
        <w:t xml:space="preserve">using the full detail of the PSA consumer price index (CPI): 13 food and energy</w:t>
      </w:r>
      <w:r>
        <w:t xml:space="preserve"> </w:t>
      </w:r>
      <w:r>
        <w:t xml:space="preserve">classes, the remaining divisions and groups, and all 18 regional indices.</w:t>
      </w:r>
      <w:r>
        <w:t xml:space="preserve"> </w:t>
      </w:r>
      <w:r>
        <w:t xml:space="preserve">Second, the design was</w:t>
      </w:r>
      <w:r>
        <w:t xml:space="preserve"> </w:t>
      </w:r>
      <w:r>
        <w:rPr>
          <w:iCs/>
          <w:i/>
        </w:rPr>
        <w:t xml:space="preserve">pre-registered</w:t>
      </w:r>
      <w:r>
        <w:t xml:space="preserve">. The research questions, models,</w:t>
      </w:r>
      <w:r>
        <w:t xml:space="preserve"> </w:t>
      </w:r>
      <w:r>
        <w:t xml:space="preserve">hyperparameters, evaluation sample, tests and robustness checks were written</w:t>
      </w:r>
      <w:r>
        <w:t xml:space="preserve"> </w:t>
      </w:r>
      <w:r>
        <w:t xml:space="preserve">down and committed to a public version-control history before any Philippine</w:t>
      </w:r>
      <w:r>
        <w:t xml:space="preserve"> </w:t>
      </w:r>
      <w:r>
        <w:t xml:space="preserve">forecast was computed. A replication of the reference paper’s main finding on</w:t>
      </w:r>
      <w:r>
        <w:t xml:space="preserve"> </w:t>
      </w:r>
      <w:r>
        <w:t xml:space="preserve">US data served as a gate that had to pass before we could proceed. This</w:t>
      </w:r>
      <w:r>
        <w:t xml:space="preserve"> </w:t>
      </w:r>
      <w:r>
        <w:t xml:space="preserve">guards against the</w:t>
      </w:r>
      <w:r>
        <w:t xml:space="preserve"> </w:t>
      </w:r>
      <w:r>
        <w:t xml:space="preserve">“</w:t>
      </w:r>
      <w:r>
        <w:t xml:space="preserve">garden of forking paths</w:t>
      </w:r>
      <w:r>
        <w:t xml:space="preserve">”</w:t>
      </w:r>
      <w:r>
        <w:t xml:space="preserve"> </w:t>
      </w:r>
      <w:r>
        <w:t xml:space="preserve">that is common in horse races</w:t>
      </w:r>
      <w:r>
        <w:t xml:space="preserve"> </w:t>
      </w:r>
      <w:r>
        <w:t xml:space="preserve">between many models. Third, we show</w:t>
      </w:r>
      <w:r>
        <w:t xml:space="preserve"> </w:t>
      </w:r>
      <w:r>
        <w:rPr>
          <w:iCs/>
          <w:i/>
        </w:rPr>
        <w:t xml:space="preserve">where</w:t>
      </w:r>
      <w:r>
        <w:t xml:space="preserve"> </w:t>
      </w:r>
      <w:r>
        <w:t xml:space="preserve">the gains come from: which groups of</w:t>
      </w:r>
      <w:r>
        <w:t xml:space="preserve"> </w:t>
      </w:r>
      <w:r>
        <w:t xml:space="preserve">predictors matter and in which inflation regimes.</w:t>
      </w:r>
    </w:p>
    <w:p>
      <w:pPr>
        <w:pStyle w:val="BodyText"/>
      </w:pPr>
      <w:r>
        <w:t xml:space="preserve">The answer is clear and goes against the US evidence. All models beat the random walk by a wide margin; the AR’s error is 17% smaller one month ahead. But no ML model is more accurate than the AR benchmark. The best of them, the equal-weight ML combination, has a relative RMSE of 0.98 one month ahead and 1.03 for inflation over the next year, and none of the Diebold–Mariano tests rejects equal accuracy. The random forest, the winner in the US, has relative RMSEs of 0.99 to 1.04 at these cases. The same code reproduces the random forest’s advantage on US data, so the difference lies in the data, not the implementation. Food and regional prices carry most of the random forest’s short-horizon signal, but that signal is already contained in past headline inflation. The ML gains do not grow in high-inflation periods. We read these results as support for the long-standing view that simple benchmarks are hard to beat</w:t>
      </w:r>
      <w:r>
        <w:t xml:space="preserve"> </w:t>
      </w:r>
      <w:r>
        <w:t xml:space="preserve">(</w:t>
      </w:r>
      <w:hyperlink w:anchor="ref-atkeson2001">
        <w:r>
          <w:rPr>
            <w:rStyle w:val="Hyperlink"/>
          </w:rPr>
          <w:t xml:space="preserve">Atkeson and Ohanian 2001</w:t>
        </w:r>
      </w:hyperlink>
      <w:r>
        <w:t xml:space="preserve">;</w:t>
      </w:r>
      <w:r>
        <w:t xml:space="preserve"> </w:t>
      </w:r>
      <w:hyperlink w:anchor="ref-stock2007">
        <w:r>
          <w:rPr>
            <w:rStyle w:val="Hyperlink"/>
          </w:rPr>
          <w:t xml:space="preserve">Stock and Watson 2007</w:t>
        </w:r>
      </w:hyperlink>
      <w:r>
        <w:t xml:space="preserve">)</w:t>
      </w:r>
      <w:r>
        <w:t xml:space="preserve">, in a setting where supply shocks dominate inflation and are hard to predict.</w:t>
      </w:r>
    </w:p>
    <w:p>
      <w:pPr>
        <w:pStyle w:val="BodyText"/>
      </w:pPr>
      <w:r>
        <w:t xml:space="preserve">The rest of the paper is organised as follows. Section 2 describes the data,</w:t>
      </w:r>
      <w:r>
        <w:t xml:space="preserve"> </w:t>
      </w:r>
      <w:r>
        <w:t xml:space="preserve">Section 3 the models and the evaluation, and Section 4 the replication gate.</w:t>
      </w:r>
      <w:r>
        <w:t xml:space="preserve"> </w:t>
      </w:r>
      <w:r>
        <w:t xml:space="preserve">Section 5 presents the results by research question, Section 6 the robustness</w:t>
      </w:r>
      <w:r>
        <w:t xml:space="preserve"> </w:t>
      </w:r>
      <w:r>
        <w:t xml:space="preserve">checks, and Section 7 discusses the findings and concludes.</w:t>
      </w:r>
    </w:p>
    <w:bookmarkEnd w:id="21"/>
    <w:bookmarkStart w:id="22" w:name="data"/>
    <w:p>
      <w:pPr>
        <w:pStyle w:val="Heading1"/>
      </w:pPr>
      <w:r>
        <w:rPr>
          <w:rStyle w:val="SectionNumber"/>
        </w:rPr>
        <w:t xml:space="preserve">2</w:t>
      </w:r>
      <w:r>
        <w:tab/>
      </w:r>
      <w:r>
        <w:t xml:space="preserve">Data</w:t>
      </w:r>
    </w:p>
    <w:p>
      <w:pPr>
        <w:pStyle w:val="FirstParagraph"/>
      </w:pPr>
      <w:r>
        <w:rPr>
          <w:bCs/>
          <w:b/>
        </w:rPr>
        <w:t xml:space="preserve">Target.</w:t>
      </w:r>
      <w:r>
        <w:t xml:space="preserve"> </w:t>
      </w:r>
      <w:r>
        <w:t xml:space="preserve">The target is monthly headline inflation, defined as the log change</w:t>
      </w:r>
      <w:r>
        <w:t xml:space="preserve"> </w:t>
      </w:r>
      <w:r>
        <w:t xml:space="preserve">of the all-items CPI for all income households (2018 = 100):</w:t>
      </w:r>
    </w:p>
    <w:p>
      <w:pPr>
        <w:pStyle w:val="BodyText"/>
      </w:pPr>
      <m:oMathPara>
        <m:oMathParaPr>
          <m:jc m:val="center"/>
        </m:oMathParaPr>
        <m:oMath>
          <m:sSub>
            <m:e>
              <m:r>
                <m:t>π</m:t>
              </m:r>
            </m:e>
            <m:sub>
              <m:r>
                <m:t>t</m:t>
              </m:r>
            </m:sub>
          </m:sSub>
          <m:r>
            <m:rPr>
              <m:sty m:val="p"/>
            </m:rPr>
            <m:t>=</m:t>
          </m:r>
          <m:r>
            <m:t>100</m:t>
          </m:r>
          <m:r>
            <m:rPr>
              <m:sty m:val="p"/>
            </m:rPr>
            <m:t>×</m:t>
          </m:r>
          <m:r>
            <m:rPr>
              <m:sty m:val="p"/>
            </m:rPr>
            <m:t>ln</m:t>
          </m:r>
          <m:d>
            <m:dPr>
              <m:begChr m:val="("/>
              <m:endChr m:val=")"/>
              <m:sepChr m:val=""/>
              <m:grow/>
            </m:dPr>
            <m:e>
              <m:f>
                <m:fPr>
                  <m:type m:val="bar"/>
                </m:fPr>
                <m:num>
                  <m:sSub>
                    <m:e>
                      <m:r>
                        <m:t>P</m:t>
                      </m:r>
                    </m:e>
                    <m:sub>
                      <m:r>
                        <m:t>t</m:t>
                      </m:r>
                    </m:sub>
                  </m:sSub>
                </m:num>
                <m:den>
                  <m:sSub>
                    <m:e>
                      <m:r>
                        <m:t>P</m:t>
                      </m:r>
                    </m:e>
                    <m:sub>
                      <m:r>
                        <m:t>t</m:t>
                      </m:r>
                      <m:r>
                        <m:rPr>
                          <m:sty m:val="p"/>
                        </m:rPr>
                        <m:t>−</m:t>
                      </m:r>
                      <m:r>
                        <m:t>1</m:t>
                      </m:r>
                    </m:sub>
                  </m:sSub>
                </m:den>
              </m:f>
            </m:e>
          </m:d>
          <m:r>
            <m:rPr>
              <m:sty m:val="p"/>
            </m:rPr>
            <m:t>.</m:t>
          </m:r>
          <m:r>
            <m:t>  </m:t>
          </m:r>
          <m:d>
            <m:dPr>
              <m:begChr m:val="("/>
              <m:endChr m:val=")"/>
              <m:sepChr m:val=""/>
              <m:grow/>
            </m:dPr>
            <m:e>
              <m:r>
                <m:t>1</m:t>
              </m:r>
            </m:e>
          </m:d>
        </m:oMath>
      </m:oMathPara>
    </w:p>
    <w:p>
      <w:pPr>
        <w:pStyle w:val="FirstParagraph"/>
      </w:pPr>
      <w:r>
        <w:t xml:space="preserve">For example, if the CPI rises from 120.0 to 120.6, then</w:t>
      </w:r>
      <w:r>
        <w:t xml:space="preserve"> </w:t>
      </w:r>
      <m:oMath>
        <m:sSub>
          <m:e>
            <m:r>
              <m:t>π</m:t>
            </m:r>
          </m:e>
          <m:sub>
            <m:r>
              <m:t>t</m:t>
            </m:r>
          </m:sub>
        </m:sSub>
        <m:r>
          <m:rPr>
            <m:sty m:val="p"/>
          </m:rPr>
          <m:t>=</m:t>
        </m:r>
        <m:r>
          <m:t>100</m:t>
        </m:r>
        <m:r>
          <m:rPr>
            <m:sty m:val="p"/>
          </m:rPr>
          <m:t>ln</m:t>
        </m:r>
        <m:d>
          <m:dPr>
            <m:begChr m:val="("/>
            <m:endChr m:val=")"/>
            <m:sepChr m:val=""/>
            <m:grow/>
          </m:dPr>
          <m:e>
            <m:r>
              <m:t>120.6</m:t>
            </m:r>
            <m:r>
              <m:rPr>
                <m:sty m:val="p"/>
              </m:rPr>
              <m:t>/</m:t>
            </m:r>
            <m:r>
              <m:t>120.0</m:t>
            </m:r>
          </m:e>
        </m:d>
        <m:r>
          <m:rPr>
            <m:sty m:val="p"/>
          </m:rPr>
          <m:t>≈</m:t>
        </m:r>
        <m:r>
          <m:t>0.50</m:t>
        </m:r>
      </m:oMath>
      <w:r>
        <w:t xml:space="preserve">, a monthly rate of about half a</w:t>
      </w:r>
      <w:r>
        <w:t xml:space="preserve"> </w:t>
      </w:r>
      <w:r>
        <w:t xml:space="preserve">percent. Inflation over the next</w:t>
      </w:r>
      <w:r>
        <w:t xml:space="preserve"> </w:t>
      </w:r>
      <m:oMath>
        <m:r>
          <m:t>k</m:t>
        </m:r>
      </m:oMath>
      <w:r>
        <w:t xml:space="preserve"> </w:t>
      </w:r>
      <w:r>
        <w:t xml:space="preserve">months is the sum</w:t>
      </w:r>
      <w:r>
        <w:t xml:space="preserve"> </w:t>
      </w:r>
      <m:oMath>
        <m:sSub>
          <m:e>
            <m:r>
              <m:t>π</m:t>
            </m:r>
          </m:e>
          <m:sub>
            <m:r>
              <m:t>t</m:t>
            </m:r>
            <m:r>
              <m:rPr>
                <m:sty m:val="p"/>
              </m:rPr>
              <m:t>+</m:t>
            </m:r>
            <m:r>
              <m:t>1</m:t>
            </m:r>
          </m:sub>
        </m:sSub>
        <m:r>
          <m:rPr>
            <m:sty m:val="p"/>
          </m:rPr>
          <m:t>+</m:t>
        </m:r>
        <m:r>
          <m:rPr>
            <m:sty m:val="p"/>
          </m:rPr>
          <m:t>…</m:t>
        </m:r>
        <m:r>
          <m:rPr>
            <m:sty m:val="p"/>
          </m:rPr>
          <m:t>+</m:t>
        </m:r>
        <m:sSub>
          <m:e>
            <m:r>
              <m:t>π</m:t>
            </m:r>
          </m:e>
          <m:sub>
            <m:r>
              <m:t>t</m:t>
            </m:r>
            <m:r>
              <m:rPr>
                <m:sty m:val="p"/>
              </m:rPr>
              <m:t>+</m:t>
            </m:r>
            <m:r>
              <m:t>k</m:t>
            </m:r>
          </m:sub>
        </m:sSub>
      </m:oMath>
      <w:r>
        <w:t xml:space="preserve">. For</w:t>
      </w:r>
      <w:r>
        <w:t xml:space="preserve"> </w:t>
      </w:r>
      <m:oMath>
        <m:r>
          <m:t>k</m:t>
        </m:r>
        <m:r>
          <m:rPr>
            <m:sty m:val="p"/>
          </m:rPr>
          <m:t>=</m:t>
        </m:r>
        <m:r>
          <m:t>12</m:t>
        </m:r>
      </m:oMath>
      <w:r>
        <w:t xml:space="preserve"> </w:t>
      </w:r>
      <w:r>
        <w:t xml:space="preserve">this is, to a close</w:t>
      </w:r>
      <w:r>
        <w:t xml:space="preserve"> </w:t>
      </w:r>
      <w:r>
        <w:t xml:space="preserve">approximation, the year-on-year rate that the BSP targets. We use the official</w:t>
      </w:r>
      <w:r>
        <w:t xml:space="preserve"> </w:t>
      </w:r>
      <w:r>
        <w:t xml:space="preserve">series, which is not seasonally adjusted. All models therefore include month</w:t>
      </w:r>
      <w:r>
        <w:t xml:space="preserve"> </w:t>
      </w:r>
      <w:r>
        <w:t xml:space="preserve">dummies and twelve lags of inflation, so that regular patterns such as higher</w:t>
      </w:r>
      <w:r>
        <w:t xml:space="preserve"> </w:t>
      </w:r>
      <w:r>
        <w:t xml:space="preserve">prices every December do not show up as forecast errors.</w:t>
      </w:r>
    </w:p>
    <w:p>
      <w:pPr>
        <w:pStyle w:val="BodyText"/>
      </w:pPr>
      <w:r>
        <w:t xml:space="preserve">The PSA publishes the 2018-based CPI from January 2018 and its</w:t>
      </w:r>
      <w:r>
        <w:t xml:space="preserve"> </w:t>
      </w:r>
      <w:r>
        <w:rPr>
          <w:iCs/>
          <w:i/>
        </w:rPr>
        <w:t xml:space="preserve">own</w:t>
      </w:r>
      <w:r>
        <w:t xml:space="preserve"> </w:t>
      </w:r>
      <w:r>
        <w:t xml:space="preserve">backcasts</w:t>
      </w:r>
      <w:r>
        <w:t xml:space="preserve"> </w:t>
      </w:r>
      <w:r>
        <w:t xml:space="preserve">of the same indices on the same base for January 1994 to December 2017. We join</w:t>
      </w:r>
      <w:r>
        <w:t xml:space="preserve"> </w:t>
      </w:r>
      <w:r>
        <w:t xml:space="preserve">the two without any rescaling. The January 2018 change in headline inflation at</w:t>
      </w:r>
      <w:r>
        <w:t xml:space="preserve"> </w:t>
      </w:r>
      <w:r>
        <w:t xml:space="preserve">the join is ordinary: it lies 0.11 standard deviations from the</w:t>
      </w:r>
      <w:r>
        <w:t xml:space="preserve"> </w:t>
      </w:r>
      <w:r>
        <w:t xml:space="preserve">average January change. Our computed year-on-year inflation matches the PSA’s</w:t>
      </w:r>
      <w:r>
        <w:t xml:space="preserve"> </w:t>
      </w:r>
      <w:r>
        <w:t xml:space="preserve">published rates for every month from 2019 to September 2026 to within</w:t>
      </w:r>
      <w:r>
        <w:t xml:space="preserve"> </w:t>
      </w:r>
      <w:r>
        <w:t xml:space="preserve">0.05 percentage points.</w:t>
      </w:r>
    </w:p>
    <w:p>
      <w:pPr>
        <w:pStyle w:val="BodyText"/>
      </w:pPr>
      <w:r>
        <w:rPr>
          <w:bCs/>
          <w:b/>
        </w:rPr>
        <w:t xml:space="preserve">Predictors.</w:t>
      </w:r>
      <w:r>
        <w:t xml:space="preserve"> </w:t>
      </w:r>
      <w:r>
        <w:t xml:space="preserve">The predictor set contains 86 monthly series that</w:t>
      </w:r>
      <w:r>
        <w:t xml:space="preserve"> </w:t>
      </w:r>
      <w:r>
        <w:t xml:space="preserve">are complete from February 1994 to July 2026. Table 1 lists them by group.</w:t>
      </w:r>
      <w:r>
        <w:t xml:space="preserve"> </w:t>
      </w:r>
      <w:r>
        <w:t xml:space="preserve">They are the 13 COICOP divisions and their groups in the national CPI, the food</w:t>
      </w:r>
      <w:r>
        <w:t xml:space="preserve"> </w:t>
      </w:r>
      <w:r>
        <w:t xml:space="preserve">classes (cereals, meat, fish, dairy, oils, fruit, vegetables, sugar and other</w:t>
      </w:r>
      <w:r>
        <w:t xml:space="preserve"> </w:t>
      </w:r>
      <w:r>
        <w:t xml:space="preserve">food) and rice, the energy classes (electricity, gas, solid fuels and motor</w:t>
      </w:r>
      <w:r>
        <w:t xml:space="preserve"> </w:t>
      </w:r>
      <w:r>
        <w:t xml:space="preserve">fuels), core inflation, and headline inflation in each of the 18 regions. They</w:t>
      </w:r>
      <w:r>
        <w:t xml:space="preserve"> </w:t>
      </w:r>
      <w:r>
        <w:t xml:space="preserve">also include world prices: Brent and Dubai crude oil, the International Monetary</w:t>
      </w:r>
      <w:r>
        <w:t xml:space="preserve"> </w:t>
      </w:r>
      <w:r>
        <w:t xml:space="preserve">Fund (IMF) all-commodities and food indices, wheat, maize, and Dubai crude in</w:t>
      </w:r>
      <w:r>
        <w:t xml:space="preserve"> </w:t>
      </w:r>
      <w:r>
        <w:t xml:space="preserve">pesos. Finally, they include the peso–dollar exchange rate, the BSP policy rate</w:t>
      </w:r>
      <w:r>
        <w:t xml:space="preserve"> </w:t>
      </w:r>
      <w:r>
        <w:t xml:space="preserve">and the US federal funds rate. Prices and the exchange rate enter as log changes</w:t>
      </w:r>
      <w:r>
        <w:t xml:space="preserve"> </w:t>
      </w:r>
      <w:r>
        <w:t xml:space="preserve">(as in Equation 1), and interest rates as first differences. Series that start</w:t>
      </w:r>
      <w:r>
        <w:t xml:space="preserve"> </w:t>
      </w:r>
      <w:r>
        <w:t xml:space="preserve">after 1994 are dropped, so that every model sees the same information. This</w:t>
      </w:r>
      <w:r>
        <w:t xml:space="preserve"> </w:t>
      </w:r>
      <w:r>
        <w:t xml:space="preserve">removes 16 small CPI groups and US CPI, whose October 2025 value was never</w:t>
      </w:r>
      <w:r>
        <w:t xml:space="preserve"> </w:t>
      </w:r>
      <w:r>
        <w:t xml:space="preserve">published.</w:t>
      </w:r>
    </w:p>
    <w:p>
      <w:pPr>
        <w:pStyle w:val="TableCaption"/>
      </w:pPr>
      <w:r>
        <w:t xml:space="preserve">Table 1. Predictors by group</w:t>
      </w:r>
    </w:p>
    <w:tbl>
      <w:tblPr>
        <w:tblStyle w:val="Table"/>
        <w:tblW w:type="pct" w:w="5000"/>
        <w:tblBorders>
          <w:top w:val="single" w:sz="12" w:space="0" w:color="000000"/>
          <w:left w:val="nil"/>
          <w:bottom w:val="single" w:sz="12" w:space="0" w:color="000000"/>
          <w:right w:val="nil"/>
          <w:insideH w:val="nil"/>
          <w:insideV w:val="nil"/>
        </w:tblBorders>
        <w:tblLook w:firstRow="1" w:lastRow="0" w:firstColumn="0" w:lastColumn="0" w:noHBand="0" w:noVBand="0" w:val="0020"/>
        <w:jc w:val="start"/>
        <w:tblCaption w:val="Table 1. Predictors by group"/>
      </w:tblPr>
      <w:tblGrid>
        <w:gridCol w:w="2640"/>
        <w:gridCol w:w="990"/>
        <w:gridCol w:w="3190"/>
        <w:gridCol w:w="1100"/>
      </w:tblGrid>
      <w:tr>
        <w:trPr>
          <w:tblHeader w:val="true"/>
        </w:trPr>
        <w:tc>
          <w:tcPr>
            <w:tcBorders>
              <w:bottom w:val="single" w:sz="6" w:space="0" w:color="000000"/>
            </w:tcBorders>
          </w:tcPr>
          <w:p>
            <w:pPr>
              <w:pStyle w:val="Compact"/>
              <w:spacing w:before="0" w:after="0" w:line="240" w:lineRule="auto"/>
              <w:ind w:firstLine="0" w:left="0"/>
              <w:jc w:val="left"/>
            </w:pPr>
            <w:r>
              <w:rPr>
                <w:sz w:val="20"/>
                <w:szCs w:val="20"/>
              </w:rPr>
              <w:t xml:space="preserve">Group</w:t>
            </w:r>
          </w:p>
        </w:tc>
        <w:tc>
          <w:tcPr>
            <w:tcBorders>
              <w:bottom w:val="single" w:sz="6" w:space="0" w:color="000000"/>
            </w:tcBorders>
          </w:tcPr>
          <w:p>
            <w:pPr>
              <w:pStyle w:val="Compact"/>
              <w:spacing w:before="0" w:after="0" w:line="240" w:lineRule="auto"/>
              <w:ind w:firstLine="0" w:left="0"/>
              <w:jc w:val="right"/>
            </w:pPr>
            <w:r>
              <w:rPr>
                <w:sz w:val="20"/>
                <w:szCs w:val="20"/>
              </w:rPr>
              <w:t xml:space="preserve">Series</w:t>
            </w:r>
          </w:p>
        </w:tc>
        <w:tc>
          <w:tcPr>
            <w:tcBorders>
              <w:bottom w:val="single" w:sz="6" w:space="0" w:color="000000"/>
            </w:tcBorders>
          </w:tcPr>
          <w:p>
            <w:pPr>
              <w:pStyle w:val="Compact"/>
              <w:spacing w:before="0" w:after="0" w:line="240" w:lineRule="auto"/>
              <w:ind w:firstLine="0" w:left="0"/>
              <w:jc w:val="left"/>
            </w:pPr>
            <w:r>
              <w:rPr>
                <w:sz w:val="20"/>
                <w:szCs w:val="20"/>
              </w:rPr>
              <w:t xml:space="preserve">Content</w:t>
            </w:r>
          </w:p>
        </w:tc>
        <w:tc>
          <w:tcPr>
            <w:tcBorders>
              <w:bottom w:val="single" w:sz="6" w:space="0" w:color="000000"/>
            </w:tcBorders>
          </w:tcPr>
          <w:p>
            <w:pPr>
              <w:pStyle w:val="Compact"/>
              <w:spacing w:before="0" w:after="0" w:line="240" w:lineRule="auto"/>
              <w:ind w:firstLine="0" w:left="0"/>
              <w:jc w:val="left"/>
            </w:pPr>
            <w:r>
              <w:rPr>
                <w:sz w:val="20"/>
                <w:szCs w:val="20"/>
              </w:rPr>
              <w:t xml:space="preserve">Source</w:t>
            </w:r>
          </w:p>
        </w:tc>
      </w:tr>
      <w:tr>
        <w:tc>
          <w:tcPr/>
          <w:p>
            <w:pPr>
              <w:pStyle w:val="Compact"/>
              <w:spacing w:before="0" w:after="0" w:line="240" w:lineRule="auto"/>
              <w:ind w:firstLine="0" w:left="0"/>
              <w:jc w:val="left"/>
            </w:pPr>
            <w:r>
              <w:rPr>
                <w:sz w:val="20"/>
                <w:szCs w:val="20"/>
              </w:rPr>
              <w:t xml:space="preserve">Food</w:t>
            </w:r>
          </w:p>
        </w:tc>
        <w:tc>
          <w:tcPr/>
          <w:p>
            <w:pPr>
              <w:pStyle w:val="Compact"/>
              <w:spacing w:before="0" w:after="0" w:line="240" w:lineRule="auto"/>
              <w:ind w:firstLine="0" w:left="0"/>
              <w:jc w:val="right"/>
            </w:pPr>
            <w:r>
              <w:rPr>
                <w:sz w:val="20"/>
                <w:szCs w:val="20"/>
              </w:rPr>
              <w:t xml:space="preserve">13</w:t>
            </w:r>
          </w:p>
        </w:tc>
        <w:tc>
          <w:tcPr/>
          <w:p>
            <w:pPr>
              <w:pStyle w:val="Compact"/>
              <w:spacing w:before="0" w:after="0" w:line="240" w:lineRule="auto"/>
              <w:ind w:firstLine="0" w:left="0"/>
              <w:jc w:val="left"/>
            </w:pPr>
            <w:r>
              <w:rPr>
                <w:sz w:val="20"/>
                <w:szCs w:val="20"/>
              </w:rPr>
              <w:t xml:space="preserve">Food and non-alcoholic beverages; Food; Non-alcoholic beverages; Cereals and cereal products (ND); Meat and other parts of slaughtered land animals (ND); Fish and other seafood (ND); Milk, other dairy products and eggs (ND); Oils and fats (ND); …</w:t>
            </w:r>
          </w:p>
        </w:tc>
        <w:tc>
          <w:tcPr/>
          <w:p>
            <w:pPr>
              <w:pStyle w:val="Compact"/>
              <w:spacing w:before="0" w:after="0" w:line="240" w:lineRule="auto"/>
              <w:ind w:firstLine="0" w:left="0"/>
              <w:jc w:val="left"/>
            </w:pPr>
            <w:r>
              <w:rPr>
                <w:sz w:val="20"/>
                <w:szCs w:val="20"/>
              </w:rPr>
              <w:t xml:space="preserve">PSA</w:t>
            </w:r>
          </w:p>
        </w:tc>
      </w:tr>
      <w:tr>
        <w:tc>
          <w:tcPr/>
          <w:p>
            <w:pPr>
              <w:pStyle w:val="Compact"/>
              <w:spacing w:before="0" w:after="0" w:line="240" w:lineRule="auto"/>
              <w:ind w:firstLine="0" w:left="0"/>
              <w:jc w:val="left"/>
            </w:pPr>
            <w:r>
              <w:rPr>
                <w:sz w:val="20"/>
                <w:szCs w:val="20"/>
              </w:rPr>
              <w:t xml:space="preserve">Other domestic prices</w:t>
            </w:r>
          </w:p>
        </w:tc>
        <w:tc>
          <w:tcPr/>
          <w:p>
            <w:pPr>
              <w:pStyle w:val="Compact"/>
              <w:spacing w:before="0" w:after="0" w:line="240" w:lineRule="auto"/>
              <w:ind w:firstLine="0" w:left="0"/>
              <w:jc w:val="right"/>
            </w:pPr>
            <w:r>
              <w:rPr>
                <w:sz w:val="20"/>
                <w:szCs w:val="20"/>
              </w:rPr>
              <w:t xml:space="preserve">38</w:t>
            </w:r>
          </w:p>
        </w:tc>
        <w:tc>
          <w:tcPr/>
          <w:p>
            <w:pPr>
              <w:pStyle w:val="Compact"/>
              <w:spacing w:before="0" w:after="0" w:line="240" w:lineRule="auto"/>
              <w:ind w:firstLine="0" w:left="0"/>
              <w:jc w:val="left"/>
            </w:pPr>
            <w:r>
              <w:rPr>
                <w:sz w:val="20"/>
                <w:szCs w:val="20"/>
              </w:rPr>
              <w:t xml:space="preserve">Alcoholic beverages and tobacco; Alcoholic beverages; Tobacco; Non-food; Clothing and footwear; Clothing; Footwear; Housing, water, electricity, gas, and other fuels; …</w:t>
            </w:r>
          </w:p>
        </w:tc>
        <w:tc>
          <w:tcPr/>
          <w:p>
            <w:pPr>
              <w:pStyle w:val="Compact"/>
              <w:spacing w:before="0" w:after="0" w:line="240" w:lineRule="auto"/>
              <w:ind w:firstLine="0" w:left="0"/>
              <w:jc w:val="left"/>
            </w:pPr>
            <w:r>
              <w:rPr>
                <w:sz w:val="20"/>
                <w:szCs w:val="20"/>
              </w:rPr>
              <w:t xml:space="preserve">PSA</w:t>
            </w:r>
          </w:p>
        </w:tc>
      </w:tr>
      <w:tr>
        <w:tc>
          <w:tcPr/>
          <w:p>
            <w:pPr>
              <w:pStyle w:val="Compact"/>
              <w:spacing w:before="0" w:after="0" w:line="240" w:lineRule="auto"/>
              <w:ind w:firstLine="0" w:left="0"/>
              <w:jc w:val="left"/>
            </w:pPr>
            <w:r>
              <w:rPr>
                <w:sz w:val="20"/>
                <w:szCs w:val="20"/>
              </w:rPr>
              <w:t xml:space="preserve">Energy and utilities</w:t>
            </w:r>
          </w:p>
        </w:tc>
        <w:tc>
          <w:tcPr/>
          <w:p>
            <w:pPr>
              <w:pStyle w:val="Compact"/>
              <w:spacing w:before="0" w:after="0" w:line="240" w:lineRule="auto"/>
              <w:ind w:firstLine="0" w:left="0"/>
              <w:jc w:val="right"/>
            </w:pPr>
            <w:r>
              <w:rPr>
                <w:sz w:val="20"/>
                <w:szCs w:val="20"/>
              </w:rPr>
              <w:t xml:space="preserve">7</w:t>
            </w:r>
          </w:p>
        </w:tc>
        <w:tc>
          <w:tcPr/>
          <w:p>
            <w:pPr>
              <w:pStyle w:val="Compact"/>
              <w:spacing w:before="0" w:after="0" w:line="240" w:lineRule="auto"/>
              <w:ind w:firstLine="0" w:left="0"/>
              <w:jc w:val="left"/>
            </w:pPr>
            <w:r>
              <w:rPr>
                <w:sz w:val="20"/>
                <w:szCs w:val="20"/>
              </w:rPr>
              <w:t xml:space="preserve">Water supply and miscellaneous services relating to the dwelling; Electricity, gas and other fuels; Operation of personal transport equipment; Electricity (ND); Gas (ND); Solid fuels (ND); Fuels and lubricants for personal transport equipment (ND)</w:t>
            </w:r>
          </w:p>
        </w:tc>
        <w:tc>
          <w:tcPr/>
          <w:p>
            <w:pPr>
              <w:pStyle w:val="Compact"/>
              <w:spacing w:before="0" w:after="0" w:line="240" w:lineRule="auto"/>
              <w:ind w:firstLine="0" w:left="0"/>
              <w:jc w:val="left"/>
            </w:pPr>
            <w:r>
              <w:rPr>
                <w:sz w:val="20"/>
                <w:szCs w:val="20"/>
              </w:rPr>
              <w:t xml:space="preserve">PSA</w:t>
            </w:r>
          </w:p>
        </w:tc>
      </w:tr>
      <w:tr>
        <w:tc>
          <w:tcPr/>
          <w:p>
            <w:pPr>
              <w:pStyle w:val="Compact"/>
              <w:spacing w:before="0" w:after="0" w:line="240" w:lineRule="auto"/>
              <w:ind w:firstLine="0" w:left="0"/>
              <w:jc w:val="left"/>
            </w:pPr>
            <w:r>
              <w:rPr>
                <w:sz w:val="20"/>
                <w:szCs w:val="20"/>
              </w:rPr>
              <w:t xml:space="preserve">Regional inflation</w:t>
            </w:r>
          </w:p>
        </w:tc>
        <w:tc>
          <w:tcPr/>
          <w:p>
            <w:pPr>
              <w:pStyle w:val="Compact"/>
              <w:spacing w:before="0" w:after="0" w:line="240" w:lineRule="auto"/>
              <w:ind w:firstLine="0" w:left="0"/>
              <w:jc w:val="right"/>
            </w:pPr>
            <w:r>
              <w:rPr>
                <w:sz w:val="20"/>
                <w:szCs w:val="20"/>
              </w:rPr>
              <w:t xml:space="preserve">18</w:t>
            </w:r>
          </w:p>
        </w:tc>
        <w:tc>
          <w:tcPr/>
          <w:p>
            <w:pPr>
              <w:pStyle w:val="Compact"/>
              <w:spacing w:before="0" w:after="0" w:line="240" w:lineRule="auto"/>
              <w:ind w:firstLine="0" w:left="0"/>
              <w:jc w:val="left"/>
            </w:pPr>
            <w:r>
              <w:rPr>
                <w:sz w:val="20"/>
                <w:szCs w:val="20"/>
              </w:rPr>
              <w:t xml:space="preserve">Bangsamoro Autonomous Region in Muslim Mindanao (BARMM); Cordillera Administrative Region (CAR); MIMAROPA Region; National Capital Region (NCR); Negros Island Region (NIR); Region I (Ilocos Region); Region II (Cagayan Valley); Region III (Central Luzon); …</w:t>
            </w:r>
          </w:p>
        </w:tc>
        <w:tc>
          <w:tcPr/>
          <w:p>
            <w:pPr>
              <w:pStyle w:val="Compact"/>
              <w:spacing w:before="0" w:after="0" w:line="240" w:lineRule="auto"/>
              <w:ind w:firstLine="0" w:left="0"/>
              <w:jc w:val="left"/>
            </w:pPr>
            <w:r>
              <w:rPr>
                <w:sz w:val="20"/>
                <w:szCs w:val="20"/>
              </w:rPr>
              <w:t xml:space="preserve">PSA</w:t>
            </w:r>
          </w:p>
        </w:tc>
      </w:tr>
      <w:tr>
        <w:tc>
          <w:tcPr/>
          <w:p>
            <w:pPr>
              <w:pStyle w:val="Compact"/>
              <w:spacing w:before="0" w:after="0" w:line="240" w:lineRule="auto"/>
              <w:ind w:firstLine="0" w:left="0"/>
              <w:jc w:val="left"/>
            </w:pPr>
            <w:r>
              <w:rPr>
                <w:sz w:val="20"/>
                <w:szCs w:val="20"/>
              </w:rPr>
              <w:t xml:space="preserve">World prices</w:t>
            </w:r>
          </w:p>
        </w:tc>
        <w:tc>
          <w:tcPr/>
          <w:p>
            <w:pPr>
              <w:pStyle w:val="Compact"/>
              <w:spacing w:before="0" w:after="0" w:line="240" w:lineRule="auto"/>
              <w:ind w:firstLine="0" w:left="0"/>
              <w:jc w:val="right"/>
            </w:pPr>
            <w:r>
              <w:rPr>
                <w:sz w:val="20"/>
                <w:szCs w:val="20"/>
              </w:rPr>
              <w:t xml:space="preserve">7</w:t>
            </w:r>
          </w:p>
        </w:tc>
        <w:tc>
          <w:tcPr/>
          <w:p>
            <w:pPr>
              <w:pStyle w:val="Compact"/>
              <w:spacing w:before="0" w:after="0" w:line="240" w:lineRule="auto"/>
              <w:ind w:firstLine="0" w:left="0"/>
              <w:jc w:val="left"/>
            </w:pPr>
            <w:r>
              <w:rPr>
                <w:sz w:val="20"/>
                <w:szCs w:val="20"/>
              </w:rPr>
              <w:t xml:space="preserve">Brent crude, USD; Dubai crude, USD; IMF all-commodities index; IMF food price index; Wheat, USD/mt; Maize, USD/mt; Dubai crude in pesos</w:t>
            </w:r>
          </w:p>
        </w:tc>
        <w:tc>
          <w:tcPr/>
          <w:p>
            <w:pPr>
              <w:pStyle w:val="Compact"/>
              <w:spacing w:before="0" w:after="0" w:line="240" w:lineRule="auto"/>
              <w:ind w:firstLine="0" w:left="0"/>
              <w:jc w:val="left"/>
            </w:pPr>
            <w:r>
              <w:rPr>
                <w:sz w:val="20"/>
                <w:szCs w:val="20"/>
              </w:rPr>
              <w:t xml:space="preserve">FRED</w:t>
            </w:r>
          </w:p>
        </w:tc>
      </w:tr>
      <w:tr>
        <w:tc>
          <w:tcPr/>
          <w:p>
            <w:pPr>
              <w:pStyle w:val="Compact"/>
              <w:spacing w:before="0" w:after="0" w:line="240" w:lineRule="auto"/>
              <w:ind w:firstLine="0" w:left="0"/>
              <w:jc w:val="left"/>
            </w:pPr>
            <w:r>
              <w:rPr>
                <w:sz w:val="20"/>
                <w:szCs w:val="20"/>
              </w:rPr>
              <w:t xml:space="preserve">Money and exchange rate</w:t>
            </w:r>
          </w:p>
        </w:tc>
        <w:tc>
          <w:tcPr/>
          <w:p>
            <w:pPr>
              <w:pStyle w:val="Compact"/>
              <w:spacing w:before="0" w:after="0" w:line="240" w:lineRule="auto"/>
              <w:ind w:firstLine="0" w:left="0"/>
              <w:jc w:val="right"/>
            </w:pPr>
            <w:r>
              <w:rPr>
                <w:sz w:val="20"/>
                <w:szCs w:val="20"/>
              </w:rPr>
              <w:t xml:space="preserve">3</w:t>
            </w:r>
          </w:p>
        </w:tc>
        <w:tc>
          <w:tcPr/>
          <w:p>
            <w:pPr>
              <w:pStyle w:val="Compact"/>
              <w:spacing w:before="0" w:after="0" w:line="240" w:lineRule="auto"/>
              <w:ind w:firstLine="0" w:left="0"/>
              <w:jc w:val="left"/>
            </w:pPr>
            <w:r>
              <w:rPr>
                <w:sz w:val="20"/>
                <w:szCs w:val="20"/>
              </w:rPr>
              <w:t xml:space="preserve">US federal funds rate (change); Peso per US dollar; BSP policy rate (change)</w:t>
            </w:r>
          </w:p>
        </w:tc>
        <w:tc>
          <w:tcPr/>
          <w:p>
            <w:pPr>
              <w:pStyle w:val="Compact"/>
              <w:spacing w:before="0" w:after="0" w:line="240" w:lineRule="auto"/>
              <w:ind w:firstLine="0" w:left="0"/>
              <w:jc w:val="left"/>
            </w:pPr>
            <w:r>
              <w:rPr>
                <w:sz w:val="20"/>
                <w:szCs w:val="20"/>
              </w:rPr>
              <w:t xml:space="preserve">BIS, FRED</w:t>
            </w:r>
          </w:p>
        </w:tc>
      </w:tr>
    </w:tbl>
    <w:p>
      <w:pPr>
        <w:pStyle w:val="TableNote"/>
      </w:pPr>
      <w:r>
        <w:rPr>
          <w:iCs/>
          <w:i/>
        </w:rPr>
        <w:t xml:space="preserve">Notes:</w:t>
      </w:r>
      <w:r>
        <w:t xml:space="preserve"> </w:t>
      </w:r>
      <w:r>
        <w:t xml:space="preserve">All series are monthly, Feb 1994 to July 2026. Prices and the exchange rate enter as 100 × log change, interest rates as first differences. The full list is in output/tables/predictor_groups.csv.</w:t>
      </w:r>
    </w:p>
    <w:bookmarkEnd w:id="22"/>
    <w:bookmarkStart w:id="26" w:name="forecasting-models-and-evaluation"/>
    <w:p>
      <w:pPr>
        <w:pStyle w:val="Heading1"/>
      </w:pPr>
      <w:r>
        <w:rPr>
          <w:rStyle w:val="SectionNumber"/>
        </w:rPr>
        <w:t xml:space="preserve">3</w:t>
      </w:r>
      <w:r>
        <w:tab/>
      </w:r>
      <w:r>
        <w:t xml:space="preserve">Forecasting models and evaluation</w:t>
      </w:r>
    </w:p>
    <w:bookmarkStart w:id="23" w:name="direct-forecasts-in-a-rolling-window"/>
    <w:p>
      <w:pPr>
        <w:pStyle w:val="Heading2"/>
      </w:pPr>
      <w:r>
        <w:rPr>
          <w:rStyle w:val="SectionNumber"/>
        </w:rPr>
        <w:t xml:space="preserve">3.1</w:t>
      </w:r>
      <w:r>
        <w:tab/>
      </w:r>
      <w:r>
        <w:t xml:space="preserve">Direct forecasts in a rolling window</w:t>
      </w:r>
    </w:p>
    <w:p>
      <w:pPr>
        <w:pStyle w:val="FirstParagraph"/>
      </w:pPr>
      <w:r>
        <w:t xml:space="preserve">We forecast inflation</w:t>
      </w:r>
      <w:r>
        <w:t xml:space="preserve"> </w:t>
      </w:r>
      <m:oMath>
        <m:r>
          <m:t>h</m:t>
        </m:r>
        <m:r>
          <m:rPr>
            <m:sty m:val="p"/>
          </m:rPr>
          <m:t>=</m:t>
        </m:r>
        <m:r>
          <m:t>1</m:t>
        </m:r>
        <m:r>
          <m:rPr>
            <m:sty m:val="p"/>
          </m:rPr>
          <m:t>,</m:t>
        </m:r>
        <m:r>
          <m:rPr>
            <m:sty m:val="p"/>
          </m:rPr>
          <m:t>…</m:t>
        </m:r>
        <m:r>
          <m:rPr>
            <m:sty m:val="p"/>
          </m:rPr>
          <m:t>,</m:t>
        </m:r>
        <m:r>
          <m:t>12</m:t>
        </m:r>
      </m:oMath>
      <w:r>
        <w:t xml:space="preserve"> </w:t>
      </w:r>
      <w:r>
        <w:t xml:space="preserve">months ahead with</w:t>
      </w:r>
      <w:r>
        <w:t xml:space="preserve"> </w:t>
      </w:r>
      <w:r>
        <w:rPr>
          <w:iCs/>
          <w:i/>
        </w:rPr>
        <w:t xml:space="preserve">direct</w:t>
      </w:r>
      <w:r>
        <w:t xml:space="preserve"> </w:t>
      </w:r>
      <w:r>
        <w:t xml:space="preserve">forecasts.</w:t>
      </w:r>
      <w:r>
        <w:t xml:space="preserve"> </w:t>
      </w:r>
      <w:r>
        <w:t xml:space="preserve">For each horizon we fit a separate model that maps information available at</w:t>
      </w:r>
      <w:r>
        <w:t xml:space="preserve"> </w:t>
      </w:r>
      <w:r>
        <w:t xml:space="preserve">month</w:t>
      </w:r>
      <w:r>
        <w:t xml:space="preserve"> </w:t>
      </w:r>
      <m:oMath>
        <m:r>
          <m:t>t</m:t>
        </m:r>
      </m:oMath>
      <w:r>
        <w:t xml:space="preserve"> </w:t>
      </w:r>
      <w:r>
        <w:t xml:space="preserve">into inflation at month</w:t>
      </w:r>
      <w:r>
        <w:t xml:space="preserve"> </w:t>
      </w:r>
      <m:oMath>
        <m:r>
          <m:t>t</m:t>
        </m:r>
        <m:r>
          <m:rPr>
            <m:sty m:val="p"/>
          </m:rPr>
          <m:t>+</m:t>
        </m:r>
        <m:r>
          <m:t>h</m:t>
        </m:r>
      </m:oMath>
      <w:r>
        <w:t xml:space="preserve">:</w:t>
      </w:r>
    </w:p>
    <w:p>
      <w:pPr>
        <w:pStyle w:val="BodyText"/>
      </w:pPr>
      <m:oMathPara>
        <m:oMathParaPr>
          <m:jc m:val="center"/>
        </m:oMathParaPr>
        <m:oMath>
          <m:sSub>
            <m:e>
              <m:r>
                <m:t>π</m:t>
              </m:r>
            </m:e>
            <m:sub>
              <m:r>
                <m:t>t</m:t>
              </m:r>
              <m:r>
                <m:rPr>
                  <m:sty m:val="p"/>
                </m:rPr>
                <m:t>+</m:t>
              </m:r>
              <m:r>
                <m:t>h</m:t>
              </m:r>
            </m:sub>
          </m:sSub>
          <m:r>
            <m:rPr>
              <m:sty m:val="p"/>
            </m:rPr>
            <m:t>=</m:t>
          </m:r>
          <m:sSub>
            <m:e>
              <m:r>
                <m:t>f</m:t>
              </m:r>
            </m:e>
            <m:sub>
              <m:r>
                <m:t>h</m:t>
              </m:r>
            </m:sub>
          </m:sSub>
          <m:d>
            <m:dPr>
              <m:begChr m:val="("/>
              <m:endChr m:val=")"/>
              <m:sepChr m:val=""/>
              <m:grow/>
            </m:dPr>
            <m:e>
              <m:sSub>
                <m:e>
                  <m:r>
                    <m:t>z</m:t>
                  </m:r>
                </m:e>
                <m:sub>
                  <m:r>
                    <m:t>t</m:t>
                  </m:r>
                </m:sub>
              </m:sSub>
            </m:e>
          </m:d>
          <m:r>
            <m:rPr>
              <m:sty m:val="p"/>
            </m:rPr>
            <m:t>+</m:t>
          </m:r>
          <m:sSub>
            <m:e>
              <m:r>
                <m:t>ε</m:t>
              </m:r>
            </m:e>
            <m:sub>
              <m:r>
                <m:t>t</m:t>
              </m:r>
              <m:r>
                <m:rPr>
                  <m:sty m:val="p"/>
                </m:rPr>
                <m:t>+</m:t>
              </m:r>
              <m:r>
                <m:t>h</m:t>
              </m:r>
            </m:sub>
          </m:sSub>
          <m:r>
            <m:rPr>
              <m:sty m:val="p"/>
            </m:rPr>
            <m:t>,</m:t>
          </m:r>
          <m:r>
            <m:t>  </m:t>
          </m:r>
          <m:d>
            <m:dPr>
              <m:begChr m:val="("/>
              <m:endChr m:val=")"/>
              <m:sepChr m:val=""/>
              <m:grow/>
            </m:dPr>
            <m:e>
              <m:r>
                <m:t>2</m:t>
              </m:r>
            </m:e>
          </m:d>
        </m:oMath>
      </m:oMathPara>
    </w:p>
    <w:p>
      <w:pPr>
        <w:pStyle w:val="FirstParagraph"/>
      </w:pPr>
      <w:r>
        <w:t xml:space="preserve">and the forecast made at origin</w:t>
      </w:r>
      <w:r>
        <w:t xml:space="preserve"> </w:t>
      </w:r>
      <m:oMath>
        <m:r>
          <m:t>T</m:t>
        </m:r>
      </m:oMath>
      <w:r>
        <w:t xml:space="preserve"> </w:t>
      </w:r>
      <w:r>
        <w:t xml:space="preserve">is</w:t>
      </w:r>
      <w:r>
        <w:t xml:space="preserve"> </w:t>
      </w:r>
      <m:oMath>
        <m:sSub>
          <m:e>
            <m:acc>
              <m:accPr>
                <m:chr m:val="̂"/>
              </m:accPr>
              <m:e>
                <m:r>
                  <m:t>π</m:t>
                </m:r>
              </m:e>
            </m:acc>
          </m:e>
          <m:sub>
            <m:r>
              <m:t>T</m:t>
            </m:r>
            <m:r>
              <m:rPr>
                <m:sty m:val="p"/>
              </m:rPr>
              <m:t>+</m:t>
            </m:r>
            <m:r>
              <m:t>h</m:t>
            </m:r>
            <m:r>
              <m:rPr>
                <m:sty m:val="p"/>
              </m:rPr>
              <m:t>|</m:t>
            </m:r>
            <m:r>
              <m:t>T</m:t>
            </m:r>
          </m:sub>
        </m:sSub>
        <m:r>
          <m:rPr>
            <m:sty m:val="p"/>
          </m:rPr>
          <m:t>=</m:t>
        </m:r>
        <m:sSub>
          <m:e>
            <m:acc>
              <m:accPr>
                <m:chr m:val="̂"/>
              </m:accPr>
              <m:e>
                <m:r>
                  <m:t>f</m:t>
                </m:r>
              </m:e>
            </m:acc>
          </m:e>
          <m:sub>
            <m:r>
              <m:t>h</m:t>
            </m:r>
          </m:sub>
        </m:sSub>
        <m:d>
          <m:dPr>
            <m:begChr m:val="("/>
            <m:endChr m:val=")"/>
            <m:sepChr m:val=""/>
            <m:grow/>
          </m:dPr>
          <m:e>
            <m:sSub>
              <m:e>
                <m:r>
                  <m:t>z</m:t>
                </m:r>
              </m:e>
              <m:sub>
                <m:r>
                  <m:t>T</m:t>
                </m:r>
              </m:sub>
            </m:sSub>
          </m:e>
        </m:d>
      </m:oMath>
      <w:r>
        <w:t xml:space="preserve">. The</w:t>
      </w:r>
      <w:r>
        <w:t xml:space="preserve"> </w:t>
      </w:r>
      <w:r>
        <w:t xml:space="preserve">information vector</w:t>
      </w:r>
      <w:r>
        <w:t xml:space="preserve"> </w:t>
      </w:r>
      <m:oMath>
        <m:sSub>
          <m:e>
            <m:r>
              <m:t>z</m:t>
            </m:r>
          </m:e>
          <m:sub>
            <m:r>
              <m:t>t</m:t>
            </m:r>
          </m:sub>
        </m:sSub>
      </m:oMath>
      <w:r>
        <w:t xml:space="preserve"> </w:t>
      </w:r>
      <w:r>
        <w:t xml:space="preserve">contains twelve lags of inflation, the current value</w:t>
      </w:r>
      <w:r>
        <w:t xml:space="preserve"> </w:t>
      </w:r>
      <w:r>
        <w:t xml:space="preserve">and three lags of every predictor (as in</w:t>
      </w:r>
      <w:r>
        <w:t xml:space="preserve"> </w:t>
      </w:r>
      <w:r>
        <w:t xml:space="preserve">Medeiros et al. (</w:t>
      </w:r>
      <w:hyperlink w:anchor="ref-medeiros2021">
        <w:r>
          <w:rPr>
            <w:rStyle w:val="Hyperlink"/>
          </w:rPr>
          <w:t xml:space="preserve">2021</w:t>
        </w:r>
      </w:hyperlink>
      <w:r>
        <w:t xml:space="preserve">)</w:t>
      </w:r>
      <w:r>
        <w:t xml:space="preserve">), the first four</w:t>
      </w:r>
      <w:r>
        <w:t xml:space="preserve"> </w:t>
      </w:r>
      <w:r>
        <w:t xml:space="preserve">principal components of the predictors and their three lags, and eleven month</w:t>
      </w:r>
      <w:r>
        <w:t xml:space="preserve"> </w:t>
      </w:r>
      <w:r>
        <w:t xml:space="preserve">dummies, 383 features in all. The principal components are</w:t>
      </w:r>
      <w:r>
        <w:t xml:space="preserve"> </w:t>
      </w:r>
      <w:r>
        <w:t xml:space="preserve">recomputed in every window from data up to the origin only.</w:t>
      </w:r>
    </w:p>
    <w:p>
      <w:pPr>
        <w:pStyle w:val="BodyText"/>
      </w:pPr>
      <w:r>
        <w:t xml:space="preserve">Each model is re-estimated at every origin on the most recent 120 months, a</w:t>
      </w:r>
      <w:r>
        <w:t xml:space="preserve"> </w:t>
      </w:r>
      <w:r>
        <w:rPr>
          <w:iCs/>
          <w:i/>
        </w:rPr>
        <w:t xml:space="preserve">rolling window</w:t>
      </w:r>
      <w:r>
        <w:t xml:space="preserve">. The window lets the models adapt to change, such as the start</w:t>
      </w:r>
      <w:r>
        <w:t xml:space="preserve"> </w:t>
      </w:r>
      <w:r>
        <w:t xml:space="preserve">of inflation targeting in 2002 or the 2018 rebasing, while keeping enough</w:t>
      </w:r>
      <w:r>
        <w:t xml:space="preserve"> </w:t>
      </w:r>
      <w:r>
        <w:t xml:space="preserve">months for estimation. The first origin is December 2004, so the first forecast</w:t>
      </w:r>
      <w:r>
        <w:t xml:space="preserve"> </w:t>
      </w:r>
      <w:r>
        <w:t xml:space="preserve">target is January 2005. Because the forecasts at each origin use only data</w:t>
      </w:r>
      <w:r>
        <w:t xml:space="preserve"> </w:t>
      </w:r>
      <w:r>
        <w:t xml:space="preserve">available at that origin, they are</w:t>
      </w:r>
      <w:r>
        <w:t xml:space="preserve"> </w:t>
      </w:r>
      <w:r>
        <w:rPr>
          <w:iCs/>
          <w:i/>
        </w:rPr>
        <w:t xml:space="preserve">pseudo out-of-sample</w:t>
      </w:r>
      <w:r>
        <w:t xml:space="preserve"> </w:t>
      </w:r>
      <w:r>
        <w:t xml:space="preserve">forecasts: they mimic</w:t>
      </w:r>
      <w:r>
        <w:t xml:space="preserve"> </w:t>
      </w:r>
      <w:r>
        <w:t xml:space="preserve">what a forecaster could have done in real time, apart from data revisions,</w:t>
      </w:r>
      <w:r>
        <w:t xml:space="preserve"> </w:t>
      </w:r>
      <w:r>
        <w:t xml:space="preserve">which are rare for the Philippine CPI.</w:t>
      </w:r>
    </w:p>
    <w:bookmarkEnd w:id="23"/>
    <w:bookmarkStart w:id="24" w:name="models"/>
    <w:p>
      <w:pPr>
        <w:pStyle w:val="Heading2"/>
      </w:pPr>
      <w:r>
        <w:rPr>
          <w:rStyle w:val="SectionNumber"/>
        </w:rPr>
        <w:t xml:space="preserve">3.2</w:t>
      </w:r>
      <w:r>
        <w:tab/>
      </w:r>
      <w:r>
        <w:t xml:space="preserve">Models</w:t>
      </w:r>
    </w:p>
    <w:p>
      <w:pPr>
        <w:pStyle w:val="FirstParagraph"/>
      </w:pPr>
      <w:r>
        <w:t xml:space="preserve">There are three</w:t>
      </w:r>
      <w:r>
        <w:t xml:space="preserve"> </w:t>
      </w:r>
      <w:r>
        <w:rPr>
          <w:bCs/>
          <w:b/>
        </w:rPr>
        <w:t xml:space="preserve">benchmarks</w:t>
      </w:r>
      <w:r>
        <w:t xml:space="preserve">. The</w:t>
      </w:r>
      <w:r>
        <w:t xml:space="preserve"> </w:t>
      </w:r>
      <w:r>
        <w:rPr>
          <w:iCs/>
          <w:i/>
        </w:rPr>
        <w:t xml:space="preserve">random walk</w:t>
      </w:r>
      <w:r>
        <w:t xml:space="preserve"> </w:t>
      </w:r>
      <w:r>
        <w:t xml:space="preserve">(RW) forecasts that inflation</w:t>
      </w:r>
      <w:r>
        <w:t xml:space="preserve"> </w:t>
      </w:r>
      <w:r>
        <w:t xml:space="preserve">in month</w:t>
      </w:r>
      <w:r>
        <w:t xml:space="preserve"> </w:t>
      </w:r>
      <m:oMath>
        <m:r>
          <m:t>t</m:t>
        </m:r>
        <m:r>
          <m:rPr>
            <m:sty m:val="p"/>
          </m:rPr>
          <m:t>+</m:t>
        </m:r>
        <m:r>
          <m:t>h</m:t>
        </m:r>
      </m:oMath>
      <w:r>
        <w:t xml:space="preserve"> </w:t>
      </w:r>
      <w:r>
        <w:t xml:space="preserve">equals this month’s inflation,</w:t>
      </w:r>
      <w:r>
        <w:t xml:space="preserve"> </w:t>
      </w:r>
      <m:oMath>
        <m:sSub>
          <m:e>
            <m:acc>
              <m:accPr>
                <m:chr m:val="̂"/>
              </m:accPr>
              <m:e>
                <m:r>
                  <m:t>π</m:t>
                </m:r>
              </m:e>
            </m:acc>
          </m:e>
          <m:sub>
            <m:r>
              <m:t>T</m:t>
            </m:r>
            <m:r>
              <m:rPr>
                <m:sty m:val="p"/>
              </m:rPr>
              <m:t>+</m:t>
            </m:r>
            <m:r>
              <m:t>h</m:t>
            </m:r>
            <m:r>
              <m:rPr>
                <m:sty m:val="p"/>
              </m:rPr>
              <m:t>|</m:t>
            </m:r>
            <m:r>
              <m:t>T</m:t>
            </m:r>
          </m:sub>
        </m:sSub>
        <m:r>
          <m:rPr>
            <m:sty m:val="p"/>
          </m:rPr>
          <m:t>=</m:t>
        </m:r>
        <m:sSub>
          <m:e>
            <m:r>
              <m:t>π</m:t>
            </m:r>
          </m:e>
          <m:sub>
            <m:r>
              <m:t>T</m:t>
            </m:r>
          </m:sub>
        </m:sSub>
      </m:oMath>
      <w:r>
        <w:t xml:space="preserve">, as in</w:t>
      </w:r>
      <w:r>
        <w:t xml:space="preserve"> </w:t>
      </w:r>
      <w:r>
        <w:t xml:space="preserve">Medeiros et al. (</w:t>
      </w:r>
      <w:hyperlink w:anchor="ref-medeiros2021">
        <w:r>
          <w:rPr>
            <w:rStyle w:val="Hyperlink"/>
          </w:rPr>
          <w:t xml:space="preserve">2021</w:t>
        </w:r>
      </w:hyperlink>
      <w:r>
        <w:t xml:space="preserve">)</w:t>
      </w:r>
      <w:r>
        <w:t xml:space="preserve">. The</w:t>
      </w:r>
      <w:r>
        <w:t xml:space="preserve"> </w:t>
      </w:r>
      <w:r>
        <w:rPr>
          <w:iCs/>
          <w:i/>
        </w:rPr>
        <w:t xml:space="preserve">12-month-mean random walk</w:t>
      </w:r>
      <w:r>
        <w:t xml:space="preserve"> </w:t>
      </w:r>
      <w:r>
        <w:t xml:space="preserve">(RW-AO) of</w:t>
      </w:r>
      <w:r>
        <w:t xml:space="preserve"> </w:t>
      </w:r>
      <w:r>
        <w:t xml:space="preserve">Atkeson and Ohanian (</w:t>
      </w:r>
      <w:hyperlink w:anchor="ref-atkeson2001">
        <w:r>
          <w:rPr>
            <w:rStyle w:val="Hyperlink"/>
          </w:rPr>
          <w:t xml:space="preserve">2001</w:t>
        </w:r>
      </w:hyperlink>
      <w:r>
        <w:t xml:space="preserve">)</w:t>
      </w:r>
      <w:r>
        <w:t xml:space="preserve"> </w:t>
      </w:r>
      <w:r>
        <w:t xml:space="preserve">forecasts the average of the last twelve months. The</w:t>
      </w:r>
      <w:r>
        <w:t xml:space="preserve"> </w:t>
      </w:r>
      <w:r>
        <w:rPr>
          <w:iCs/>
          <w:i/>
        </w:rPr>
        <w:t xml:space="preserve">autoregressive</w:t>
      </w:r>
      <w:r>
        <w:t xml:space="preserve"> </w:t>
      </w:r>
      <w:r>
        <w:t xml:space="preserve">(AR)</w:t>
      </w:r>
      <w:r>
        <w:t xml:space="preserve"> </w:t>
      </w:r>
      <w:r>
        <w:t xml:space="preserve">model regresses</w:t>
      </w:r>
      <w:r>
        <w:t xml:space="preserve"> </w:t>
      </w:r>
      <m:oMath>
        <m:sSub>
          <m:e>
            <m:r>
              <m:t>π</m:t>
            </m:r>
          </m:e>
          <m:sub>
            <m:r>
              <m:t>t</m:t>
            </m:r>
            <m:r>
              <m:rPr>
                <m:sty m:val="p"/>
              </m:rPr>
              <m:t>+</m:t>
            </m:r>
            <m:r>
              <m:t>h</m:t>
            </m:r>
          </m:sub>
        </m:sSub>
      </m:oMath>
      <w:r>
        <w:t xml:space="preserve"> </w:t>
      </w:r>
      <w:r>
        <w:t xml:space="preserve">on a constant, month dummies and</w:t>
      </w:r>
      <w:r>
        <w:t xml:space="preserve"> </w:t>
      </w:r>
      <m:oMath>
        <m:r>
          <m:t>p</m:t>
        </m:r>
      </m:oMath>
      <w:r>
        <w:t xml:space="preserve"> </w:t>
      </w:r>
      <w:r>
        <w:t xml:space="preserve">lags of</w:t>
      </w:r>
      <w:r>
        <w:t xml:space="preserve"> </w:t>
      </w:r>
      <w:r>
        <w:t xml:space="preserve">inflation, with</w:t>
      </w:r>
      <w:r>
        <w:t xml:space="preserve"> </w:t>
      </w:r>
      <m:oMath>
        <m:r>
          <m:t>p</m:t>
        </m:r>
        <m:r>
          <m:rPr>
            <m:sty m:val="p"/>
          </m:rPr>
          <m:t>≤</m:t>
        </m:r>
        <m:r>
          <m:t>12</m:t>
        </m:r>
      </m:oMath>
      <w:r>
        <w:t xml:space="preserve"> </w:t>
      </w:r>
      <w:r>
        <w:t xml:space="preserve">chosen by the Bayesian information criterion (BIC).</w:t>
      </w:r>
      <w:r>
        <w:t xml:space="preserve"> </w:t>
      </w:r>
      <w:r>
        <w:t xml:space="preserve">We treat the AR as the main benchmark because it is the stronger of the</w:t>
      </w:r>
      <w:r>
        <w:t xml:space="preserve"> </w:t>
      </w:r>
      <w:r>
        <w:t xml:space="preserve">two for a seasonal monthly series.</w:t>
      </w:r>
    </w:p>
    <w:p>
      <w:pPr>
        <w:pStyle w:val="BodyText"/>
      </w:pPr>
      <w:r>
        <w:t xml:space="preserve">The</w:t>
      </w:r>
      <w:r>
        <w:t xml:space="preserve"> </w:t>
      </w:r>
      <w:r>
        <w:rPr>
          <w:bCs/>
          <w:b/>
        </w:rPr>
        <w:t xml:space="preserve">factor model</w:t>
      </w:r>
      <w:r>
        <w:t xml:space="preserve"> </w:t>
      </w:r>
      <w:r>
        <w:t xml:space="preserve">adds to the AR the first</w:t>
      </w:r>
      <w:r>
        <w:t xml:space="preserve"> </w:t>
      </w:r>
      <m:oMath>
        <m:r>
          <m:t>k</m:t>
        </m:r>
        <m:r>
          <m:rPr>
            <m:sty m:val="p"/>
          </m:rPr>
          <m:t>≤</m:t>
        </m:r>
        <m:r>
          <m:t>4</m:t>
        </m:r>
      </m:oMath>
      <w:r>
        <w:t xml:space="preserve"> </w:t>
      </w:r>
      <w:r>
        <w:t xml:space="preserve">principal components of</w:t>
      </w:r>
      <w:r>
        <w:t xml:space="preserve"> </w:t>
      </w:r>
      <w:r>
        <w:t xml:space="preserve">the predictors</w:t>
      </w:r>
      <w:r>
        <w:t xml:space="preserve"> </w:t>
      </w:r>
      <w:r>
        <w:t xml:space="preserve">(the</w:t>
      </w:r>
      <w:r>
        <w:t xml:space="preserve"> </w:t>
      </w:r>
      <w:r>
        <w:rPr>
          <w:iCs/>
          <w:i/>
        </w:rPr>
        <w:t xml:space="preserve">diffusion index</w:t>
      </w:r>
      <w:r>
        <w:t xml:space="preserve"> </w:t>
      </w:r>
      <w:r>
        <w:t xml:space="preserve">model of</w:t>
      </w:r>
      <w:r>
        <w:t xml:space="preserve"> </w:t>
      </w:r>
      <w:hyperlink w:anchor="ref-stock2002">
        <w:r>
          <w:rPr>
            <w:rStyle w:val="Hyperlink"/>
          </w:rPr>
          <w:t xml:space="preserve">Stock and Watson 2002</w:t>
        </w:r>
      </w:hyperlink>
      <w:r>
        <w:t xml:space="preserve">)</w:t>
      </w:r>
      <w:r>
        <w:t xml:space="preserve">, with</w:t>
      </w:r>
      <w:r>
        <w:t xml:space="preserve"> </w:t>
      </w:r>
      <m:oMath>
        <m:r>
          <m:t>p</m:t>
        </m:r>
      </m:oMath>
      <w:r>
        <w:t xml:space="preserve"> </w:t>
      </w:r>
      <w:r>
        <w:t xml:space="preserve">and</w:t>
      </w:r>
      <w:r>
        <w:t xml:space="preserve"> </w:t>
      </w:r>
      <m:oMath>
        <m:r>
          <m:t>k</m:t>
        </m:r>
      </m:oMath>
      <w:r>
        <w:t xml:space="preserve"> </w:t>
      </w:r>
      <w:r>
        <w:t xml:space="preserve">chosen by BIC.</w:t>
      </w:r>
    </w:p>
    <w:p>
      <w:pPr>
        <w:pStyle w:val="BodyText"/>
      </w:pPr>
      <w:r>
        <w:t xml:space="preserve">Five</w:t>
      </w:r>
      <w:r>
        <w:t xml:space="preserve"> </w:t>
      </w:r>
      <w:r>
        <w:rPr>
          <w:bCs/>
          <w:b/>
        </w:rPr>
        <w:t xml:space="preserve">ML models</w:t>
      </w:r>
      <w:r>
        <w:t xml:space="preserve"> </w:t>
      </w:r>
      <w:r>
        <w:t xml:space="preserve">use all the features.</w:t>
      </w:r>
      <w:r>
        <w:t xml:space="preserve"> </w:t>
      </w:r>
      <w:r>
        <w:rPr>
          <w:iCs/>
          <w:i/>
        </w:rPr>
        <w:t xml:space="preserve">Ridge regression</w:t>
      </w:r>
      <w:r>
        <w:t xml:space="preserve"> </w:t>
      </w:r>
      <w:r>
        <w:t xml:space="preserve">(</w:t>
      </w:r>
      <w:hyperlink w:anchor="ref-hoerl1970">
        <w:r>
          <w:rPr>
            <w:rStyle w:val="Hyperlink"/>
          </w:rPr>
          <w:t xml:space="preserve">Hoerl and Kennard 1970</w:t>
        </w:r>
      </w:hyperlink>
      <w:r>
        <w:t xml:space="preserve">)</w:t>
      </w:r>
      <w:r>
        <w:t xml:space="preserve"> </w:t>
      </w:r>
      <w:r>
        <w:t xml:space="preserve">shrinks all coefficients toward zero by penalising their squared size, with</w:t>
      </w:r>
      <w:r>
        <w:t xml:space="preserve"> </w:t>
      </w:r>
      <w:r>
        <w:t xml:space="preserve">the penalty chosen by leave-one-out cross-validation. The</w:t>
      </w:r>
      <w:r>
        <w:t xml:space="preserve"> </w:t>
      </w:r>
      <w:r>
        <w:rPr>
          <w:iCs/>
          <w:i/>
        </w:rPr>
        <w:t xml:space="preserve">LASSO</w:t>
      </w:r>
      <w:r>
        <w:t xml:space="preserve"> </w:t>
      </w:r>
      <w:r>
        <w:t xml:space="preserve">(</w:t>
      </w:r>
      <w:hyperlink w:anchor="ref-tibshirani1996">
        <w:r>
          <w:rPr>
            <w:rStyle w:val="Hyperlink"/>
          </w:rPr>
          <w:t xml:space="preserve">Tibshirani 1996</w:t>
        </w:r>
      </w:hyperlink>
      <w:r>
        <w:t xml:space="preserve">)</w:t>
      </w:r>
      <w:r>
        <w:t xml:space="preserve"> </w:t>
      </w:r>
      <w:r>
        <w:t xml:space="preserve">penalises the absolute size of the coefficients, which sets</w:t>
      </w:r>
      <w:r>
        <w:t xml:space="preserve"> </w:t>
      </w:r>
      <w:r>
        <w:t xml:space="preserve">many of them exactly to zero and so</w:t>
      </w:r>
      <w:r>
        <w:t xml:space="preserve"> </w:t>
      </w:r>
      <w:r>
        <w:rPr>
          <w:iCs/>
          <w:i/>
        </w:rPr>
        <w:t xml:space="preserve">selects</w:t>
      </w:r>
      <w:r>
        <w:t xml:space="preserve"> </w:t>
      </w:r>
      <w:r>
        <w:t xml:space="preserve">predictors. Its penalty is chosen</w:t>
      </w:r>
      <w:r>
        <w:t xml:space="preserve"> </w:t>
      </w:r>
      <w:r>
        <w:t xml:space="preserve">by BIC. The</w:t>
      </w:r>
      <w:r>
        <w:t xml:space="preserve"> </w:t>
      </w:r>
      <w:r>
        <w:rPr>
          <w:iCs/>
          <w:i/>
        </w:rPr>
        <w:t xml:space="preserve">adaptive LASSO</w:t>
      </w:r>
      <w:r>
        <w:t xml:space="preserve"> </w:t>
      </w:r>
      <w:r>
        <w:t xml:space="preserve">(</w:t>
      </w:r>
      <w:hyperlink w:anchor="ref-zou2006">
        <w:r>
          <w:rPr>
            <w:rStyle w:val="Hyperlink"/>
          </w:rPr>
          <w:t xml:space="preserve">Zou 2006</w:t>
        </w:r>
      </w:hyperlink>
      <w:r>
        <w:t xml:space="preserve">)</w:t>
      </w:r>
      <w:r>
        <w:t xml:space="preserve"> </w:t>
      </w:r>
      <w:r>
        <w:t xml:space="preserve">reweights the LASSO penalty using a</w:t>
      </w:r>
      <w:r>
        <w:t xml:space="preserve"> </w:t>
      </w:r>
      <w:r>
        <w:t xml:space="preserve">first-stage ridge estimate, so that strong predictors are penalised less. The</w:t>
      </w:r>
      <w:r>
        <w:t xml:space="preserve"> </w:t>
      </w:r>
      <w:r>
        <w:rPr>
          <w:iCs/>
          <w:i/>
        </w:rPr>
        <w:t xml:space="preserve">random forest</w:t>
      </w:r>
      <w:r>
        <w:t xml:space="preserve"> </w:t>
      </w:r>
      <w:r>
        <w:t xml:space="preserve">(</w:t>
      </w:r>
      <w:hyperlink w:anchor="ref-breiman2001">
        <w:r>
          <w:rPr>
            <w:rStyle w:val="Hyperlink"/>
          </w:rPr>
          <w:t xml:space="preserve">Breiman 2001</w:t>
        </w:r>
      </w:hyperlink>
      <w:r>
        <w:t xml:space="preserve">)</w:t>
      </w:r>
      <w:r>
        <w:t xml:space="preserve"> </w:t>
      </w:r>
      <w:r>
        <w:t xml:space="preserve">averages 500 regression trees, each grown on a</w:t>
      </w:r>
      <w:r>
        <w:t xml:space="preserve"> </w:t>
      </w:r>
      <w:r>
        <w:t xml:space="preserve">bootstrap sample with a random third of the features considered at each split.</w:t>
      </w:r>
      <w:r>
        <w:t xml:space="preserve"> </w:t>
      </w:r>
      <w:r>
        <w:t xml:space="preserve">Trees split the data into regions and predict the regional average, so they</w:t>
      </w:r>
      <w:r>
        <w:t xml:space="preserve"> </w:t>
      </w:r>
      <w:r>
        <w:t xml:space="preserve">capture nonlinear effects and interactions without having to specify them.</w:t>
      </w:r>
      <w:r>
        <w:t xml:space="preserve"> </w:t>
      </w:r>
      <w:r>
        <w:rPr>
          <w:iCs/>
          <w:i/>
        </w:rPr>
        <w:t xml:space="preserve">Gradient boosting</w:t>
      </w:r>
      <w:r>
        <w:t xml:space="preserve"> </w:t>
      </w:r>
      <w:r>
        <w:t xml:space="preserve">(LightGBM,</w:t>
      </w:r>
      <w:r>
        <w:t xml:space="preserve"> </w:t>
      </w:r>
      <w:hyperlink w:anchor="ref-ke2017">
        <w:r>
          <w:rPr>
            <w:rStyle w:val="Hyperlink"/>
          </w:rPr>
          <w:t xml:space="preserve">Ke et al. 2017</w:t>
        </w:r>
      </w:hyperlink>
      <w:r>
        <w:t xml:space="preserve">)</w:t>
      </w:r>
      <w:r>
        <w:t xml:space="preserve"> </w:t>
      </w:r>
      <w:r>
        <w:t xml:space="preserve">grows small trees one after another,</w:t>
      </w:r>
      <w:r>
        <w:t xml:space="preserve"> </w:t>
      </w:r>
      <w:r>
        <w:t xml:space="preserve">each one fitting the errors left by the previous ones. Finally, the</w:t>
      </w:r>
      <w:r>
        <w:t xml:space="preserve"> </w:t>
      </w:r>
      <w:r>
        <w:rPr>
          <w:iCs/>
          <w:i/>
        </w:rPr>
        <w:t xml:space="preserve">ML combination</w:t>
      </w:r>
      <w:r>
        <w:t xml:space="preserve"> </w:t>
      </w:r>
      <w:r>
        <w:t xml:space="preserve">is the equal-weight average of the five ML forecasts</w:t>
      </w:r>
      <w:r>
        <w:t xml:space="preserve"> </w:t>
      </w:r>
      <w:r>
        <w:t xml:space="preserve">(</w:t>
      </w:r>
      <w:hyperlink w:anchor="ref-timmermann2006">
        <w:r>
          <w:rPr>
            <w:rStyle w:val="Hyperlink"/>
          </w:rPr>
          <w:t xml:space="preserve">Timmermann 2006</w:t>
        </w:r>
      </w:hyperlink>
      <w:r>
        <w:t xml:space="preserve">)</w:t>
      </w:r>
      <w:r>
        <w:t xml:space="preserve">. All</w:t>
      </w:r>
      <w:r>
        <w:t xml:space="preserve"> </w:t>
      </w:r>
      <w:r>
        <w:t xml:space="preserve">hyperparameters were fixed in advance (Appendix A) and never tuned on the</w:t>
      </w:r>
      <w:r>
        <w:t xml:space="preserve"> </w:t>
      </w:r>
      <w:r>
        <w:t xml:space="preserve">evaluation sample.</w:t>
      </w:r>
    </w:p>
    <w:bookmarkEnd w:id="24"/>
    <w:bookmarkStart w:id="25" w:name="evaluation"/>
    <w:p>
      <w:pPr>
        <w:pStyle w:val="Heading2"/>
      </w:pPr>
      <w:r>
        <w:rPr>
          <w:rStyle w:val="SectionNumber"/>
        </w:rPr>
        <w:t xml:space="preserve">3.3</w:t>
      </w:r>
      <w:r>
        <w:tab/>
      </w:r>
      <w:r>
        <w:t xml:space="preserve">Evaluation</w:t>
      </w:r>
    </w:p>
    <w:p>
      <w:pPr>
        <w:pStyle w:val="FirstParagraph"/>
      </w:pPr>
      <w:r>
        <w:t xml:space="preserve">Accuracy is measured by the root mean squared error (RMSE), the square root of</w:t>
      </w:r>
      <w:r>
        <w:t xml:space="preserve"> </w:t>
      </w:r>
      <w:r>
        <w:t xml:space="preserve">the average squared forecast error. We report it relative to a benchmark:</w:t>
      </w:r>
    </w:p>
    <w:p>
      <w:pPr>
        <w:pStyle w:val="BodyText"/>
      </w:pPr>
      <m:oMathPara>
        <m:oMathParaPr>
          <m:jc m:val="center"/>
        </m:oMathParaPr>
        <m:oMath>
          <m:sSub>
            <m:e>
              <m:r>
                <m:rPr>
                  <m:nor/>
                  <m:sty m:val="p"/>
                </m:rPr>
                <m:t>Relative RMSE</m:t>
              </m:r>
            </m:e>
            <m:sub>
              <m:r>
                <m:t>m</m:t>
              </m:r>
            </m:sub>
          </m:sSub>
          <m:r>
            <m:rPr>
              <m:sty m:val="p"/>
            </m:rPr>
            <m:t>=</m:t>
          </m:r>
          <m:f>
            <m:fPr>
              <m:type m:val="bar"/>
            </m:fPr>
            <m:num>
              <m:sSub>
                <m:e>
                  <m:r>
                    <m:rPr>
                      <m:nor/>
                      <m:sty m:val="p"/>
                    </m:rPr>
                    <m:t>RMSE</m:t>
                  </m:r>
                </m:e>
                <m:sub>
                  <m:r>
                    <m:t>m</m:t>
                  </m:r>
                </m:sub>
              </m:sSub>
            </m:num>
            <m:den>
              <m:sSub>
                <m:e>
                  <m:r>
                    <m:rPr>
                      <m:nor/>
                      <m:sty m:val="p"/>
                    </m:rPr>
                    <m:t>RMSE</m:t>
                  </m:r>
                </m:e>
                <m:sub>
                  <m:r>
                    <m:rPr>
                      <m:nor/>
                      <m:sty m:val="p"/>
                    </m:rPr>
                    <m:t>AR</m:t>
                  </m:r>
                </m:sub>
              </m:sSub>
            </m:den>
          </m:f>
          <m:r>
            <m:rPr>
              <m:sty m:val="p"/>
            </m:rPr>
            <m:t>.</m:t>
          </m:r>
          <m:r>
            <m:t>  </m:t>
          </m:r>
          <m:d>
            <m:dPr>
              <m:begChr m:val="("/>
              <m:endChr m:val=")"/>
              <m:sepChr m:val=""/>
              <m:grow/>
            </m:dPr>
            <m:e>
              <m:r>
                <m:t>3</m:t>
              </m:r>
            </m:e>
          </m:d>
        </m:oMath>
      </m:oMathPara>
    </w:p>
    <w:p>
      <w:pPr>
        <w:pStyle w:val="FirstParagraph"/>
      </w:pPr>
      <w:r>
        <w:t xml:space="preserve">A value of 0.90 means that model</w:t>
      </w:r>
      <w:r>
        <w:t xml:space="preserve"> </w:t>
      </w:r>
      <m:oMath>
        <m:r>
          <m:t>m</m:t>
        </m:r>
      </m:oMath>
      <w:r>
        <w:t xml:space="preserve">’s typical error is 10% smaller than the</w:t>
      </w:r>
      <w:r>
        <w:t xml:space="preserve"> </w:t>
      </w:r>
      <w:r>
        <w:t xml:space="preserve">AR’s. To judge whether a difference could be due to chance, we use the</w:t>
      </w:r>
      <w:r>
        <w:t xml:space="preserve"> </w:t>
      </w:r>
      <w:r>
        <w:t xml:space="preserve">Diebold–Mariano (DM) test</w:t>
      </w:r>
      <w:r>
        <w:t xml:space="preserve"> </w:t>
      </w:r>
      <w:r>
        <w:t xml:space="preserve">(</w:t>
      </w:r>
      <w:hyperlink w:anchor="ref-diebold1995">
        <w:r>
          <w:rPr>
            <w:rStyle w:val="Hyperlink"/>
          </w:rPr>
          <w:t xml:space="preserve">Diebold and Mariano 1995</w:t>
        </w:r>
      </w:hyperlink>
      <w:r>
        <w:t xml:space="preserve">)</w:t>
      </w:r>
      <w:r>
        <w:t xml:space="preserve"> </w:t>
      </w:r>
      <w:r>
        <w:t xml:space="preserve">with the small-sample correction of</w:t>
      </w:r>
      <w:r>
        <w:t xml:space="preserve"> </w:t>
      </w:r>
      <w:r>
        <w:t xml:space="preserve">Harvey, Leybourne, and Newbold (</w:t>
      </w:r>
      <w:hyperlink w:anchor="ref-harvey1997">
        <w:r>
          <w:rPr>
            <w:rStyle w:val="Hyperlink"/>
          </w:rPr>
          <w:t xml:space="preserve">1997</w:t>
        </w:r>
      </w:hyperlink>
      <w:r>
        <w:t xml:space="preserve">)</w:t>
      </w:r>
      <w:r>
        <w:t xml:space="preserve">. The test asks whether the average difference in squared errors is</w:t>
      </w:r>
      <w:r>
        <w:t xml:space="preserve"> </w:t>
      </w:r>
      <w:r>
        <w:t xml:space="preserve">zero, allowing for the overlap of multi-step errors. We report one-sided</w:t>
      </w:r>
      <w:r>
        <w:t xml:space="preserve"> </w:t>
      </w:r>
      <w:r>
        <w:t xml:space="preserve">p-values for</w:t>
      </w:r>
      <w:r>
        <w:t xml:space="preserve"> </w:t>
      </w:r>
      <w:r>
        <w:t xml:space="preserve">“</w:t>
      </w:r>
      <w:r>
        <w:t xml:space="preserve">model</w:t>
      </w:r>
      <w:r>
        <w:t xml:space="preserve"> </w:t>
      </w:r>
      <m:oMath>
        <m:r>
          <m:t>m</m:t>
        </m:r>
      </m:oMath>
      <w:r>
        <w:t xml:space="preserve"> </w:t>
      </w:r>
      <w:r>
        <w:t xml:space="preserve">is more accurate than the benchmark</w:t>
      </w:r>
      <w:r>
        <w:t xml:space="preserve">”</w:t>
      </w:r>
      <w:r>
        <w:t xml:space="preserve">. Because we test</w:t>
      </w:r>
      <w:r>
        <w:t xml:space="preserve"> </w:t>
      </w:r>
      <w:r>
        <w:t xml:space="preserve">seven challengers at four cases, we also report p-values with a Holm correction</w:t>
      </w:r>
      <w:r>
        <w:t xml:space="preserve"> </w:t>
      </w:r>
      <w:r>
        <w:t xml:space="preserve">for multiple testing. In addition, we compute the 90% model confidence set (MCS)</w:t>
      </w:r>
      <w:r>
        <w:t xml:space="preserve"> </w:t>
      </w:r>
      <w:r>
        <w:t xml:space="preserve">of</w:t>
      </w:r>
      <w:r>
        <w:t xml:space="preserve"> </w:t>
      </w:r>
      <w:r>
        <w:t xml:space="preserve">Hansen, Lunde, and Nason (</w:t>
      </w:r>
      <w:hyperlink w:anchor="ref-hansen2011">
        <w:r>
          <w:rPr>
            <w:rStyle w:val="Hyperlink"/>
          </w:rPr>
          <w:t xml:space="preserve">2011</w:t>
        </w:r>
      </w:hyperlink>
      <w:r>
        <w:t xml:space="preserve">)</w:t>
      </w:r>
      <w:r>
        <w:t xml:space="preserve">, the set of models that cannot be statistically distinguished</w:t>
      </w:r>
      <w:r>
        <w:t xml:space="preserve"> </w:t>
      </w:r>
      <w:r>
        <w:t xml:space="preserve">from the best one.</w:t>
      </w:r>
    </w:p>
    <w:p>
      <w:pPr>
        <w:pStyle w:val="BodyText"/>
      </w:pPr>
      <w:r>
        <w:t xml:space="preserve">RQ1 is judged on four pre-specified</w:t>
      </w:r>
      <w:r>
        <w:t xml:space="preserve"> </w:t>
      </w:r>
      <w:r>
        <w:rPr>
          <w:iCs/>
          <w:i/>
        </w:rPr>
        <w:t xml:space="preserve">decisive cases</w:t>
      </w:r>
      <w:r>
        <w:t xml:space="preserve">: one month ahead (</w:t>
      </w:r>
      <m:oMath>
        <m:r>
          <m:t>h</m:t>
        </m:r>
        <m:r>
          <m:rPr>
            <m:sty m:val="p"/>
          </m:rPr>
          <m:t>=</m:t>
        </m:r>
        <m:r>
          <m:t>1</m:t>
        </m:r>
      </m:oMath>
      <w:r>
        <w:t xml:space="preserve">),</w:t>
      </w:r>
      <w:r>
        <w:t xml:space="preserve"> </w:t>
      </w:r>
      <w:r>
        <w:t xml:space="preserve">twelve months ahead (</w:t>
      </w:r>
      <m:oMath>
        <m:r>
          <m:t>h</m:t>
        </m:r>
        <m:r>
          <m:rPr>
            <m:sty m:val="p"/>
          </m:rPr>
          <m:t>=</m:t>
        </m:r>
        <m:r>
          <m:t>12</m:t>
        </m:r>
      </m:oMath>
      <w:r>
        <w:t xml:space="preserve">), and inflation accumulated over the next three</w:t>
      </w:r>
      <w:r>
        <w:t xml:space="preserve"> </w:t>
      </w:r>
      <w:r>
        <w:t xml:space="preserve">and the next twelve months. A model</w:t>
      </w:r>
      <w:r>
        <w:t xml:space="preserve"> </w:t>
      </w:r>
      <w:r>
        <w:rPr>
          <w:iCs/>
          <w:i/>
        </w:rPr>
        <w:t xml:space="preserve">beats</w:t>
      </w:r>
      <w:r>
        <w:t xml:space="preserve"> </w:t>
      </w:r>
      <w:r>
        <w:t xml:space="preserve">a benchmark when its relative RMSE</w:t>
      </w:r>
      <w:r>
        <w:t xml:space="preserve"> </w:t>
      </w:r>
      <w:r>
        <w:t xml:space="preserve">is below one and the DM p-value is below 0.05. For RQ2 we measure each</w:t>
      </w:r>
      <w:r>
        <w:t xml:space="preserve"> </w:t>
      </w:r>
      <w:r>
        <w:t xml:space="preserve">predictor group’s contribution with grouped permutation importance in the RF:</w:t>
      </w:r>
      <w:r>
        <w:t xml:space="preserve"> </w:t>
      </w:r>
      <w:r>
        <w:t xml:space="preserve">the rise in the training error when all of a group’s features are shuffled</w:t>
      </w:r>
      <w:r>
        <w:t xml:space="preserve"> </w:t>
      </w:r>
      <w:r>
        <w:t xml:space="preserve">together. We report it as a share of the total, averaged over origins, for</w:t>
      </w:r>
      <w:r>
        <w:t xml:space="preserve"> </w:t>
      </w:r>
      <m:oMath>
        <m:r>
          <m:t>h</m:t>
        </m:r>
        <m:r>
          <m:rPr>
            <m:sty m:val="p"/>
          </m:rPr>
          <m:t>=</m:t>
        </m:r>
        <m:r>
          <m:t>1</m:t>
        </m:r>
      </m:oMath>
      <w:r>
        <w:t xml:space="preserve"> </w:t>
      </w:r>
      <w:r>
        <w:t xml:space="preserve">and</w:t>
      </w:r>
      <w:r>
        <w:t xml:space="preserve"> </w:t>
      </w:r>
      <m:oMath>
        <m:r>
          <m:t>h</m:t>
        </m:r>
        <m:r>
          <m:rPr>
            <m:sty m:val="p"/>
          </m:rPr>
          <m:t>=</m:t>
        </m:r>
        <m:r>
          <m:t>12</m:t>
        </m:r>
      </m:oMath>
      <w:r>
        <w:t xml:space="preserve">, together with the share of origins in which the LASSO</w:t>
      </w:r>
      <w:r>
        <w:t xml:space="preserve"> </w:t>
      </w:r>
      <w:r>
        <w:t xml:space="preserve">selects at least one feature from the group. For RQ3 we split the target months</w:t>
      </w:r>
      <w:r>
        <w:t xml:space="preserve"> </w:t>
      </w:r>
      <w:r>
        <w:t xml:space="preserve">into</w:t>
      </w:r>
      <w:r>
        <w:t xml:space="preserve"> </w:t>
      </w:r>
      <w:r>
        <w:rPr>
          <w:iCs/>
          <w:i/>
        </w:rPr>
        <w:t xml:space="preserve">high-inflation</w:t>
      </w:r>
      <w:r>
        <w:t xml:space="preserve"> </w:t>
      </w:r>
      <w:r>
        <w:t xml:space="preserve">months, where year-on-year inflation exceeds 4% (the top of</w:t>
      </w:r>
      <w:r>
        <w:t xml:space="preserve"> </w:t>
      </w:r>
      <w:r>
        <w:t xml:space="preserve">the target band), and all others. We also plot cumulative squared forecast-error</w:t>
      </w:r>
      <w:r>
        <w:t xml:space="preserve"> </w:t>
      </w:r>
      <w:r>
        <w:t xml:space="preserve">differences over time</w:t>
      </w:r>
      <w:r>
        <w:t xml:space="preserve"> </w:t>
      </w:r>
      <w:r>
        <w:t xml:space="preserve">(cf.</w:t>
      </w:r>
      <w:r>
        <w:t xml:space="preserve"> </w:t>
      </w:r>
      <w:hyperlink w:anchor="ref-giacomini2010">
        <w:r>
          <w:rPr>
            <w:rStyle w:val="Hyperlink"/>
          </w:rPr>
          <w:t xml:space="preserve">Giacomini and Rossi 2010</w:t>
        </w:r>
      </w:hyperlink>
      <w:r>
        <w:t xml:space="preserve">)</w:t>
      </w:r>
      <w:r>
        <w:t xml:space="preserve">.</w:t>
      </w:r>
    </w:p>
    <w:bookmarkEnd w:id="25"/>
    <w:bookmarkEnd w:id="26"/>
    <w:bookmarkStart w:id="27" w:name="validation-the-replication-gate"/>
    <w:p>
      <w:pPr>
        <w:pStyle w:val="Heading1"/>
      </w:pPr>
      <w:r>
        <w:rPr>
          <w:rStyle w:val="SectionNumber"/>
        </w:rPr>
        <w:t xml:space="preserve">4</w:t>
      </w:r>
      <w:r>
        <w:tab/>
      </w:r>
      <w:r>
        <w:t xml:space="preserve">Validation: the replication gate</w:t>
      </w:r>
    </w:p>
    <w:p>
      <w:pPr>
        <w:pStyle w:val="FirstParagraph"/>
      </w:pPr>
      <w:r>
        <w:t xml:space="preserve">Before any Philippine forecast was computed, we tested the code on the</w:t>
      </w:r>
      <w:r>
        <w:t xml:space="preserve"> </w:t>
      </w:r>
      <w:r>
        <w:t xml:space="preserve">reference paper’s own setting. Using FRED-MD</w:t>
      </w:r>
      <w:r>
        <w:t xml:space="preserve"> </w:t>
      </w:r>
      <w:r>
        <w:t xml:space="preserve">(</w:t>
      </w:r>
      <w:hyperlink w:anchor="ref-mccracken2016">
        <w:r>
          <w:rPr>
            <w:rStyle w:val="Hyperlink"/>
          </w:rPr>
          <w:t xml:space="preserve">McCracken and Ng 2016</w:t>
        </w:r>
      </w:hyperlink>
      <w:r>
        <w:t xml:space="preserve">)</w:t>
      </w:r>
      <w:r>
        <w:t xml:space="preserve">, US CPI inflation,</w:t>
      </w:r>
      <w:r>
        <w:t xml:space="preserve"> </w:t>
      </w:r>
      <w:r>
        <w:t xml:space="preserve">a rolling 360-month window, four lags of every series plus four principal</w:t>
      </w:r>
      <w:r>
        <w:t xml:space="preserve"> </w:t>
      </w:r>
      <w:r>
        <w:t xml:space="preserve">components, and out-of-sample months 2001–2015, we pre-registered three</w:t>
      </w:r>
      <w:r>
        <w:t xml:space="preserve"> </w:t>
      </w:r>
      <w:r>
        <w:t xml:space="preserve">criteria: (G1) the RF beats the RW at</w:t>
      </w:r>
      <w:r>
        <w:t xml:space="preserve"> </w:t>
      </w:r>
      <m:oMath>
        <m:r>
          <m:t>h</m:t>
        </m:r>
        <m:r>
          <m:rPr>
            <m:sty m:val="p"/>
          </m:rPr>
          <m:t>=</m:t>
        </m:r>
        <m:r>
          <m:t>1</m:t>
        </m:r>
        <m:r>
          <m:rPr>
            <m:sty m:val="p"/>
          </m:rPr>
          <m:t>,</m:t>
        </m:r>
        <m:r>
          <m:t>3</m:t>
        </m:r>
        <m:r>
          <m:rPr>
            <m:sty m:val="p"/>
          </m:rPr>
          <m:t>,</m:t>
        </m:r>
        <m:r>
          <m:t>6</m:t>
        </m:r>
        <m:r>
          <m:rPr>
            <m:sty m:val="p"/>
          </m:rPr>
          <m:t>,</m:t>
        </m:r>
        <m:r>
          <m:t>12</m:t>
        </m:r>
      </m:oMath>
      <w:r>
        <w:t xml:space="preserve">; (G2) its RMSE averaged</w:t>
      </w:r>
      <w:r>
        <w:t xml:space="preserve"> </w:t>
      </w:r>
      <w:r>
        <w:t xml:space="preserve">across these horizons is below the AR’s; and (G3) it has the lowest average</w:t>
      </w:r>
      <w:r>
        <w:t xml:space="preserve"> </w:t>
      </w:r>
      <w:r>
        <w:t xml:space="preserve">RMSE among RW, AR, ridge, LASSO and RF. The criteria are qualitative because</w:t>
      </w:r>
      <w:r>
        <w:t xml:space="preserve"> </w:t>
      </w:r>
      <w:r>
        <w:t xml:space="preserve">the paper’s tables were not accessible when the gate was written.</w:t>
      </w:r>
      <w:r>
        <w:t xml:space="preserve"> </w:t>
      </w:r>
      <w:r>
        <w:t xml:space="preserve">All three criteria hold. The RF’s RMSE relative to the RW is 0.89, 0.71, 0.72, 0.69 at h = 1, 3, 6 and 12; its RMSE averaged over horizons is 0.950 times the AR’s; and it has the lowest average RMSE of the five models, although LASSO is close and is better than RF one month ahead. The random forest’s advantage on US data is therefore reproduced by our code (Figure 6, Table A2).</w:t>
      </w:r>
    </w:p>
    <w:bookmarkEnd w:id="27"/>
    <w:bookmarkStart w:id="31" w:name="results"/>
    <w:p>
      <w:pPr>
        <w:pStyle w:val="Heading1"/>
      </w:pPr>
      <w:r>
        <w:rPr>
          <w:rStyle w:val="SectionNumber"/>
        </w:rPr>
        <w:t xml:space="preserve">5</w:t>
      </w:r>
      <w:r>
        <w:tab/>
      </w:r>
      <w:r>
        <w:t xml:space="preserve">Results</w:t>
      </w:r>
    </w:p>
    <w:bookmarkStart w:id="28" w:name="X00efc0cd18dc521bfb6d6f6f13b93fd3aad9f36"/>
    <w:p>
      <w:pPr>
        <w:pStyle w:val="Heading2"/>
      </w:pPr>
      <w:r>
        <w:rPr>
          <w:rStyle w:val="SectionNumber"/>
        </w:rPr>
        <w:t xml:space="preserve">5.1</w:t>
      </w:r>
      <w:r>
        <w:tab/>
      </w:r>
      <w:r>
        <w:t xml:space="preserve">RQ1: Do machine-learning models beat the benchmarks?</w:t>
      </w:r>
    </w:p>
    <w:p>
      <w:pPr>
        <w:pStyle w:val="FirstParagraph"/>
      </w:pPr>
      <w:r>
        <w:t xml:space="preserve">Table 2 and Figure 2 give the main result. First, the random walk is a poor benchmark for monthly Philippine inflation. Its RMSE is 1.20 times the AR’s one month ahead and 2.20 times for inflation over the next twelve months. It is excluded from the 90% model confidence set in every decisive case. Every other model beats it, and so would pass the criterion of</w:t>
      </w:r>
      <w:r>
        <w:t xml:space="preserve"> </w:t>
      </w:r>
      <w:r>
        <w:t xml:space="preserve">Medeiros et al. (</w:t>
      </w:r>
      <w:hyperlink w:anchor="ref-medeiros2021">
        <w:r>
          <w:rPr>
            <w:rStyle w:val="Hyperlink"/>
          </w:rPr>
          <w:t xml:space="preserve">2021</w:t>
        </w:r>
      </w:hyperlink>
      <w:r>
        <w:t xml:space="preserve">)</w:t>
      </w:r>
      <w:r>
        <w:t xml:space="preserve">, who report results relative to the random walk.</w:t>
      </w:r>
    </w:p>
    <w:p>
      <w:pPr>
        <w:pStyle w:val="BodyText"/>
      </w:pPr>
      <w:r>
        <w:t xml:space="preserve">Second, against the AR benchmark, no model wins. At</w:t>
      </w:r>
      <w:r>
        <w:t xml:space="preserve"> </w:t>
      </w:r>
      <m:oMath>
        <m:r>
          <m:t>h</m:t>
        </m:r>
        <m:r>
          <m:rPr>
            <m:sty m:val="p"/>
          </m:rPr>
          <m:t>=</m:t>
        </m:r>
        <m:r>
          <m:t>1</m:t>
        </m:r>
      </m:oMath>
      <w:r>
        <w:t xml:space="preserve"> </w:t>
      </w:r>
      <w:r>
        <w:t xml:space="preserve">the relative RMSEs range from 0.98 (ML combination) and 0.99 (random forest) to 1.05 (ridge). The lowest one-sided Diebold–Mariano p-value across all seven challengers and four decisive cases is 0.32, far from any conventional threshold; after the Holm correction, the smallest is 1.00. Twelve months ahead the picture is the same: the ratios lie between 1.00 and 1.07. For inflation accumulated over the next three months, the combination and the random forest are about 2% more accurate than the AR (0.98 and 0.99), but for inflation over the next year they are worse (1.03 and 1.04). The model confidence set confirms that these differences are noise. The 90% set contains the AR in every case, together with almost every challenger. The models excluded are: Random walk and Random walk (12-month mean) one month ahead; Random walk and Gradient boosting twelve months ahead; Random walk for 3-month accumulated inflation; Random walk for 12-month accumulated inflation.</w:t>
      </w:r>
    </w:p>
    <w:p>
      <w:pPr>
        <w:pStyle w:val="BodyText"/>
      </w:pPr>
      <w:r>
        <w:t xml:space="preserve">Third, the methods that use the predictors most aggressively do worst. Ridge regression, which keeps every feature, and gradient boosting are up to 40% and 11% less accurate than the AR at some horizons (Table A3). At long horizons the LASSO usually selects few or no features (Section 5.2), so its forecast stays close to the window mean and is about as accurate as the AR. The factor model is almost identical to the AR (relative RMSEs between 0.99 and 1.02 across all horizons). The AR itself almost always chooses a single lag (the median at every horizon), so the strongest forecast is little more than a recent mean plus seasonal dummies.</w:t>
      </w:r>
    </w:p>
    <w:p>
      <w:pPr>
        <w:pStyle w:val="TableCaption"/>
      </w:pPr>
      <w:r>
        <w:t xml:space="preserve">Table 2. RMSE relative to the AR benchmark, January 2005–August 2026</w:t>
      </w:r>
    </w:p>
    <w:tbl>
      <w:tblPr>
        <w:tblStyle w:val="Table"/>
        <w:tblW w:type="pct" w:w="5000"/>
        <w:tblBorders>
          <w:top w:val="single" w:sz="12" w:space="0" w:color="000000"/>
          <w:left w:val="nil"/>
          <w:bottom w:val="single" w:sz="12" w:space="0" w:color="000000"/>
          <w:right w:val="nil"/>
          <w:insideH w:val="nil"/>
          <w:insideV w:val="nil"/>
        </w:tblBorders>
        <w:tblLook w:firstRow="1" w:lastRow="0" w:firstColumn="0" w:lastColumn="0" w:noHBand="0" w:noVBand="0" w:val="0020"/>
        <w:jc w:val="start"/>
        <w:tblCaption w:val="Table 2. RMSE relative to the AR benchmark, January 2005–August 2026"/>
      </w:tblPr>
      <w:tblGrid>
        <w:gridCol w:w="1540"/>
        <w:gridCol w:w="1595"/>
        <w:gridCol w:w="1595"/>
        <w:gridCol w:w="1595"/>
        <w:gridCol w:w="1595"/>
      </w:tblGrid>
      <w:tr>
        <w:trPr>
          <w:tblHeader w:val="true"/>
        </w:trPr>
        <w:tc>
          <w:tcPr>
            <w:tcBorders>
              <w:bottom w:val="single" w:sz="6" w:space="0" w:color="000000"/>
            </w:tcBorders>
          </w:tcPr>
          <w:p>
            <w:pPr>
              <w:pStyle w:val="Compact"/>
              <w:spacing w:before="0" w:after="0" w:line="240" w:lineRule="auto"/>
              <w:ind w:firstLine="0" w:left="0"/>
              <w:jc w:val="left"/>
            </w:pPr>
            <w:r>
              <w:rPr>
                <w:sz w:val="20"/>
                <w:szCs w:val="20"/>
              </w:rPr>
              <w:t xml:space="preserve">Model</w:t>
            </w:r>
          </w:p>
        </w:tc>
        <w:tc>
          <w:tcPr>
            <w:tcBorders>
              <w:bottom w:val="single" w:sz="6" w:space="0" w:color="000000"/>
            </w:tcBorders>
          </w:tcPr>
          <w:p>
            <w:pPr>
              <w:pStyle w:val="Compact"/>
              <w:spacing w:before="0" w:after="0" w:line="240" w:lineRule="auto"/>
              <w:ind w:firstLine="0" w:left="0"/>
              <w:jc w:val="left"/>
            </w:pPr>
            <w:r>
              <w:rPr>
                <w:sz w:val="20"/>
                <w:szCs w:val="20"/>
              </w:rPr>
              <w:t xml:space="preserve">h = 1</w:t>
            </w:r>
          </w:p>
        </w:tc>
        <w:tc>
          <w:tcPr>
            <w:tcBorders>
              <w:bottom w:val="single" w:sz="6" w:space="0" w:color="000000"/>
            </w:tcBorders>
          </w:tcPr>
          <w:p>
            <w:pPr>
              <w:pStyle w:val="Compact"/>
              <w:spacing w:before="0" w:after="0" w:line="240" w:lineRule="auto"/>
              <w:ind w:firstLine="0" w:left="0"/>
              <w:jc w:val="left"/>
            </w:pPr>
            <w:r>
              <w:rPr>
                <w:sz w:val="20"/>
                <w:szCs w:val="20"/>
              </w:rPr>
              <w:t xml:space="preserve">h = 12</w:t>
            </w:r>
          </w:p>
        </w:tc>
        <w:tc>
          <w:tcPr>
            <w:tcBorders>
              <w:bottom w:val="single" w:sz="6" w:space="0" w:color="000000"/>
            </w:tcBorders>
          </w:tcPr>
          <w:p>
            <w:pPr>
              <w:pStyle w:val="Compact"/>
              <w:spacing w:before="0" w:after="0" w:line="240" w:lineRule="auto"/>
              <w:ind w:firstLine="0" w:left="0"/>
              <w:jc w:val="left"/>
            </w:pPr>
            <w:r>
              <w:rPr>
                <w:sz w:val="20"/>
                <w:szCs w:val="20"/>
              </w:rPr>
              <w:t xml:space="preserve">3-month acc.</w:t>
            </w:r>
          </w:p>
        </w:tc>
        <w:tc>
          <w:tcPr>
            <w:tcBorders>
              <w:bottom w:val="single" w:sz="6" w:space="0" w:color="000000"/>
            </w:tcBorders>
          </w:tcPr>
          <w:p>
            <w:pPr>
              <w:pStyle w:val="Compact"/>
              <w:spacing w:before="0" w:after="0" w:line="240" w:lineRule="auto"/>
              <w:ind w:firstLine="0" w:left="0"/>
              <w:jc w:val="left"/>
            </w:pPr>
            <w:r>
              <w:rPr>
                <w:sz w:val="20"/>
                <w:szCs w:val="20"/>
              </w:rPr>
              <w:t xml:space="preserve">12-month acc.</w:t>
            </w:r>
          </w:p>
        </w:tc>
      </w:tr>
      <w:tr>
        <w:tc>
          <w:tcPr/>
          <w:p>
            <w:pPr>
              <w:pStyle w:val="Compact"/>
              <w:spacing w:before="0" w:after="0" w:line="240" w:lineRule="auto"/>
              <w:ind w:firstLine="0" w:left="0"/>
              <w:jc w:val="left"/>
            </w:pPr>
            <w:r>
              <w:rPr>
                <w:sz w:val="20"/>
                <w:szCs w:val="20"/>
              </w:rPr>
              <w:t xml:space="preserve">Random walk</w:t>
            </w:r>
          </w:p>
        </w:tc>
        <w:tc>
          <w:tcPr/>
          <w:p>
            <w:pPr>
              <w:pStyle w:val="Compact"/>
              <w:spacing w:before="0" w:after="0" w:line="240" w:lineRule="auto"/>
              <w:ind w:firstLine="0" w:left="0"/>
              <w:jc w:val="left"/>
            </w:pPr>
            <w:r>
              <w:rPr>
                <w:sz w:val="20"/>
                <w:szCs w:val="20"/>
              </w:rPr>
              <w:t xml:space="preserve">1.20</w:t>
            </w:r>
          </w:p>
        </w:tc>
        <w:tc>
          <w:tcPr/>
          <w:p>
            <w:pPr>
              <w:pStyle w:val="Compact"/>
              <w:spacing w:before="0" w:after="0" w:line="240" w:lineRule="auto"/>
              <w:ind w:firstLine="0" w:left="0"/>
              <w:jc w:val="left"/>
            </w:pPr>
            <w:r>
              <w:rPr>
                <w:sz w:val="20"/>
                <w:szCs w:val="20"/>
              </w:rPr>
              <w:t xml:space="preserve">1.29</w:t>
            </w:r>
          </w:p>
        </w:tc>
        <w:tc>
          <w:tcPr/>
          <w:p>
            <w:pPr>
              <w:pStyle w:val="Compact"/>
              <w:spacing w:before="0" w:after="0" w:line="240" w:lineRule="auto"/>
              <w:ind w:firstLine="0" w:left="0"/>
              <w:jc w:val="left"/>
            </w:pPr>
            <w:r>
              <w:rPr>
                <w:sz w:val="20"/>
                <w:szCs w:val="20"/>
              </w:rPr>
              <w:t xml:space="preserve">1.50</w:t>
            </w:r>
          </w:p>
        </w:tc>
        <w:tc>
          <w:tcPr/>
          <w:p>
            <w:pPr>
              <w:pStyle w:val="Compact"/>
              <w:spacing w:before="0" w:after="0" w:line="240" w:lineRule="auto"/>
              <w:ind w:firstLine="0" w:left="0"/>
              <w:jc w:val="left"/>
            </w:pPr>
            <w:r>
              <w:rPr>
                <w:sz w:val="20"/>
                <w:szCs w:val="20"/>
              </w:rPr>
              <w:t xml:space="preserve">2.20</w:t>
            </w:r>
          </w:p>
        </w:tc>
      </w:tr>
      <w:tr>
        <w:tc>
          <w:tcPr/>
          <w:p>
            <w:pPr>
              <w:pStyle w:val="Compact"/>
              <w:spacing w:before="0" w:after="0" w:line="240" w:lineRule="auto"/>
              <w:ind w:firstLine="0" w:left="0"/>
              <w:jc w:val="left"/>
            </w:pPr>
            <w:r>
              <w:rPr>
                <w:sz w:val="20"/>
                <w:szCs w:val="20"/>
              </w:rPr>
              <w:t xml:space="preserve">Random walk (12-month mean)</w:t>
            </w:r>
          </w:p>
        </w:tc>
        <w:tc>
          <w:tcPr/>
          <w:p>
            <w:pPr>
              <w:pStyle w:val="Compact"/>
              <w:spacing w:before="0" w:after="0" w:line="240" w:lineRule="auto"/>
              <w:ind w:firstLine="0" w:left="0"/>
              <w:jc w:val="left"/>
            </w:pPr>
            <w:r>
              <w:rPr>
                <w:sz w:val="20"/>
                <w:szCs w:val="20"/>
              </w:rPr>
              <w:t xml:space="preserve">1.08</w:t>
            </w:r>
          </w:p>
        </w:tc>
        <w:tc>
          <w:tcPr/>
          <w:p>
            <w:pPr>
              <w:pStyle w:val="Compact"/>
              <w:spacing w:before="0" w:after="0" w:line="240" w:lineRule="auto"/>
              <w:ind w:firstLine="0" w:left="0"/>
              <w:jc w:val="left"/>
            </w:pPr>
            <w:r>
              <w:rPr>
                <w:sz w:val="20"/>
                <w:szCs w:val="20"/>
              </w:rPr>
              <w:t xml:space="preserve">1.08</w:t>
            </w:r>
          </w:p>
        </w:tc>
        <w:tc>
          <w:tcPr/>
          <w:p>
            <w:pPr>
              <w:pStyle w:val="Compact"/>
              <w:spacing w:before="0" w:after="0" w:line="240" w:lineRule="auto"/>
              <w:ind w:firstLine="0" w:left="0"/>
              <w:jc w:val="left"/>
            </w:pPr>
            <w:r>
              <w:rPr>
                <w:sz w:val="20"/>
                <w:szCs w:val="20"/>
              </w:rPr>
              <w:t xml:space="preserve">1.09</w:t>
            </w:r>
          </w:p>
        </w:tc>
        <w:tc>
          <w:tcPr/>
          <w:p>
            <w:pPr>
              <w:pStyle w:val="Compact"/>
              <w:spacing w:before="0" w:after="0" w:line="240" w:lineRule="auto"/>
              <w:ind w:firstLine="0" w:left="0"/>
              <w:jc w:val="left"/>
            </w:pPr>
            <w:r>
              <w:rPr>
                <w:sz w:val="20"/>
                <w:szCs w:val="20"/>
              </w:rPr>
              <w:t xml:space="preserve">1.30</w:t>
            </w:r>
          </w:p>
        </w:tc>
      </w:tr>
      <w:tr>
        <w:tc>
          <w:tcPr/>
          <w:p>
            <w:pPr>
              <w:pStyle w:val="Compact"/>
              <w:spacing w:before="0" w:after="0" w:line="240" w:lineRule="auto"/>
              <w:ind w:firstLine="0" w:left="0"/>
              <w:jc w:val="left"/>
            </w:pPr>
            <w:r>
              <w:rPr>
                <w:sz w:val="20"/>
                <w:szCs w:val="20"/>
              </w:rPr>
              <w:t xml:space="preserve">AR</w:t>
            </w:r>
          </w:p>
        </w:tc>
        <w:tc>
          <w:tcPr/>
          <w:p>
            <w:pPr>
              <w:pStyle w:val="Compact"/>
              <w:spacing w:before="0" w:after="0" w:line="240" w:lineRule="auto"/>
              <w:ind w:firstLine="0" w:left="0"/>
              <w:jc w:val="left"/>
            </w:pPr>
            <w:r>
              <w:rPr>
                <w:sz w:val="20"/>
                <w:szCs w:val="20"/>
              </w:rPr>
              <w:t xml:space="preserve">1.00</w:t>
            </w:r>
          </w:p>
        </w:tc>
        <w:tc>
          <w:tcPr/>
          <w:p>
            <w:pPr>
              <w:pStyle w:val="Compact"/>
              <w:spacing w:before="0" w:after="0" w:line="240" w:lineRule="auto"/>
              <w:ind w:firstLine="0" w:left="0"/>
              <w:jc w:val="left"/>
            </w:pPr>
            <w:r>
              <w:rPr>
                <w:sz w:val="20"/>
                <w:szCs w:val="20"/>
              </w:rPr>
              <w:t xml:space="preserve">1.00</w:t>
            </w:r>
          </w:p>
        </w:tc>
        <w:tc>
          <w:tcPr/>
          <w:p>
            <w:pPr>
              <w:pStyle w:val="Compact"/>
              <w:spacing w:before="0" w:after="0" w:line="240" w:lineRule="auto"/>
              <w:ind w:firstLine="0" w:left="0"/>
              <w:jc w:val="left"/>
            </w:pPr>
            <w:r>
              <w:rPr>
                <w:sz w:val="20"/>
                <w:szCs w:val="20"/>
              </w:rPr>
              <w:t xml:space="preserve">1.00</w:t>
            </w:r>
          </w:p>
        </w:tc>
        <w:tc>
          <w:tcPr/>
          <w:p>
            <w:pPr>
              <w:pStyle w:val="Compact"/>
              <w:spacing w:before="0" w:after="0" w:line="240" w:lineRule="auto"/>
              <w:ind w:firstLine="0" w:left="0"/>
              <w:jc w:val="left"/>
            </w:pPr>
            <w:r>
              <w:rPr>
                <w:sz w:val="20"/>
                <w:szCs w:val="20"/>
              </w:rPr>
              <w:t xml:space="preserve">1.00</w:t>
            </w:r>
          </w:p>
        </w:tc>
      </w:tr>
      <w:tr>
        <w:tc>
          <w:tcPr/>
          <w:p>
            <w:pPr>
              <w:pStyle w:val="Compact"/>
              <w:spacing w:before="0" w:after="0" w:line="240" w:lineRule="auto"/>
              <w:ind w:firstLine="0" w:left="0"/>
              <w:jc w:val="left"/>
            </w:pPr>
            <w:r>
              <w:rPr>
                <w:sz w:val="20"/>
                <w:szCs w:val="20"/>
              </w:rPr>
              <w:t xml:space="preserve">Factor (AR + PCs)</w:t>
            </w:r>
          </w:p>
        </w:tc>
        <w:tc>
          <w:tcPr/>
          <w:p>
            <w:pPr>
              <w:pStyle w:val="Compact"/>
              <w:spacing w:before="0" w:after="0" w:line="240" w:lineRule="auto"/>
              <w:ind w:firstLine="0" w:left="0"/>
              <w:jc w:val="left"/>
            </w:pPr>
            <w:r>
              <w:rPr>
                <w:sz w:val="20"/>
                <w:szCs w:val="20"/>
              </w:rPr>
              <w:t xml:space="preserve">0.99</w:t>
            </w:r>
          </w:p>
        </w:tc>
        <w:tc>
          <w:tcPr/>
          <w:p>
            <w:pPr>
              <w:pStyle w:val="Compact"/>
              <w:spacing w:before="0" w:after="0" w:line="240" w:lineRule="auto"/>
              <w:ind w:firstLine="0" w:left="0"/>
              <w:jc w:val="left"/>
            </w:pPr>
            <w:r>
              <w:rPr>
                <w:sz w:val="20"/>
                <w:szCs w:val="20"/>
              </w:rPr>
              <w:t xml:space="preserve">1.00</w:t>
            </w:r>
          </w:p>
        </w:tc>
        <w:tc>
          <w:tcPr/>
          <w:p>
            <w:pPr>
              <w:pStyle w:val="Compact"/>
              <w:spacing w:before="0" w:after="0" w:line="240" w:lineRule="auto"/>
              <w:ind w:firstLine="0" w:left="0"/>
              <w:jc w:val="left"/>
            </w:pPr>
            <w:r>
              <w:rPr>
                <w:sz w:val="20"/>
                <w:szCs w:val="20"/>
              </w:rPr>
              <w:t xml:space="preserve">0.99</w:t>
            </w:r>
          </w:p>
        </w:tc>
        <w:tc>
          <w:tcPr/>
          <w:p>
            <w:pPr>
              <w:pStyle w:val="Compact"/>
              <w:spacing w:before="0" w:after="0" w:line="240" w:lineRule="auto"/>
              <w:ind w:firstLine="0" w:left="0"/>
              <w:jc w:val="left"/>
            </w:pPr>
            <w:r>
              <w:rPr>
                <w:sz w:val="20"/>
                <w:szCs w:val="20"/>
              </w:rPr>
              <w:t xml:space="preserve">1.00</w:t>
            </w:r>
          </w:p>
        </w:tc>
      </w:tr>
      <w:tr>
        <w:tc>
          <w:tcPr/>
          <w:p>
            <w:pPr>
              <w:pStyle w:val="Compact"/>
              <w:spacing w:before="0" w:after="0" w:line="240" w:lineRule="auto"/>
              <w:ind w:firstLine="0" w:left="0"/>
              <w:jc w:val="left"/>
            </w:pPr>
            <w:r>
              <w:rPr>
                <w:sz w:val="20"/>
                <w:szCs w:val="20"/>
              </w:rPr>
              <w:t xml:space="preserve">Ridge</w:t>
            </w:r>
          </w:p>
        </w:tc>
        <w:tc>
          <w:tcPr/>
          <w:p>
            <w:pPr>
              <w:pStyle w:val="Compact"/>
              <w:spacing w:before="0" w:after="0" w:line="240" w:lineRule="auto"/>
              <w:ind w:firstLine="0" w:left="0"/>
              <w:jc w:val="left"/>
            </w:pPr>
            <w:r>
              <w:rPr>
                <w:sz w:val="20"/>
                <w:szCs w:val="20"/>
              </w:rPr>
              <w:t xml:space="preserve">1.05</w:t>
            </w:r>
          </w:p>
        </w:tc>
        <w:tc>
          <w:tcPr/>
          <w:p>
            <w:pPr>
              <w:pStyle w:val="Compact"/>
              <w:spacing w:before="0" w:after="0" w:line="240" w:lineRule="auto"/>
              <w:ind w:firstLine="0" w:left="0"/>
              <w:jc w:val="left"/>
            </w:pPr>
            <w:r>
              <w:rPr>
                <w:sz w:val="20"/>
                <w:szCs w:val="20"/>
              </w:rPr>
              <w:t xml:space="preserve">1.02</w:t>
            </w:r>
          </w:p>
        </w:tc>
        <w:tc>
          <w:tcPr/>
          <w:p>
            <w:pPr>
              <w:pStyle w:val="Compact"/>
              <w:spacing w:before="0" w:after="0" w:line="240" w:lineRule="auto"/>
              <w:ind w:firstLine="0" w:left="0"/>
              <w:jc w:val="left"/>
            </w:pPr>
            <w:r>
              <w:rPr>
                <w:sz w:val="20"/>
                <w:szCs w:val="20"/>
              </w:rPr>
              <w:t xml:space="preserve">1.05</w:t>
            </w:r>
          </w:p>
        </w:tc>
        <w:tc>
          <w:tcPr/>
          <w:p>
            <w:pPr>
              <w:pStyle w:val="Compact"/>
              <w:spacing w:before="0" w:after="0" w:line="240" w:lineRule="auto"/>
              <w:ind w:firstLine="0" w:left="0"/>
              <w:jc w:val="left"/>
            </w:pPr>
            <w:r>
              <w:rPr>
                <w:sz w:val="20"/>
                <w:szCs w:val="20"/>
              </w:rPr>
              <w:t xml:space="preserve">1.15</w:t>
            </w:r>
          </w:p>
        </w:tc>
      </w:tr>
      <w:tr>
        <w:tc>
          <w:tcPr/>
          <w:p>
            <w:pPr>
              <w:pStyle w:val="Compact"/>
              <w:spacing w:before="0" w:after="0" w:line="240" w:lineRule="auto"/>
              <w:ind w:firstLine="0" w:left="0"/>
              <w:jc w:val="left"/>
            </w:pPr>
            <w:r>
              <w:rPr>
                <w:sz w:val="20"/>
                <w:szCs w:val="20"/>
              </w:rPr>
              <w:t xml:space="preserve">LASSO</w:t>
            </w:r>
          </w:p>
        </w:tc>
        <w:tc>
          <w:tcPr/>
          <w:p>
            <w:pPr>
              <w:pStyle w:val="Compact"/>
              <w:spacing w:before="0" w:after="0" w:line="240" w:lineRule="auto"/>
              <w:ind w:firstLine="0" w:left="0"/>
              <w:jc w:val="left"/>
            </w:pPr>
            <w:r>
              <w:rPr>
                <w:sz w:val="20"/>
                <w:szCs w:val="20"/>
              </w:rPr>
              <w:t xml:space="preserve">1.01</w:t>
            </w:r>
          </w:p>
        </w:tc>
        <w:tc>
          <w:tcPr/>
          <w:p>
            <w:pPr>
              <w:pStyle w:val="Compact"/>
              <w:spacing w:before="0" w:after="0" w:line="240" w:lineRule="auto"/>
              <w:ind w:firstLine="0" w:left="0"/>
              <w:jc w:val="left"/>
            </w:pPr>
            <w:r>
              <w:rPr>
                <w:sz w:val="20"/>
                <w:szCs w:val="20"/>
              </w:rPr>
              <w:t xml:space="preserve">1.01</w:t>
            </w:r>
          </w:p>
        </w:tc>
        <w:tc>
          <w:tcPr/>
          <w:p>
            <w:pPr>
              <w:pStyle w:val="Compact"/>
              <w:spacing w:before="0" w:after="0" w:line="240" w:lineRule="auto"/>
              <w:ind w:firstLine="0" w:left="0"/>
              <w:jc w:val="left"/>
            </w:pPr>
            <w:r>
              <w:rPr>
                <w:sz w:val="20"/>
                <w:szCs w:val="20"/>
              </w:rPr>
              <w:t xml:space="preserve">0.99</w:t>
            </w:r>
          </w:p>
        </w:tc>
        <w:tc>
          <w:tcPr/>
          <w:p>
            <w:pPr>
              <w:pStyle w:val="Compact"/>
              <w:spacing w:before="0" w:after="0" w:line="240" w:lineRule="auto"/>
              <w:ind w:firstLine="0" w:left="0"/>
              <w:jc w:val="left"/>
            </w:pPr>
            <w:r>
              <w:rPr>
                <w:sz w:val="20"/>
                <w:szCs w:val="20"/>
              </w:rPr>
              <w:t xml:space="preserve">1.01</w:t>
            </w:r>
          </w:p>
        </w:tc>
      </w:tr>
      <w:tr>
        <w:tc>
          <w:tcPr/>
          <w:p>
            <w:pPr>
              <w:pStyle w:val="Compact"/>
              <w:spacing w:before="0" w:after="0" w:line="240" w:lineRule="auto"/>
              <w:ind w:firstLine="0" w:left="0"/>
              <w:jc w:val="left"/>
            </w:pPr>
            <w:r>
              <w:rPr>
                <w:sz w:val="20"/>
                <w:szCs w:val="20"/>
              </w:rPr>
              <w:t xml:space="preserve">Adaptive LASSO</w:t>
            </w:r>
          </w:p>
        </w:tc>
        <w:tc>
          <w:tcPr/>
          <w:p>
            <w:pPr>
              <w:pStyle w:val="Compact"/>
              <w:spacing w:before="0" w:after="0" w:line="240" w:lineRule="auto"/>
              <w:ind w:firstLine="0" w:left="0"/>
              <w:jc w:val="left"/>
            </w:pPr>
            <w:r>
              <w:rPr>
                <w:sz w:val="20"/>
                <w:szCs w:val="20"/>
              </w:rPr>
              <w:t xml:space="preserve">1.01</w:t>
            </w:r>
          </w:p>
        </w:tc>
        <w:tc>
          <w:tcPr/>
          <w:p>
            <w:pPr>
              <w:pStyle w:val="Compact"/>
              <w:spacing w:before="0" w:after="0" w:line="240" w:lineRule="auto"/>
              <w:ind w:firstLine="0" w:left="0"/>
              <w:jc w:val="left"/>
            </w:pPr>
            <w:r>
              <w:rPr>
                <w:sz w:val="20"/>
                <w:szCs w:val="20"/>
              </w:rPr>
              <w:t xml:space="preserve">1.01</w:t>
            </w:r>
          </w:p>
        </w:tc>
        <w:tc>
          <w:tcPr/>
          <w:p>
            <w:pPr>
              <w:pStyle w:val="Compact"/>
              <w:spacing w:before="0" w:after="0" w:line="240" w:lineRule="auto"/>
              <w:ind w:firstLine="0" w:left="0"/>
              <w:jc w:val="left"/>
            </w:pPr>
            <w:r>
              <w:rPr>
                <w:sz w:val="20"/>
                <w:szCs w:val="20"/>
              </w:rPr>
              <w:t xml:space="preserve">0.99</w:t>
            </w:r>
          </w:p>
        </w:tc>
        <w:tc>
          <w:tcPr/>
          <w:p>
            <w:pPr>
              <w:pStyle w:val="Compact"/>
              <w:spacing w:before="0" w:after="0" w:line="240" w:lineRule="auto"/>
              <w:ind w:firstLine="0" w:left="0"/>
              <w:jc w:val="left"/>
            </w:pPr>
            <w:r>
              <w:rPr>
                <w:sz w:val="20"/>
                <w:szCs w:val="20"/>
              </w:rPr>
              <w:t xml:space="preserve">1.01</w:t>
            </w:r>
          </w:p>
        </w:tc>
      </w:tr>
      <w:tr>
        <w:tc>
          <w:tcPr/>
          <w:p>
            <w:pPr>
              <w:pStyle w:val="Compact"/>
              <w:spacing w:before="0" w:after="0" w:line="240" w:lineRule="auto"/>
              <w:ind w:firstLine="0" w:left="0"/>
              <w:jc w:val="left"/>
            </w:pPr>
            <w:r>
              <w:rPr>
                <w:sz w:val="20"/>
                <w:szCs w:val="20"/>
              </w:rPr>
              <w:t xml:space="preserve">Random forest</w:t>
            </w:r>
          </w:p>
        </w:tc>
        <w:tc>
          <w:tcPr/>
          <w:p>
            <w:pPr>
              <w:pStyle w:val="Compact"/>
              <w:spacing w:before="0" w:after="0" w:line="240" w:lineRule="auto"/>
              <w:ind w:firstLine="0" w:left="0"/>
              <w:jc w:val="left"/>
            </w:pPr>
            <w:r>
              <w:rPr>
                <w:sz w:val="20"/>
                <w:szCs w:val="20"/>
              </w:rPr>
              <w:t xml:space="preserve">0.99</w:t>
            </w:r>
          </w:p>
        </w:tc>
        <w:tc>
          <w:tcPr/>
          <w:p>
            <w:pPr>
              <w:pStyle w:val="Compact"/>
              <w:spacing w:before="0" w:after="0" w:line="240" w:lineRule="auto"/>
              <w:ind w:firstLine="0" w:left="0"/>
              <w:jc w:val="left"/>
            </w:pPr>
            <w:r>
              <w:rPr>
                <w:sz w:val="20"/>
                <w:szCs w:val="20"/>
              </w:rPr>
              <w:t xml:space="preserve">1.01</w:t>
            </w:r>
          </w:p>
        </w:tc>
        <w:tc>
          <w:tcPr/>
          <w:p>
            <w:pPr>
              <w:pStyle w:val="Compact"/>
              <w:spacing w:before="0" w:after="0" w:line="240" w:lineRule="auto"/>
              <w:ind w:firstLine="0" w:left="0"/>
              <w:jc w:val="left"/>
            </w:pPr>
            <w:r>
              <w:rPr>
                <w:sz w:val="20"/>
                <w:szCs w:val="20"/>
              </w:rPr>
              <w:t xml:space="preserve">0.99</w:t>
            </w:r>
          </w:p>
        </w:tc>
        <w:tc>
          <w:tcPr/>
          <w:p>
            <w:pPr>
              <w:pStyle w:val="Compact"/>
              <w:spacing w:before="0" w:after="0" w:line="240" w:lineRule="auto"/>
              <w:ind w:firstLine="0" w:left="0"/>
              <w:jc w:val="left"/>
            </w:pPr>
            <w:r>
              <w:rPr>
                <w:sz w:val="20"/>
                <w:szCs w:val="20"/>
              </w:rPr>
              <w:t xml:space="preserve">1.04</w:t>
            </w:r>
          </w:p>
        </w:tc>
      </w:tr>
      <w:tr>
        <w:tc>
          <w:tcPr/>
          <w:p>
            <w:pPr>
              <w:pStyle w:val="Compact"/>
              <w:spacing w:before="0" w:after="0" w:line="240" w:lineRule="auto"/>
              <w:ind w:firstLine="0" w:left="0"/>
              <w:jc w:val="left"/>
            </w:pPr>
            <w:r>
              <w:rPr>
                <w:sz w:val="20"/>
                <w:szCs w:val="20"/>
              </w:rPr>
              <w:t xml:space="preserve">Gradient boosting</w:t>
            </w:r>
          </w:p>
        </w:tc>
        <w:tc>
          <w:tcPr/>
          <w:p>
            <w:pPr>
              <w:pStyle w:val="Compact"/>
              <w:spacing w:before="0" w:after="0" w:line="240" w:lineRule="auto"/>
              <w:ind w:firstLine="0" w:left="0"/>
              <w:jc w:val="left"/>
            </w:pPr>
            <w:r>
              <w:rPr>
                <w:sz w:val="20"/>
                <w:szCs w:val="20"/>
              </w:rPr>
              <w:t xml:space="preserve">1.00</w:t>
            </w:r>
          </w:p>
        </w:tc>
        <w:tc>
          <w:tcPr/>
          <w:p>
            <w:pPr>
              <w:pStyle w:val="Compact"/>
              <w:spacing w:before="0" w:after="0" w:line="240" w:lineRule="auto"/>
              <w:ind w:firstLine="0" w:left="0"/>
              <w:jc w:val="left"/>
            </w:pPr>
            <w:r>
              <w:rPr>
                <w:sz w:val="20"/>
                <w:szCs w:val="20"/>
              </w:rPr>
              <w:t xml:space="preserve">1.07</w:t>
            </w:r>
          </w:p>
        </w:tc>
        <w:tc>
          <w:tcPr/>
          <w:p>
            <w:pPr>
              <w:pStyle w:val="Compact"/>
              <w:spacing w:before="0" w:after="0" w:line="240" w:lineRule="auto"/>
              <w:ind w:firstLine="0" w:left="0"/>
              <w:jc w:val="left"/>
            </w:pPr>
            <w:r>
              <w:rPr>
                <w:sz w:val="20"/>
                <w:szCs w:val="20"/>
              </w:rPr>
              <w:t xml:space="preserve">1.02</w:t>
            </w:r>
          </w:p>
        </w:tc>
        <w:tc>
          <w:tcPr/>
          <w:p>
            <w:pPr>
              <w:pStyle w:val="Compact"/>
              <w:spacing w:before="0" w:after="0" w:line="240" w:lineRule="auto"/>
              <w:ind w:firstLine="0" w:left="0"/>
              <w:jc w:val="left"/>
            </w:pPr>
            <w:r>
              <w:rPr>
                <w:sz w:val="20"/>
                <w:szCs w:val="20"/>
              </w:rPr>
              <w:t xml:space="preserve">1.11</w:t>
            </w:r>
          </w:p>
        </w:tc>
      </w:tr>
      <w:tr>
        <w:tc>
          <w:tcPr/>
          <w:p>
            <w:pPr>
              <w:pStyle w:val="Compact"/>
              <w:spacing w:before="0" w:after="0" w:line="240" w:lineRule="auto"/>
              <w:ind w:firstLine="0" w:left="0"/>
              <w:jc w:val="left"/>
            </w:pPr>
            <w:r>
              <w:rPr>
                <w:sz w:val="20"/>
                <w:szCs w:val="20"/>
              </w:rPr>
              <w:t xml:space="preserve">ML combination</w:t>
            </w:r>
          </w:p>
        </w:tc>
        <w:tc>
          <w:tcPr/>
          <w:p>
            <w:pPr>
              <w:pStyle w:val="Compact"/>
              <w:spacing w:before="0" w:after="0" w:line="240" w:lineRule="auto"/>
              <w:ind w:firstLine="0" w:left="0"/>
              <w:jc w:val="left"/>
            </w:pPr>
            <w:r>
              <w:rPr>
                <w:sz w:val="20"/>
                <w:szCs w:val="20"/>
              </w:rPr>
              <w:t xml:space="preserve">0.98</w:t>
            </w:r>
          </w:p>
        </w:tc>
        <w:tc>
          <w:tcPr/>
          <w:p>
            <w:pPr>
              <w:pStyle w:val="Compact"/>
              <w:spacing w:before="0" w:after="0" w:line="240" w:lineRule="auto"/>
              <w:ind w:firstLine="0" w:left="0"/>
              <w:jc w:val="left"/>
            </w:pPr>
            <w:r>
              <w:rPr>
                <w:sz w:val="20"/>
                <w:szCs w:val="20"/>
              </w:rPr>
              <w:t xml:space="preserve">1.01</w:t>
            </w:r>
          </w:p>
        </w:tc>
        <w:tc>
          <w:tcPr/>
          <w:p>
            <w:pPr>
              <w:pStyle w:val="Compact"/>
              <w:spacing w:before="0" w:after="0" w:line="240" w:lineRule="auto"/>
              <w:ind w:firstLine="0" w:left="0"/>
              <w:jc w:val="left"/>
            </w:pPr>
            <w:r>
              <w:rPr>
                <w:sz w:val="20"/>
                <w:szCs w:val="20"/>
              </w:rPr>
              <w:t xml:space="preserve">0.98</w:t>
            </w:r>
          </w:p>
        </w:tc>
        <w:tc>
          <w:tcPr/>
          <w:p>
            <w:pPr>
              <w:pStyle w:val="Compact"/>
              <w:spacing w:before="0" w:after="0" w:line="240" w:lineRule="auto"/>
              <w:ind w:firstLine="0" w:left="0"/>
              <w:jc w:val="left"/>
            </w:pPr>
            <w:r>
              <w:rPr>
                <w:sz w:val="20"/>
                <w:szCs w:val="20"/>
              </w:rPr>
              <w:t xml:space="preserve">1.03</w:t>
            </w:r>
          </w:p>
        </w:tc>
      </w:tr>
      <w:tr>
        <w:tc>
          <w:tcPr/>
          <w:p>
            <w:pPr>
              <w:pStyle w:val="Compact"/>
              <w:spacing w:before="0" w:after="0" w:line="240" w:lineRule="auto"/>
              <w:ind w:firstLine="0" w:left="0"/>
              <w:jc w:val="left"/>
            </w:pPr>
            <w:r>
              <w:rPr>
                <w:sz w:val="20"/>
                <w:szCs w:val="20"/>
              </w:rPr>
              <w:t xml:space="preserve">AR RMSE (log points)</w:t>
            </w:r>
          </w:p>
        </w:tc>
        <w:tc>
          <w:tcPr/>
          <w:p>
            <w:pPr>
              <w:pStyle w:val="Compact"/>
              <w:spacing w:before="0" w:after="0" w:line="240" w:lineRule="auto"/>
              <w:ind w:firstLine="0" w:left="0"/>
              <w:jc w:val="left"/>
            </w:pPr>
            <w:r>
              <w:rPr>
                <w:sz w:val="20"/>
                <w:szCs w:val="20"/>
              </w:rPr>
              <w:t xml:space="preserve">0.382</w:t>
            </w:r>
          </w:p>
        </w:tc>
        <w:tc>
          <w:tcPr/>
          <w:p>
            <w:pPr>
              <w:pStyle w:val="Compact"/>
              <w:spacing w:before="0" w:after="0" w:line="240" w:lineRule="auto"/>
              <w:ind w:firstLine="0" w:left="0"/>
              <w:jc w:val="left"/>
            </w:pPr>
            <w:r>
              <w:rPr>
                <w:sz w:val="20"/>
                <w:szCs w:val="20"/>
              </w:rPr>
              <w:t xml:space="preserve">0.410</w:t>
            </w:r>
          </w:p>
        </w:tc>
        <w:tc>
          <w:tcPr/>
          <w:p>
            <w:pPr>
              <w:pStyle w:val="Compact"/>
              <w:spacing w:before="0" w:after="0" w:line="240" w:lineRule="auto"/>
              <w:ind w:firstLine="0" w:left="0"/>
              <w:jc w:val="left"/>
            </w:pPr>
            <w:r>
              <w:rPr>
                <w:sz w:val="20"/>
                <w:szCs w:val="20"/>
              </w:rPr>
              <w:t xml:space="preserve">0.866</w:t>
            </w:r>
          </w:p>
        </w:tc>
        <w:tc>
          <w:tcPr/>
          <w:p>
            <w:pPr>
              <w:pStyle w:val="Compact"/>
              <w:spacing w:before="0" w:after="0" w:line="240" w:lineRule="auto"/>
              <w:ind w:firstLine="0" w:left="0"/>
              <w:jc w:val="left"/>
            </w:pPr>
            <w:r>
              <w:rPr>
                <w:sz w:val="20"/>
                <w:szCs w:val="20"/>
              </w:rPr>
              <w:t xml:space="preserve">2.073</w:t>
            </w:r>
          </w:p>
        </w:tc>
      </w:tr>
      <w:tr>
        <w:tc>
          <w:tcPr/>
          <w:p>
            <w:pPr>
              <w:pStyle w:val="Compact"/>
              <w:spacing w:before="0" w:after="0" w:line="240" w:lineRule="auto"/>
              <w:ind w:firstLine="0" w:left="0"/>
              <w:jc w:val="left"/>
            </w:pPr>
            <w:r>
              <w:rPr>
                <w:sz w:val="20"/>
                <w:szCs w:val="20"/>
              </w:rPr>
              <w:t xml:space="preserve">In 90% MCS</w:t>
            </w:r>
          </w:p>
        </w:tc>
        <w:tc>
          <w:tcPr/>
          <w:p>
            <w:pPr>
              <w:pStyle w:val="Compact"/>
              <w:spacing w:before="0" w:after="0" w:line="240" w:lineRule="auto"/>
              <w:ind w:firstLine="0" w:left="0"/>
              <w:jc w:val="left"/>
            </w:pPr>
            <w:r>
              <w:rPr>
                <w:sz w:val="20"/>
                <w:szCs w:val="20"/>
              </w:rPr>
              <w:t xml:space="preserve">AR, Factor (AR + PCs), Ridge, LASSO, Adaptive LASSO, Random forest, Gradient boosting, ML combination</w:t>
            </w:r>
          </w:p>
        </w:tc>
        <w:tc>
          <w:tcPr/>
          <w:p>
            <w:pPr>
              <w:pStyle w:val="Compact"/>
              <w:spacing w:before="0" w:after="0" w:line="240" w:lineRule="auto"/>
              <w:ind w:firstLine="0" w:left="0"/>
              <w:jc w:val="left"/>
            </w:pPr>
            <w:r>
              <w:rPr>
                <w:sz w:val="20"/>
                <w:szCs w:val="20"/>
              </w:rPr>
              <w:t xml:space="preserve">Random walk (12-month mean), AR, Factor (AR + PCs), Ridge, LASSO, Adaptive LASSO, Random forest, ML combination</w:t>
            </w:r>
          </w:p>
        </w:tc>
        <w:tc>
          <w:tcPr/>
          <w:p>
            <w:pPr>
              <w:pStyle w:val="Compact"/>
              <w:spacing w:before="0" w:after="0" w:line="240" w:lineRule="auto"/>
              <w:ind w:firstLine="0" w:left="0"/>
              <w:jc w:val="left"/>
            </w:pPr>
            <w:r>
              <w:rPr>
                <w:sz w:val="20"/>
                <w:szCs w:val="20"/>
              </w:rPr>
              <w:t xml:space="preserve">Random walk (12-month mean), AR, Factor (AR + PCs), Ridge, LASSO, Adaptive LASSO, Random forest, Gradient boosting, ML combination</w:t>
            </w:r>
          </w:p>
        </w:tc>
        <w:tc>
          <w:tcPr/>
          <w:p>
            <w:pPr>
              <w:pStyle w:val="Compact"/>
              <w:spacing w:before="0" w:after="0" w:line="240" w:lineRule="auto"/>
              <w:ind w:firstLine="0" w:left="0"/>
              <w:jc w:val="left"/>
            </w:pPr>
            <w:r>
              <w:rPr>
                <w:sz w:val="20"/>
                <w:szCs w:val="20"/>
              </w:rPr>
              <w:t xml:space="preserve">Random walk (12-month mean), AR, Factor (AR + PCs), Ridge, LASSO, Adaptive LASSO, Random forest, Gradient boosting, ML combination</w:t>
            </w:r>
          </w:p>
        </w:tc>
      </w:tr>
    </w:tbl>
    <w:p>
      <w:pPr>
        <w:pStyle w:val="TableNote"/>
      </w:pPr>
      <w:r>
        <w:rPr>
          <w:iCs/>
          <w:i/>
        </w:rPr>
        <w:t xml:space="preserve">Notes:</w:t>
      </w:r>
      <w:r>
        <w:t xml:space="preserve"> </w:t>
      </w:r>
      <w:r>
        <w:t xml:space="preserve">Stars mark one-sided Diebold–Mariano tests (HLN correction) that the model is more accurate than the AR: * 10%, ** 5%, *** 1%.</w:t>
      </w:r>
      <w:r>
        <w:t xml:space="preserve"> </w:t>
      </w:r>
      <w:r>
        <w:t xml:space="preserve">‘</w:t>
      </w:r>
      <w:r>
        <w:t xml:space="preserve">acc.</w:t>
      </w:r>
      <w:r>
        <w:t xml:space="preserve">’</w:t>
      </w:r>
      <w:r>
        <w:t xml:space="preserve"> </w:t>
      </w:r>
      <w:r>
        <w:t xml:space="preserve">= inflation accumulated over the next 3 or 12 months. The last row lists the models in the 90% model confidence set.</w:t>
      </w:r>
    </w:p>
    <w:bookmarkEnd w:id="28"/>
    <w:bookmarkStart w:id="29" w:name="rq2-which-predictors-matter"/>
    <w:p>
      <w:pPr>
        <w:pStyle w:val="Heading2"/>
      </w:pPr>
      <w:r>
        <w:rPr>
          <w:rStyle w:val="SectionNumber"/>
        </w:rPr>
        <w:t xml:space="preserve">5.2</w:t>
      </w:r>
      <w:r>
        <w:tab/>
      </w:r>
      <w:r>
        <w:t xml:space="preserve">RQ2: Which predictors matter?</w:t>
      </w:r>
    </w:p>
    <w:p>
      <w:pPr>
        <w:pStyle w:val="FirstParagraph"/>
      </w:pPr>
      <w:r>
        <w:t xml:space="preserve">Figure 4 shows which predictor groups the random forest relies on. One month ahead, food prices carry 26% of the grouped permutation importance, regional inflation 23% and the other domestic CPI components 23%. World prices (9%), energy and utilities (5%) and money and the exchange rate (4%) matter much less. The LASSO tells the same story: it selects at least one food feature at 71% of origins and one regional feature at 72%, against 33% for world prices. Twelve months ahead, the random forest shifts toward the slow-moving domestic components (50%), and the LASSO selects far fewer features: the share of origins with any food feature falls to 14%, and with any other domestic feature to 30%.</w:t>
      </w:r>
    </w:p>
    <w:p>
      <w:pPr>
        <w:pStyle w:val="BodyText"/>
      </w:pPr>
      <w:r>
        <w:t xml:space="preserve">H2 is therefore supported at short horizons, with one qualification. Food is the most important group one month ahead, but energy is not; the oil and fuel series matter less than regional and other domestic prices. And because the models that use these predictors do not beat the AR, the importance measures describe where the models find signal in the training data, not where they gain accuracy out of sample. The food and regional series co-move closely with headline inflation, so they largely repeat information that past inflation already contains. These importance measures are computed on the training windows and are descriptive.</w:t>
      </w:r>
    </w:p>
    <w:bookmarkEnd w:id="29"/>
    <w:bookmarkStart w:id="30" w:name="rq3-when-do-the-gains-arise"/>
    <w:p>
      <w:pPr>
        <w:pStyle w:val="Heading2"/>
      </w:pPr>
      <w:r>
        <w:rPr>
          <w:rStyle w:val="SectionNumber"/>
        </w:rPr>
        <w:t xml:space="preserve">5.3</w:t>
      </w:r>
      <w:r>
        <w:tab/>
      </w:r>
      <w:r>
        <w:t xml:space="preserve">RQ3: When do the gains arise?</w:t>
      </w:r>
    </w:p>
    <w:p>
      <w:pPr>
        <w:pStyle w:val="FirstParagraph"/>
      </w:pPr>
      <w:r>
        <w:t xml:space="preserve">Since 2005, year-on-year inflation has been above 4% in 39% of months. Table 3 compares relative RMSEs in these months and in the rest. H3 predicts that the ML gains concentrate in the high-inflation months. They do not. One month ahead, the combination’s relative RMSE is 0.98 in high-inflation months and 0.99 in other months, and the random forest’s is 0.99 and 0.99. For inflation over the next year, the random forest is about as accurate as the AR in high-inflation periods (1.00) and worse in calm ones (1.07). That is a small relative advantage in turbulent times, but only because the AR is also bad then.</w:t>
      </w:r>
    </w:p>
    <w:p>
      <w:pPr>
        <w:pStyle w:val="BodyText"/>
      </w:pPr>
      <w:r>
        <w:t xml:space="preserve">Figure 3 tracks the comparison over time. A rising line means the model is gaining on the AR. One month ahead, the random forest and the combination gain a little on the AR before 2008 and again in 2010–12, hold that small lead until 2020, lose it in the 2021–23 surge, and then swing sharply in the 2026 oil shock. No model saw the March–April 2026 jump coming (monthly inflation of 1.36% and 2.60%). But the AR then carried the April jump forward, forecasting 1.48% for May, when prices in fact fell (-0.51%). The ML models, which average over many predictors, gave a damped 0.62%. Twelve months ahead, the ML models lose ground in the 2022–23 surge and do not recover it. Figure 7 shows why accuracy is so hard to come by at this horizon. Both the AR and the ML combination forecast year-ahead inflation close to its recent average, mostly between about 3% and 5%, and neither anticipates the 2008, 2018, 2022–23 or 2026 episodes.</w:t>
      </w:r>
    </w:p>
    <w:p>
      <w:pPr>
        <w:pStyle w:val="TableCaption"/>
      </w:pPr>
      <w:r>
        <w:t xml:space="preserve">Table 3. RMSE relative to the AR in high-inflation and other months</w:t>
      </w:r>
    </w:p>
    <w:tbl>
      <w:tblPr>
        <w:tblStyle w:val="Table"/>
        <w:tblW w:type="pct" w:w="5000"/>
        <w:tblBorders>
          <w:top w:val="single" w:sz="12" w:space="0" w:color="000000"/>
          <w:left w:val="nil"/>
          <w:bottom w:val="single" w:sz="12" w:space="0" w:color="000000"/>
          <w:right w:val="nil"/>
          <w:insideH w:val="nil"/>
          <w:insideV w:val="nil"/>
        </w:tblBorders>
        <w:tblLook w:firstRow="1" w:lastRow="0" w:firstColumn="0" w:lastColumn="0" w:noHBand="0" w:noVBand="0" w:val="0020"/>
        <w:jc w:val="start"/>
        <w:tblCaption w:val="Table 3. RMSE relative to the AR in high-inflation and other months"/>
      </w:tblPr>
      <w:tblGrid>
        <w:gridCol w:w="950"/>
        <w:gridCol w:w="633"/>
        <w:gridCol w:w="686"/>
        <w:gridCol w:w="686"/>
        <w:gridCol w:w="739"/>
        <w:gridCol w:w="1003"/>
        <w:gridCol w:w="1056"/>
        <w:gridCol w:w="1056"/>
        <w:gridCol w:w="1108"/>
      </w:tblGrid>
      <w:tr>
        <w:trPr>
          <w:tblHeader w:val="true"/>
        </w:trPr>
        <w:tc>
          <w:tcPr>
            <w:tcBorders>
              <w:bottom w:val="single" w:sz="6" w:space="0" w:color="000000"/>
            </w:tcBorders>
          </w:tcPr>
          <w:p>
            <w:pPr>
              <w:pStyle w:val="Compact"/>
              <w:spacing w:before="0" w:after="0" w:line="240" w:lineRule="auto"/>
              <w:ind w:firstLine="0" w:left="0"/>
              <w:jc w:val="left"/>
            </w:pPr>
            <w:r>
              <w:rPr>
                <w:sz w:val="20"/>
                <w:szCs w:val="20"/>
              </w:rPr>
              <w:t xml:space="preserve">Model</w:t>
            </w:r>
          </w:p>
        </w:tc>
        <w:tc>
          <w:tcPr>
            <w:tcBorders>
              <w:bottom w:val="single" w:sz="6" w:space="0" w:color="000000"/>
            </w:tcBorders>
          </w:tcPr>
          <w:p>
            <w:pPr>
              <w:pStyle w:val="Compact"/>
              <w:spacing w:before="0" w:after="0" w:line="240" w:lineRule="auto"/>
              <w:ind w:firstLine="0" w:left="0"/>
              <w:jc w:val="right"/>
            </w:pPr>
            <w:r>
              <w:rPr>
                <w:sz w:val="20"/>
                <w:szCs w:val="20"/>
              </w:rPr>
              <w:t xml:space="preserve">h = 1, high</w:t>
            </w:r>
          </w:p>
        </w:tc>
        <w:tc>
          <w:tcPr>
            <w:tcBorders>
              <w:bottom w:val="single" w:sz="6" w:space="0" w:color="000000"/>
            </w:tcBorders>
          </w:tcPr>
          <w:p>
            <w:pPr>
              <w:pStyle w:val="Compact"/>
              <w:spacing w:before="0" w:after="0" w:line="240" w:lineRule="auto"/>
              <w:ind w:firstLine="0" w:left="0"/>
              <w:jc w:val="right"/>
            </w:pPr>
            <w:r>
              <w:rPr>
                <w:sz w:val="20"/>
                <w:szCs w:val="20"/>
              </w:rPr>
              <w:t xml:space="preserve">h = 1, other</w:t>
            </w:r>
          </w:p>
        </w:tc>
        <w:tc>
          <w:tcPr>
            <w:tcBorders>
              <w:bottom w:val="single" w:sz="6" w:space="0" w:color="000000"/>
            </w:tcBorders>
          </w:tcPr>
          <w:p>
            <w:pPr>
              <w:pStyle w:val="Compact"/>
              <w:spacing w:before="0" w:after="0" w:line="240" w:lineRule="auto"/>
              <w:ind w:firstLine="0" w:left="0"/>
              <w:jc w:val="right"/>
            </w:pPr>
            <w:r>
              <w:rPr>
                <w:sz w:val="20"/>
                <w:szCs w:val="20"/>
              </w:rPr>
              <w:t xml:space="preserve">h = 12, high</w:t>
            </w:r>
          </w:p>
        </w:tc>
        <w:tc>
          <w:tcPr>
            <w:tcBorders>
              <w:bottom w:val="single" w:sz="6" w:space="0" w:color="000000"/>
            </w:tcBorders>
          </w:tcPr>
          <w:p>
            <w:pPr>
              <w:pStyle w:val="Compact"/>
              <w:spacing w:before="0" w:after="0" w:line="240" w:lineRule="auto"/>
              <w:ind w:firstLine="0" w:left="0"/>
              <w:jc w:val="right"/>
            </w:pPr>
            <w:r>
              <w:rPr>
                <w:sz w:val="20"/>
                <w:szCs w:val="20"/>
              </w:rPr>
              <w:t xml:space="preserve">h = 12, other</w:t>
            </w:r>
          </w:p>
        </w:tc>
        <w:tc>
          <w:tcPr>
            <w:tcBorders>
              <w:bottom w:val="single" w:sz="6" w:space="0" w:color="000000"/>
            </w:tcBorders>
          </w:tcPr>
          <w:p>
            <w:pPr>
              <w:pStyle w:val="Compact"/>
              <w:spacing w:before="0" w:after="0" w:line="240" w:lineRule="auto"/>
              <w:ind w:firstLine="0" w:left="0"/>
              <w:jc w:val="right"/>
            </w:pPr>
            <w:r>
              <w:rPr>
                <w:sz w:val="20"/>
                <w:szCs w:val="20"/>
              </w:rPr>
              <w:t xml:space="preserve">3-month acc., high</w:t>
            </w:r>
          </w:p>
        </w:tc>
        <w:tc>
          <w:tcPr>
            <w:tcBorders>
              <w:bottom w:val="single" w:sz="6" w:space="0" w:color="000000"/>
            </w:tcBorders>
          </w:tcPr>
          <w:p>
            <w:pPr>
              <w:pStyle w:val="Compact"/>
              <w:spacing w:before="0" w:after="0" w:line="240" w:lineRule="auto"/>
              <w:ind w:firstLine="0" w:left="0"/>
              <w:jc w:val="right"/>
            </w:pPr>
            <w:r>
              <w:rPr>
                <w:sz w:val="20"/>
                <w:szCs w:val="20"/>
              </w:rPr>
              <w:t xml:space="preserve">3-month acc., other</w:t>
            </w:r>
          </w:p>
        </w:tc>
        <w:tc>
          <w:tcPr>
            <w:tcBorders>
              <w:bottom w:val="single" w:sz="6" w:space="0" w:color="000000"/>
            </w:tcBorders>
          </w:tcPr>
          <w:p>
            <w:pPr>
              <w:pStyle w:val="Compact"/>
              <w:spacing w:before="0" w:after="0" w:line="240" w:lineRule="auto"/>
              <w:ind w:firstLine="0" w:left="0"/>
              <w:jc w:val="right"/>
            </w:pPr>
            <w:r>
              <w:rPr>
                <w:sz w:val="20"/>
                <w:szCs w:val="20"/>
              </w:rPr>
              <w:t xml:space="preserve">12-month acc., high</w:t>
            </w:r>
          </w:p>
        </w:tc>
        <w:tc>
          <w:tcPr>
            <w:tcBorders>
              <w:bottom w:val="single" w:sz="6" w:space="0" w:color="000000"/>
            </w:tcBorders>
          </w:tcPr>
          <w:p>
            <w:pPr>
              <w:pStyle w:val="Compact"/>
              <w:spacing w:before="0" w:after="0" w:line="240" w:lineRule="auto"/>
              <w:ind w:firstLine="0" w:left="0"/>
              <w:jc w:val="right"/>
            </w:pPr>
            <w:r>
              <w:rPr>
                <w:sz w:val="20"/>
                <w:szCs w:val="20"/>
              </w:rPr>
              <w:t xml:space="preserve">12-month acc., other</w:t>
            </w:r>
          </w:p>
        </w:tc>
      </w:tr>
      <w:tr>
        <w:tc>
          <w:tcPr/>
          <w:p>
            <w:pPr>
              <w:pStyle w:val="Compact"/>
              <w:spacing w:before="0" w:after="0" w:line="240" w:lineRule="auto"/>
              <w:ind w:firstLine="0" w:left="0"/>
              <w:jc w:val="left"/>
            </w:pPr>
            <w:r>
              <w:rPr>
                <w:sz w:val="20"/>
                <w:szCs w:val="20"/>
              </w:rPr>
              <w:t xml:space="preserve">Random walk</w:t>
            </w:r>
          </w:p>
        </w:tc>
        <w:tc>
          <w:tcPr/>
          <w:p>
            <w:pPr>
              <w:pStyle w:val="Compact"/>
              <w:spacing w:before="0" w:after="0" w:line="240" w:lineRule="auto"/>
              <w:ind w:firstLine="0" w:left="0"/>
              <w:jc w:val="right"/>
            </w:pPr>
            <w:r>
              <w:rPr>
                <w:sz w:val="20"/>
                <w:szCs w:val="20"/>
              </w:rPr>
              <w:t xml:space="preserve">1.20</w:t>
            </w:r>
          </w:p>
        </w:tc>
        <w:tc>
          <w:tcPr/>
          <w:p>
            <w:pPr>
              <w:pStyle w:val="Compact"/>
              <w:spacing w:before="0" w:after="0" w:line="240" w:lineRule="auto"/>
              <w:ind w:firstLine="0" w:left="0"/>
              <w:jc w:val="right"/>
            </w:pPr>
            <w:r>
              <w:rPr>
                <w:sz w:val="20"/>
                <w:szCs w:val="20"/>
              </w:rPr>
              <w:t xml:space="preserve">1.21</w:t>
            </w:r>
          </w:p>
        </w:tc>
        <w:tc>
          <w:tcPr/>
          <w:p>
            <w:pPr>
              <w:pStyle w:val="Compact"/>
              <w:spacing w:before="0" w:after="0" w:line="240" w:lineRule="auto"/>
              <w:ind w:firstLine="0" w:left="0"/>
              <w:jc w:val="right"/>
            </w:pPr>
            <w:r>
              <w:rPr>
                <w:sz w:val="20"/>
                <w:szCs w:val="20"/>
              </w:rPr>
              <w:t xml:space="preserve">1.25</w:t>
            </w:r>
          </w:p>
        </w:tc>
        <w:tc>
          <w:tcPr/>
          <w:p>
            <w:pPr>
              <w:pStyle w:val="Compact"/>
              <w:spacing w:before="0" w:after="0" w:line="240" w:lineRule="auto"/>
              <w:ind w:firstLine="0" w:left="0"/>
              <w:jc w:val="right"/>
            </w:pPr>
            <w:r>
              <w:rPr>
                <w:sz w:val="20"/>
                <w:szCs w:val="20"/>
              </w:rPr>
              <w:t xml:space="preserve">1.34</w:t>
            </w:r>
          </w:p>
        </w:tc>
        <w:tc>
          <w:tcPr/>
          <w:p>
            <w:pPr>
              <w:pStyle w:val="Compact"/>
              <w:spacing w:before="0" w:after="0" w:line="240" w:lineRule="auto"/>
              <w:ind w:firstLine="0" w:left="0"/>
              <w:jc w:val="right"/>
            </w:pPr>
            <w:r>
              <w:rPr>
                <w:sz w:val="20"/>
                <w:szCs w:val="20"/>
              </w:rPr>
              <w:t xml:space="preserve">1.51</w:t>
            </w:r>
          </w:p>
        </w:tc>
        <w:tc>
          <w:tcPr/>
          <w:p>
            <w:pPr>
              <w:pStyle w:val="Compact"/>
              <w:spacing w:before="0" w:after="0" w:line="240" w:lineRule="auto"/>
              <w:ind w:firstLine="0" w:left="0"/>
              <w:jc w:val="right"/>
            </w:pPr>
            <w:r>
              <w:rPr>
                <w:sz w:val="20"/>
                <w:szCs w:val="20"/>
              </w:rPr>
              <w:t xml:space="preserve">1.49</w:t>
            </w:r>
          </w:p>
        </w:tc>
        <w:tc>
          <w:tcPr/>
          <w:p>
            <w:pPr>
              <w:pStyle w:val="Compact"/>
              <w:spacing w:before="0" w:after="0" w:line="240" w:lineRule="auto"/>
              <w:ind w:firstLine="0" w:left="0"/>
              <w:jc w:val="right"/>
            </w:pPr>
            <w:r>
              <w:rPr>
                <w:sz w:val="20"/>
                <w:szCs w:val="20"/>
              </w:rPr>
              <w:t xml:space="preserve">2.01</w:t>
            </w:r>
          </w:p>
        </w:tc>
        <w:tc>
          <w:tcPr/>
          <w:p>
            <w:pPr>
              <w:pStyle w:val="Compact"/>
              <w:spacing w:before="0" w:after="0" w:line="240" w:lineRule="auto"/>
              <w:ind w:firstLine="0" w:left="0"/>
              <w:jc w:val="right"/>
            </w:pPr>
            <w:r>
              <w:rPr>
                <w:sz w:val="20"/>
                <w:szCs w:val="20"/>
              </w:rPr>
              <w:t xml:space="preserve">2.38</w:t>
            </w:r>
          </w:p>
        </w:tc>
      </w:tr>
      <w:tr>
        <w:tc>
          <w:tcPr/>
          <w:p>
            <w:pPr>
              <w:pStyle w:val="Compact"/>
              <w:spacing w:before="0" w:after="0" w:line="240" w:lineRule="auto"/>
              <w:ind w:firstLine="0" w:left="0"/>
              <w:jc w:val="left"/>
            </w:pPr>
            <w:r>
              <w:rPr>
                <w:sz w:val="20"/>
                <w:szCs w:val="20"/>
              </w:rPr>
              <w:t xml:space="preserve">Factor (AR + PCs)</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r>
      <w:tr>
        <w:tc>
          <w:tcPr/>
          <w:p>
            <w:pPr>
              <w:pStyle w:val="Compact"/>
              <w:spacing w:before="0" w:after="0" w:line="240" w:lineRule="auto"/>
              <w:ind w:firstLine="0" w:left="0"/>
              <w:jc w:val="left"/>
            </w:pPr>
            <w:r>
              <w:rPr>
                <w:sz w:val="20"/>
                <w:szCs w:val="20"/>
              </w:rPr>
              <w:t xml:space="preserve">Ridge</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1.12</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1.05</w:t>
            </w:r>
          </w:p>
        </w:tc>
        <w:tc>
          <w:tcPr/>
          <w:p>
            <w:pPr>
              <w:pStyle w:val="Compact"/>
              <w:spacing w:before="0" w:after="0" w:line="240" w:lineRule="auto"/>
              <w:ind w:firstLine="0" w:left="0"/>
              <w:jc w:val="right"/>
            </w:pPr>
            <w:r>
              <w:rPr>
                <w:sz w:val="20"/>
                <w:szCs w:val="20"/>
              </w:rPr>
              <w:t xml:space="preserve">1.08</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1.16</w:t>
            </w:r>
          </w:p>
        </w:tc>
        <w:tc>
          <w:tcPr/>
          <w:p>
            <w:pPr>
              <w:pStyle w:val="Compact"/>
              <w:spacing w:before="0" w:after="0" w:line="240" w:lineRule="auto"/>
              <w:ind w:firstLine="0" w:left="0"/>
              <w:jc w:val="right"/>
            </w:pPr>
            <w:r>
              <w:rPr>
                <w:sz w:val="20"/>
                <w:szCs w:val="20"/>
              </w:rPr>
              <w:t xml:space="preserve">1.13</w:t>
            </w:r>
          </w:p>
        </w:tc>
      </w:tr>
      <w:tr>
        <w:tc>
          <w:tcPr/>
          <w:p>
            <w:pPr>
              <w:pStyle w:val="Compact"/>
              <w:spacing w:before="0" w:after="0" w:line="240" w:lineRule="auto"/>
              <w:ind w:firstLine="0" w:left="0"/>
              <w:jc w:val="left"/>
            </w:pPr>
            <w:r>
              <w:rPr>
                <w:sz w:val="20"/>
                <w:szCs w:val="20"/>
              </w:rPr>
              <w:t xml:space="preserve">LASSO</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0.98</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1.01</w:t>
            </w:r>
          </w:p>
        </w:tc>
      </w:tr>
      <w:tr>
        <w:tc>
          <w:tcPr/>
          <w:p>
            <w:pPr>
              <w:pStyle w:val="Compact"/>
              <w:spacing w:before="0" w:after="0" w:line="240" w:lineRule="auto"/>
              <w:ind w:firstLine="0" w:left="0"/>
              <w:jc w:val="left"/>
            </w:pPr>
            <w:r>
              <w:rPr>
                <w:sz w:val="20"/>
                <w:szCs w:val="20"/>
              </w:rPr>
              <w:t xml:space="preserve">Adaptive LASSO</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0.98</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1.00</w:t>
            </w:r>
          </w:p>
        </w:tc>
      </w:tr>
      <w:tr>
        <w:tc>
          <w:tcPr/>
          <w:p>
            <w:pPr>
              <w:pStyle w:val="Compact"/>
              <w:spacing w:before="0" w:after="0" w:line="240" w:lineRule="auto"/>
              <w:ind w:firstLine="0" w:left="0"/>
              <w:jc w:val="left"/>
            </w:pPr>
            <w:r>
              <w:rPr>
                <w:sz w:val="20"/>
                <w:szCs w:val="20"/>
              </w:rPr>
              <w:t xml:space="preserve">Random forest</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0.94</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1.07</w:t>
            </w:r>
          </w:p>
        </w:tc>
      </w:tr>
      <w:tr>
        <w:tc>
          <w:tcPr/>
          <w:p>
            <w:pPr>
              <w:pStyle w:val="Compact"/>
              <w:spacing w:before="0" w:after="0" w:line="240" w:lineRule="auto"/>
              <w:ind w:firstLine="0" w:left="0"/>
              <w:jc w:val="left"/>
            </w:pPr>
            <w:r>
              <w:rPr>
                <w:sz w:val="20"/>
                <w:szCs w:val="20"/>
              </w:rPr>
              <w:t xml:space="preserve">Gradient boosting</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1.03</w:t>
            </w:r>
          </w:p>
        </w:tc>
        <w:tc>
          <w:tcPr/>
          <w:p>
            <w:pPr>
              <w:pStyle w:val="Compact"/>
              <w:spacing w:before="0" w:after="0" w:line="240" w:lineRule="auto"/>
              <w:ind w:firstLine="0" w:left="0"/>
              <w:jc w:val="right"/>
            </w:pPr>
            <w:r>
              <w:rPr>
                <w:sz w:val="20"/>
                <w:szCs w:val="20"/>
              </w:rPr>
              <w:t xml:space="preserve">1.07</w:t>
            </w:r>
          </w:p>
        </w:tc>
        <w:tc>
          <w:tcPr/>
          <w:p>
            <w:pPr>
              <w:pStyle w:val="Compact"/>
              <w:spacing w:before="0" w:after="0" w:line="240" w:lineRule="auto"/>
              <w:ind w:firstLine="0" w:left="0"/>
              <w:jc w:val="right"/>
            </w:pPr>
            <w:r>
              <w:rPr>
                <w:sz w:val="20"/>
                <w:szCs w:val="20"/>
              </w:rPr>
              <w:t xml:space="preserve">1.08</w:t>
            </w:r>
          </w:p>
        </w:tc>
        <w:tc>
          <w:tcPr/>
          <w:p>
            <w:pPr>
              <w:pStyle w:val="Compact"/>
              <w:spacing w:before="0" w:after="0" w:line="240" w:lineRule="auto"/>
              <w:ind w:firstLine="0" w:left="0"/>
              <w:jc w:val="right"/>
            </w:pPr>
            <w:r>
              <w:rPr>
                <w:sz w:val="20"/>
                <w:szCs w:val="20"/>
              </w:rPr>
              <w:t xml:space="preserve">1.04</w:t>
            </w:r>
          </w:p>
        </w:tc>
        <w:tc>
          <w:tcPr/>
          <w:p>
            <w:pPr>
              <w:pStyle w:val="Compact"/>
              <w:spacing w:before="0" w:after="0" w:line="240" w:lineRule="auto"/>
              <w:ind w:firstLine="0" w:left="0"/>
              <w:jc w:val="right"/>
            </w:pPr>
            <w:r>
              <w:rPr>
                <w:sz w:val="20"/>
                <w:szCs w:val="20"/>
              </w:rPr>
              <w:t xml:space="preserve">0.97</w:t>
            </w:r>
          </w:p>
        </w:tc>
        <w:tc>
          <w:tcPr/>
          <w:p>
            <w:pPr>
              <w:pStyle w:val="Compact"/>
              <w:spacing w:before="0" w:after="0" w:line="240" w:lineRule="auto"/>
              <w:ind w:firstLine="0" w:left="0"/>
              <w:jc w:val="right"/>
            </w:pPr>
            <w:r>
              <w:rPr>
                <w:sz w:val="20"/>
                <w:szCs w:val="20"/>
              </w:rPr>
              <w:t xml:space="preserve">1.04</w:t>
            </w:r>
          </w:p>
        </w:tc>
        <w:tc>
          <w:tcPr/>
          <w:p>
            <w:pPr>
              <w:pStyle w:val="Compact"/>
              <w:spacing w:before="0" w:after="0" w:line="240" w:lineRule="auto"/>
              <w:ind w:firstLine="0" w:left="0"/>
              <w:jc w:val="right"/>
            </w:pPr>
            <w:r>
              <w:rPr>
                <w:sz w:val="20"/>
                <w:szCs w:val="20"/>
              </w:rPr>
              <w:t xml:space="preserve">1.18</w:t>
            </w:r>
          </w:p>
        </w:tc>
      </w:tr>
      <w:tr>
        <w:tc>
          <w:tcPr/>
          <w:p>
            <w:pPr>
              <w:pStyle w:val="Compact"/>
              <w:spacing w:before="0" w:after="0" w:line="240" w:lineRule="auto"/>
              <w:ind w:firstLine="0" w:left="0"/>
              <w:jc w:val="left"/>
            </w:pPr>
            <w:r>
              <w:rPr>
                <w:sz w:val="20"/>
                <w:szCs w:val="20"/>
              </w:rPr>
              <w:t xml:space="preserve">ML combination</w:t>
            </w:r>
          </w:p>
        </w:tc>
        <w:tc>
          <w:tcPr/>
          <w:p>
            <w:pPr>
              <w:pStyle w:val="Compact"/>
              <w:spacing w:before="0" w:after="0" w:line="240" w:lineRule="auto"/>
              <w:ind w:firstLine="0" w:left="0"/>
              <w:jc w:val="right"/>
            </w:pPr>
            <w:r>
              <w:rPr>
                <w:sz w:val="20"/>
                <w:szCs w:val="20"/>
              </w:rPr>
              <w:t xml:space="preserve">0.98</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0.94</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1.04</w:t>
            </w:r>
          </w:p>
        </w:tc>
      </w:tr>
      <w:tr>
        <w:tc>
          <w:tcPr/>
          <w:p>
            <w:pPr>
              <w:pStyle w:val="Compact"/>
              <w:spacing w:before="0" w:after="0" w:line="240" w:lineRule="auto"/>
              <w:ind w:firstLine="0" w:left="0"/>
              <w:jc w:val="left"/>
            </w:pPr>
            <w:r>
              <w:rPr>
                <w:sz w:val="20"/>
                <w:szCs w:val="20"/>
              </w:rPr>
              <w:t xml:space="preserve">Months</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158</w:t>
            </w:r>
          </w:p>
        </w:tc>
        <w:tc>
          <w:tcPr/>
          <w:p>
            <w:pPr>
              <w:pStyle w:val="Compact"/>
              <w:spacing w:before="0" w:after="0" w:line="240" w:lineRule="auto"/>
              <w:ind w:firstLine="0" w:left="0"/>
              <w:jc w:val="right"/>
            </w:pPr>
            <w:r>
              <w:rPr>
                <w:sz w:val="20"/>
                <w:szCs w:val="20"/>
              </w:rPr>
              <w:t xml:space="preserve">92</w:t>
            </w:r>
          </w:p>
        </w:tc>
        <w:tc>
          <w:tcPr/>
          <w:p>
            <w:pPr>
              <w:pStyle w:val="Compact"/>
              <w:spacing w:before="0" w:after="0" w:line="240" w:lineRule="auto"/>
              <w:ind w:firstLine="0" w:left="0"/>
              <w:jc w:val="right"/>
            </w:pPr>
            <w:r>
              <w:rPr>
                <w:sz w:val="20"/>
                <w:szCs w:val="20"/>
              </w:rPr>
              <w:t xml:space="preserve">158</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158</w:t>
            </w:r>
          </w:p>
        </w:tc>
        <w:tc>
          <w:tcPr/>
          <w:p>
            <w:pPr>
              <w:pStyle w:val="Compact"/>
              <w:spacing w:before="0" w:after="0" w:line="240" w:lineRule="auto"/>
              <w:ind w:firstLine="0" w:left="0"/>
              <w:jc w:val="right"/>
            </w:pPr>
            <w:r>
              <w:rPr>
                <w:sz w:val="20"/>
                <w:szCs w:val="20"/>
              </w:rPr>
              <w:t xml:space="preserve">92</w:t>
            </w:r>
          </w:p>
        </w:tc>
        <w:tc>
          <w:tcPr/>
          <w:p>
            <w:pPr>
              <w:pStyle w:val="Compact"/>
              <w:spacing w:before="0" w:after="0" w:line="240" w:lineRule="auto"/>
              <w:ind w:firstLine="0" w:left="0"/>
              <w:jc w:val="right"/>
            </w:pPr>
            <w:r>
              <w:rPr>
                <w:sz w:val="20"/>
                <w:szCs w:val="20"/>
              </w:rPr>
              <w:t xml:space="preserve">158</w:t>
            </w:r>
          </w:p>
        </w:tc>
      </w:tr>
    </w:tbl>
    <w:p>
      <w:pPr>
        <w:pStyle w:val="TableNote"/>
      </w:pPr>
      <w:r>
        <w:rPr>
          <w:iCs/>
          <w:i/>
        </w:rPr>
        <w:t xml:space="preserve">Notes:</w:t>
      </w:r>
      <w:r>
        <w:t xml:space="preserve"> </w:t>
      </w:r>
      <w:r>
        <w:t xml:space="preserve">High-inflation months are target months in which year-on-year headline inflation exceeds 4%, the top of the BSP target band.</w:t>
      </w:r>
    </w:p>
    <w:bookmarkEnd w:id="30"/>
    <w:bookmarkEnd w:id="31"/>
    <w:bookmarkStart w:id="32" w:name="robustness"/>
    <w:p>
      <w:pPr>
        <w:pStyle w:val="Heading1"/>
      </w:pPr>
      <w:r>
        <w:rPr>
          <w:rStyle w:val="SectionNumber"/>
        </w:rPr>
        <w:t xml:space="preserve">6</w:t>
      </w:r>
      <w:r>
        <w:tab/>
      </w:r>
      <w:r>
        <w:t xml:space="preserve">Robustness</w:t>
      </w:r>
    </w:p>
    <w:p>
      <w:pPr>
        <w:pStyle w:val="FirstParagraph"/>
      </w:pPr>
      <w:r>
        <w:t xml:space="preserve">Figure 5 and Table A4 report the four decisive cases under each pre-registered robustness check. The checks are: an expanding window; a 96-month window; a 180-month window; targets up to December 2019 only; only world prices and money as predictors; a dummy for the January 2018 join; core inflation as the target. Across these seven checks, the lowest relative RMSE among the challengers ranges from 0.94 to 0.98, and 2 of the 196 Diebold–Mariano tests against the AR reject at 5%. Taken together, the checks leave the conclusion largely unchanged, with one qualification. With rolling windows, the best model in each check is at most about 3% more accurate than the AR, the same small and insignificant margin as in the main specification. A shorter (96-month) or longer (180-month) window does not help the data-rich models: more data per window does not turn the small gains into significant ones. Leaving out the pandemic and the 2022–23 surge (targets up to December 2019) does not change the picture either, so the null result is not an artefact of recent shocks. Using only world prices and money as predictors makes gradient boosting and the random forest worse at the one-year horizon (1.20 and 1.07), which confirms that the world-price block on its own adds noise. The January 2018 join dummy changes nothing.</w:t>
      </w:r>
    </w:p>
    <w:p>
      <w:pPr>
        <w:pStyle w:val="BodyText"/>
      </w:pPr>
      <w:r>
        <w:t xml:space="preserve">The qualification is the expanding window, which uses every month since 1994 at each origin and so gives the models the most data. One month ahead, the ML combination and gradient boosting are then about 5% more accurate than the AR (relative RMSEs of 0.95 and 0.94; one-sided DM p = 0.032 and 0.025). These are the only two of the 196 robustness tests that reject at 5%, and neither survives the Holm correction (p = 0.874 and 0.702). At the other three decisive cases the expanding-window ratios lie close to one. In this check, gradient boosting and the combination have the lowest one-month RMSEs of any model in any headline-inflation specification evaluated on the full sample (0.362 and 0.364, against 0.382 for the main AR). So more training data helps the flexible models a little at the shortest horizon, which supports the small-sample explanation in Section 7, but the gain is small and statistically fragile.</w:t>
      </w:r>
    </w:p>
    <w:p>
      <w:pPr>
        <w:pStyle w:val="BodyText"/>
      </w:pPr>
      <w:r>
        <w:t xml:space="preserve">A second partial exception is core inflation, which excludes the most volatile food and energy items. With core inflation as the target, the random forest and the ML combination have relative RMSEs of 0.95 and 0.95 one month ahead, and the combination reaches 0.94 for inflation over the next three months (one-sided DM p = 0.061). This is significant only at the 10% level, and not after the Holm correction (p = 1.000). We read it as weak evidence that the ML models find some signal once the hardest-to-predict supply shocks are removed from the target. That fits the explanation in Section 7: the obstacle is the unpredictability of food and energy shocks, not a lack of model flexibility.</w:t>
      </w:r>
    </w:p>
    <w:bookmarkEnd w:id="32"/>
    <w:bookmarkStart w:id="33" w:name="discussion-and-conclusion"/>
    <w:p>
      <w:pPr>
        <w:pStyle w:val="Heading1"/>
      </w:pPr>
      <w:r>
        <w:rPr>
          <w:rStyle w:val="SectionNumber"/>
        </w:rPr>
        <w:t xml:space="preserve">7</w:t>
      </w:r>
      <w:r>
        <w:tab/>
      </w:r>
      <w:r>
        <w:t xml:space="preserve">Discussion and conclusion</w:t>
      </w:r>
    </w:p>
    <w:p>
      <w:pPr>
        <w:pStyle w:val="FirstParagraph"/>
      </w:pPr>
      <w:r>
        <w:t xml:space="preserve">We asked whether the data-rich ML methods that beat the benchmarks for the United States also help forecast Philippine inflation. On 260 months of pseudo out-of-sample forecasts, with a pre-registered design and code that reproduces the US result, the answer is no. All the models comfortably beat the random walk. None beats a simple autoregression with month dummies, and the differences among the better models are small and statistically insignificant. This is the outcome predicted by H1b, not H1a.</w:t>
      </w:r>
    </w:p>
    <w:p>
      <w:pPr>
        <w:pStyle w:val="BodyText"/>
      </w:pPr>
      <w:r>
        <w:t xml:space="preserve">Why does the US result not carry over? We see three reasons, which the design lets us partly separate. First, the benchmark matters. Relative to the random walk used by</w:t>
      </w:r>
      <w:r>
        <w:t xml:space="preserve"> </w:t>
      </w:r>
      <w:r>
        <w:t xml:space="preserve">Medeiros et al. (</w:t>
      </w:r>
      <w:hyperlink w:anchor="ref-medeiros2021">
        <w:r>
          <w:rPr>
            <w:rStyle w:val="Hyperlink"/>
          </w:rPr>
          <w:t xml:space="preserve">2021</w:t>
        </w:r>
      </w:hyperlink>
      <w:r>
        <w:t xml:space="preserve">)</w:t>
      </w:r>
      <w:r>
        <w:t xml:space="preserve">, all our models look good (ratios of 0.78 and lower at</w:t>
      </w:r>
      <w:r>
        <w:t xml:space="preserve"> </w:t>
      </w:r>
      <m:oMath>
        <m:r>
          <m:t>h</m:t>
        </m:r>
        <m:r>
          <m:rPr>
            <m:sty m:val="p"/>
          </m:rPr>
          <m:t>=</m:t>
        </m:r>
        <m:r>
          <m:t>12</m:t>
        </m:r>
      </m:oMath>
      <w:r>
        <w:t xml:space="preserve">), which shows how much of the reported ML gain can come from a weak benchmark when inflation is noisy month to month. Second, the sample is short. A 120-month window gives about 120 observations for 383 features. With so few observations per feature, the flexible models fit noise (ridge and boosting) or shrink to the mean (LASSO). The 360-month windows available for the United States are not possible for an inflation-targeting regime that began in 2002. The expanding-window check supports this reading: with all the data since 1994, the ML combination gains about 5% on the AR one month ahead, the only marginally significant gain we find (Section 6). Third, and most importantly, Philippine inflation episodes are driven by supply shocks to rice, other food and oil that are themselves unpredictable a month or a year ahead. The predictors that carry signal are other prices that move at the same time as headline inflation, so they add little to its own history.</w:t>
      </w:r>
    </w:p>
    <w:p>
      <w:pPr>
        <w:pStyle w:val="BodyText"/>
      </w:pPr>
      <w:r>
        <w:t xml:space="preserve">For forecasting practice, the results suggest that the effort should go into better information on the shocks themselves, not into more flexible models of the same monthly price data. Examples are crop and import data for rice, futures prices for oil, and scheduled changes in administered prices and excise taxes. For the BSP’s communication, they suggest stating openly that year-ahead inflation forecasts carry wide uncertainty, which simple and complex models share. The ML combination does have one useful property: it reacts less to a single extreme month than the AR does, as in May 2026. This may make it a useful second opinion during a shock, which future work could evaluate with density forecasts.</w:t>
      </w:r>
    </w:p>
    <w:p>
      <w:pPr>
        <w:pStyle w:val="BodyText"/>
      </w:pPr>
      <w:r>
        <w:t xml:space="preserve">Several extensions follow naturally. They include real-time vintages, density and quantile (</w:t>
      </w:r>
      <w:r>
        <w:t xml:space="preserve">‘</w:t>
      </w:r>
      <w:r>
        <w:t xml:space="preserve">inflation at risk</w:t>
      </w:r>
      <w:r>
        <w:t xml:space="preserve">’</w:t>
      </w:r>
      <w:r>
        <w:t xml:space="preserve">) forecasts, and forecasting the components separately and combining them bottom-up. Another is a comparison with the BSP’s own published forecasts.</w:t>
      </w:r>
    </w:p>
    <w:p>
      <w:pPr>
        <w:pStyle w:val="BodyText"/>
      </w:pPr>
      <w:r>
        <w:rPr>
          <w:bCs/>
          <w:b/>
        </w:rPr>
        <w:t xml:space="preserve">Limitations.</w:t>
      </w:r>
      <w:r>
        <w:t xml:space="preserve"> </w:t>
      </w:r>
      <w:r>
        <w:t xml:space="preserve">We use final-vintage data. The CPI is rarely revised, but</w:t>
      </w:r>
      <w:r>
        <w:t xml:space="preserve"> </w:t>
      </w:r>
      <w:r>
        <w:t xml:space="preserve">the 2018 rebasing changed the index history, and the external series can be</w:t>
      </w:r>
      <w:r>
        <w:t xml:space="preserve"> </w:t>
      </w:r>
      <w:r>
        <w:t xml:space="preserve">revised. The evaluation sample is long for an emerging economy</w:t>
      </w:r>
      <w:r>
        <w:t xml:space="preserve"> </w:t>
      </w:r>
      <w:r>
        <w:t xml:space="preserve">(260 months) but contains only a handful of inflation episodes,</w:t>
      </w:r>
      <w:r>
        <w:t xml:space="preserve"> </w:t>
      </w:r>
      <w:r>
        <w:t xml:space="preserve">so the regime comparisons in RQ3 rest on few independent events. We fixed the</w:t>
      </w:r>
      <w:r>
        <w:t xml:space="preserve"> </w:t>
      </w:r>
      <w:r>
        <w:t xml:space="preserve">hyperparameters in advance instead of tuning them. This protects against</w:t>
      </w:r>
      <w:r>
        <w:t xml:space="preserve"> </w:t>
      </w:r>
      <w:r>
        <w:t xml:space="preserve">overfitting the evaluation sample, but it may understate what a carefully tuned</w:t>
      </w:r>
      <w:r>
        <w:t xml:space="preserve"> </w:t>
      </w:r>
      <w:r>
        <w:t xml:space="preserve">model could achieve. Finally, we do not compare with the BSP’s own published</w:t>
      </w:r>
      <w:r>
        <w:t xml:space="preserve"> </w:t>
      </w:r>
      <w:r>
        <w:t xml:space="preserve">forecasts, which are made on a quarterly schedule with information we do not</w:t>
      </w:r>
      <w:r>
        <w:t xml:space="preserve"> </w:t>
      </w:r>
      <w:r>
        <w:t xml:space="preserve">observe. The replication gate is qualitative. It checks that our code</w:t>
      </w:r>
      <w:r>
        <w:t xml:space="preserve"> </w:t>
      </w:r>
      <w:r>
        <w:t xml:space="preserve">reproduces the reference paper’s rankings and its random-forest advantage on US</w:t>
      </w:r>
      <w:r>
        <w:t xml:space="preserve"> </w:t>
      </w:r>
      <w:r>
        <w:t xml:space="preserve">data, not its exact numbers, which we could not access when the gate was</w:t>
      </w:r>
      <w:r>
        <w:t xml:space="preserve"> </w:t>
      </w:r>
      <w:r>
        <w:t xml:space="preserve">written.</w:t>
      </w:r>
    </w:p>
    <w:bookmarkEnd w:id="33"/>
    <w:bookmarkStart w:id="34" w:name="declarations"/>
    <w:p>
      <w:pPr>
        <w:pStyle w:val="Heading1"/>
      </w:pPr>
      <w:r>
        <w:t xml:space="preserve">Declarations</w:t>
      </w:r>
    </w:p>
    <w:p>
      <w:pPr>
        <w:pStyle w:val="FirstParagraph"/>
      </w:pPr>
      <w:r>
        <w:rPr>
          <w:bCs/>
          <w:b/>
        </w:rPr>
        <w:t xml:space="preserve">Funding.</w:t>
      </w:r>
      <w:r>
        <w:t xml:space="preserve"> </w:t>
      </w:r>
      <w:r>
        <w:t xml:space="preserve">None.</w:t>
      </w:r>
      <w:r>
        <w:t xml:space="preserve"> </w:t>
      </w:r>
      <w:r>
        <w:rPr>
          <w:bCs/>
          <w:b/>
        </w:rPr>
        <w:t xml:space="preserve">Competing interests.</w:t>
      </w:r>
      <w:r>
        <w:t xml:space="preserve"> </w:t>
      </w:r>
      <w:r>
        <w:t xml:space="preserve">None.</w:t>
      </w:r>
      <w:r>
        <w:t xml:space="preserve"> </w:t>
      </w:r>
      <w:r>
        <w:rPr>
          <w:bCs/>
          <w:b/>
        </w:rPr>
        <w:t xml:space="preserve">Data and code availability.</w:t>
      </w:r>
      <w:r>
        <w:t xml:space="preserve"> </w:t>
      </w:r>
      <w:r>
        <w:t xml:space="preserve">All data are public (PSA OpenSTAT, FRED, BIS). The raw downloads, the code that</w:t>
      </w:r>
      <w:r>
        <w:t xml:space="preserve"> </w:t>
      </w:r>
      <w:r>
        <w:t xml:space="preserve">rebuilds every number, table and figure from them, and the dated</w:t>
      </w:r>
      <w:r>
        <w:t xml:space="preserve"> </w:t>
      </w:r>
      <w:r>
        <w:t xml:space="preserve">pre-registration are in the replication package (</w:t>
      </w:r>
      <w:r>
        <w:rPr>
          <w:rStyle w:val="VerbatimChar"/>
        </w:rPr>
        <w:t xml:space="preserve">run_all.sh</w:t>
      </w:r>
      <w:r>
        <w:t xml:space="preserve">).</w:t>
      </w:r>
      <w:r>
        <w:t xml:space="preserve"> </w:t>
      </w:r>
      <w:r>
        <w:rPr>
          <w:bCs/>
          <w:b/>
        </w:rPr>
        <w:t xml:space="preserve">Pre-registration.</w:t>
      </w:r>
      <w:r>
        <w:t xml:space="preserve"> </w:t>
      </w:r>
      <w:r>
        <w:t xml:space="preserve">The design (research questions, models,</w:t>
      </w:r>
      <w:r>
        <w:t xml:space="preserve"> </w:t>
      </w:r>
      <w:r>
        <w:t xml:space="preserve">hyperparameters, evaluation sample, tests, robustness checks and the replication</w:t>
      </w:r>
      <w:r>
        <w:t xml:space="preserve"> </w:t>
      </w:r>
      <w:r>
        <w:t xml:space="preserve">gate) was committed before any estimate. Deviations are listed in Appendix B.</w:t>
      </w:r>
    </w:p>
    <w:bookmarkEnd w:id="34"/>
    <w:bookmarkStart w:id="73" w:name="references"/>
    <w:p>
      <w:pPr>
        <w:pStyle w:val="Heading1"/>
      </w:pPr>
      <w:r>
        <w:t xml:space="preserve">References</w:t>
      </w:r>
    </w:p>
    <w:bookmarkStart w:id="72" w:name="refs"/>
    <w:bookmarkStart w:id="36" w:name="ref-araujo2023"/>
    <w:p>
      <w:pPr>
        <w:pStyle w:val="Bibliography"/>
      </w:pPr>
      <w:r>
        <w:t xml:space="preserve">Araujo, Gustavo Silva, and Wagner Piazza Gaglianone. 2023.</w:t>
      </w:r>
      <w:r>
        <w:t xml:space="preserve"> </w:t>
      </w:r>
      <w:r>
        <w:t xml:space="preserve">“Machine Learning Methods for Inflation Forecasting in</w:t>
      </w:r>
      <w:r>
        <w:t xml:space="preserve"> </w:t>
      </w:r>
      <w:r>
        <w:t xml:space="preserve">Brazil</w:t>
      </w:r>
      <w:r>
        <w:t xml:space="preserve">: New Contenders Versus Classical Models.”</w:t>
      </w:r>
      <w:r>
        <w:t xml:space="preserve"> </w:t>
      </w:r>
      <w:r>
        <w:rPr>
          <w:iCs/>
          <w:i/>
        </w:rPr>
        <w:t xml:space="preserve">Latin American Journal of Central Banking</w:t>
      </w:r>
      <w:r>
        <w:t xml:space="preserve"> </w:t>
      </w:r>
      <w:r>
        <w:t xml:space="preserve">4 (2): 100087.</w:t>
      </w:r>
      <w:r>
        <w:t xml:space="preserve"> </w:t>
      </w:r>
      <w:hyperlink r:id="rId35">
        <w:r>
          <w:rPr>
            <w:rStyle w:val="Hyperlink"/>
          </w:rPr>
          <w:t xml:space="preserve">https://doi.org/10.1016/j.latcb.2023.100087</w:t>
        </w:r>
      </w:hyperlink>
      <w:r>
        <w:t xml:space="preserve">.</w:t>
      </w:r>
    </w:p>
    <w:bookmarkEnd w:id="36"/>
    <w:bookmarkStart w:id="38" w:name="ref-atkeson2001"/>
    <w:p>
      <w:pPr>
        <w:pStyle w:val="Bibliography"/>
      </w:pPr>
      <w:r>
        <w:t xml:space="preserve">Atkeson, Andrew, and Lee E. Ohanian. 2001.</w:t>
      </w:r>
      <w:r>
        <w:t xml:space="preserve"> </w:t>
      </w:r>
      <w:r>
        <w:t xml:space="preserve">“Are</w:t>
      </w:r>
      <w:r>
        <w:t xml:space="preserve"> </w:t>
      </w:r>
      <w:r>
        <w:t xml:space="preserve">Phillips</w:t>
      </w:r>
      <w:r>
        <w:t xml:space="preserve"> </w:t>
      </w:r>
      <w:r>
        <w:t xml:space="preserve">Curves Useful for Forecasting Inflation?”</w:t>
      </w:r>
      <w:r>
        <w:t xml:space="preserve"> </w:t>
      </w:r>
      <w:r>
        <w:rPr>
          <w:iCs/>
          <w:i/>
        </w:rPr>
        <w:t xml:space="preserve">Federal Reserve Bank of Minneapolis Quarterly Review</w:t>
      </w:r>
      <w:r>
        <w:t xml:space="preserve"> </w:t>
      </w:r>
      <w:r>
        <w:t xml:space="preserve">25 (1).</w:t>
      </w:r>
      <w:r>
        <w:t xml:space="preserve"> </w:t>
      </w:r>
      <w:hyperlink r:id="rId37">
        <w:r>
          <w:rPr>
            <w:rStyle w:val="Hyperlink"/>
          </w:rPr>
          <w:t xml:space="preserve">https://doi.org/10.21034/qr.2511</w:t>
        </w:r>
      </w:hyperlink>
      <w:r>
        <w:t xml:space="preserve">.</w:t>
      </w:r>
    </w:p>
    <w:bookmarkEnd w:id="38"/>
    <w:bookmarkStart w:id="40" w:name="ref-breiman2001"/>
    <w:p>
      <w:pPr>
        <w:pStyle w:val="Bibliography"/>
      </w:pPr>
      <w:r>
        <w:t xml:space="preserve">Breiman, Leo. 2001.</w:t>
      </w:r>
      <w:r>
        <w:t xml:space="preserve"> </w:t>
      </w:r>
      <w:r>
        <w:t xml:space="preserve">“Random Forests.”</w:t>
      </w:r>
      <w:r>
        <w:t xml:space="preserve"> </w:t>
      </w:r>
      <w:r>
        <w:rPr>
          <w:iCs/>
          <w:i/>
        </w:rPr>
        <w:t xml:space="preserve">Machine Learning</w:t>
      </w:r>
      <w:r>
        <w:t xml:space="preserve"> </w:t>
      </w:r>
      <w:r>
        <w:t xml:space="preserve">45 (1): 5–32.</w:t>
      </w:r>
      <w:r>
        <w:t xml:space="preserve"> </w:t>
      </w:r>
      <w:hyperlink r:id="rId39">
        <w:r>
          <w:rPr>
            <w:rStyle w:val="Hyperlink"/>
          </w:rPr>
          <w:t xml:space="preserve">https://doi.org/10.1023/a:1010933404324</w:t>
        </w:r>
      </w:hyperlink>
      <w:r>
        <w:t xml:space="preserve">.</w:t>
      </w:r>
    </w:p>
    <w:bookmarkEnd w:id="40"/>
    <w:bookmarkStart w:id="42" w:name="ref-diebold1995"/>
    <w:p>
      <w:pPr>
        <w:pStyle w:val="Bibliography"/>
      </w:pPr>
      <w:r>
        <w:t xml:space="preserve">Diebold, Francis X., and Roberto S. Mariano. 1995.</w:t>
      </w:r>
      <w:r>
        <w:t xml:space="preserve"> </w:t>
      </w:r>
      <w:r>
        <w:t xml:space="preserve">“Comparing Predictive Accuracy.”</w:t>
      </w:r>
      <w:r>
        <w:t xml:space="preserve"> </w:t>
      </w:r>
      <w:r>
        <w:rPr>
          <w:iCs/>
          <w:i/>
        </w:rPr>
        <w:t xml:space="preserve">Journal of Business &amp; Economic Statistics</w:t>
      </w:r>
      <w:r>
        <w:t xml:space="preserve"> </w:t>
      </w:r>
      <w:r>
        <w:t xml:space="preserve">13 (3): 253–63.</w:t>
      </w:r>
      <w:r>
        <w:t xml:space="preserve"> </w:t>
      </w:r>
      <w:hyperlink r:id="rId41">
        <w:r>
          <w:rPr>
            <w:rStyle w:val="Hyperlink"/>
          </w:rPr>
          <w:t xml:space="preserve">https://doi.org/10.1080/07350015.1995.10524599</w:t>
        </w:r>
      </w:hyperlink>
      <w:r>
        <w:t xml:space="preserve">.</w:t>
      </w:r>
    </w:p>
    <w:bookmarkEnd w:id="42"/>
    <w:bookmarkStart w:id="44" w:name="ref-faust2013"/>
    <w:p>
      <w:pPr>
        <w:pStyle w:val="Bibliography"/>
      </w:pPr>
      <w:r>
        <w:t xml:space="preserve">Faust, Jon, and Jonathan H. Wright. 2013.</w:t>
      </w:r>
      <w:r>
        <w:t xml:space="preserve"> </w:t>
      </w:r>
      <w:r>
        <w:t xml:space="preserve">“Forecasting Inflation.”</w:t>
      </w:r>
      <w:r>
        <w:t xml:space="preserve"> </w:t>
      </w:r>
      <w:r>
        <w:t xml:space="preserve">In</w:t>
      </w:r>
      <w:r>
        <w:t xml:space="preserve"> </w:t>
      </w:r>
      <w:r>
        <w:rPr>
          <w:iCs/>
          <w:i/>
        </w:rPr>
        <w:t xml:space="preserve">Handbook of Economic Forecasting</w:t>
      </w:r>
      <w:r>
        <w:t xml:space="preserve">, 2A:2–56. Elsevier.</w:t>
      </w:r>
      <w:r>
        <w:t xml:space="preserve"> </w:t>
      </w:r>
      <w:hyperlink r:id="rId43">
        <w:r>
          <w:rPr>
            <w:rStyle w:val="Hyperlink"/>
          </w:rPr>
          <w:t xml:space="preserve">https://doi.org/10.1016/b978-0-444-53683-9.00001-3</w:t>
        </w:r>
      </w:hyperlink>
      <w:r>
        <w:t xml:space="preserve">.</w:t>
      </w:r>
    </w:p>
    <w:bookmarkEnd w:id="44"/>
    <w:bookmarkStart w:id="46" w:name="ref-garcia2017"/>
    <w:p>
      <w:pPr>
        <w:pStyle w:val="Bibliography"/>
      </w:pPr>
      <w:r>
        <w:t xml:space="preserve">Garcia, Márcio G. P., Marcelo C. Medeiros, and Gabriel F. R. Vasconcelos. 2017.</w:t>
      </w:r>
      <w:r>
        <w:t xml:space="preserve"> </w:t>
      </w:r>
      <w:r>
        <w:t xml:space="preserve">“Real-Time Inflation Forecasting with High-Dimensional Models: The Case of</w:t>
      </w:r>
      <w:r>
        <w:t xml:space="preserve"> </w:t>
      </w:r>
      <w:r>
        <w:t xml:space="preserve">Brazil</w:t>
      </w:r>
      <w:r>
        <w:t xml:space="preserve">.”</w:t>
      </w:r>
      <w:r>
        <w:t xml:space="preserve"> </w:t>
      </w:r>
      <w:r>
        <w:rPr>
          <w:iCs/>
          <w:i/>
        </w:rPr>
        <w:t xml:space="preserve">International Journal of Forecasting</w:t>
      </w:r>
      <w:r>
        <w:t xml:space="preserve"> </w:t>
      </w:r>
      <w:r>
        <w:t xml:space="preserve">33 (3): 679–93.</w:t>
      </w:r>
      <w:r>
        <w:t xml:space="preserve"> </w:t>
      </w:r>
      <w:hyperlink r:id="rId45">
        <w:r>
          <w:rPr>
            <w:rStyle w:val="Hyperlink"/>
          </w:rPr>
          <w:t xml:space="preserve">https://doi.org/10.1016/j.ijforecast.2017.02.002</w:t>
        </w:r>
      </w:hyperlink>
      <w:r>
        <w:t xml:space="preserve">.</w:t>
      </w:r>
    </w:p>
    <w:bookmarkEnd w:id="46"/>
    <w:bookmarkStart w:id="48" w:name="ref-giacomini2010"/>
    <w:p>
      <w:pPr>
        <w:pStyle w:val="Bibliography"/>
      </w:pPr>
      <w:r>
        <w:t xml:space="preserve">Giacomini, Raffaella, and Barbara Rossi. 2010.</w:t>
      </w:r>
      <w:r>
        <w:t xml:space="preserve"> </w:t>
      </w:r>
      <w:r>
        <w:t xml:space="preserve">“Forecast Comparisons in Unstable Environments.”</w:t>
      </w:r>
      <w:r>
        <w:t xml:space="preserve"> </w:t>
      </w:r>
      <w:r>
        <w:rPr>
          <w:iCs/>
          <w:i/>
        </w:rPr>
        <w:t xml:space="preserve">Journal of Applied Econometrics</w:t>
      </w:r>
      <w:r>
        <w:t xml:space="preserve"> </w:t>
      </w:r>
      <w:r>
        <w:t xml:space="preserve">25 (4): 595–620.</w:t>
      </w:r>
      <w:r>
        <w:t xml:space="preserve"> </w:t>
      </w:r>
      <w:hyperlink r:id="rId47">
        <w:r>
          <w:rPr>
            <w:rStyle w:val="Hyperlink"/>
          </w:rPr>
          <w:t xml:space="preserve">https://doi.org/10.1002/jae.1177</w:t>
        </w:r>
      </w:hyperlink>
      <w:r>
        <w:t xml:space="preserve">.</w:t>
      </w:r>
    </w:p>
    <w:bookmarkEnd w:id="48"/>
    <w:bookmarkStart w:id="50" w:name="ref-gouletcoulombe2022"/>
    <w:p>
      <w:pPr>
        <w:pStyle w:val="Bibliography"/>
      </w:pPr>
      <w:r>
        <w:t xml:space="preserve">Goulet Coulombe, Philippe, Maxime Leroux, Dalibor Stevanovic, and Stéphane Surprenant. 2022.</w:t>
      </w:r>
      <w:r>
        <w:t xml:space="preserve"> </w:t>
      </w:r>
      <w:r>
        <w:t xml:space="preserve">“How Is Machine Learning Useful for Macroeconomic Forecasting?”</w:t>
      </w:r>
      <w:r>
        <w:t xml:space="preserve"> </w:t>
      </w:r>
      <w:r>
        <w:rPr>
          <w:iCs/>
          <w:i/>
        </w:rPr>
        <w:t xml:space="preserve">Journal of Applied Econometrics</w:t>
      </w:r>
      <w:r>
        <w:t xml:space="preserve"> </w:t>
      </w:r>
      <w:r>
        <w:t xml:space="preserve">37 (5): 920–64.</w:t>
      </w:r>
      <w:r>
        <w:t xml:space="preserve"> </w:t>
      </w:r>
      <w:hyperlink r:id="rId49">
        <w:r>
          <w:rPr>
            <w:rStyle w:val="Hyperlink"/>
          </w:rPr>
          <w:t xml:space="preserve">https://doi.org/10.1002/jae.2910</w:t>
        </w:r>
      </w:hyperlink>
      <w:r>
        <w:t xml:space="preserve">.</w:t>
      </w:r>
    </w:p>
    <w:bookmarkEnd w:id="50"/>
    <w:bookmarkStart w:id="52" w:name="ref-hansen2011"/>
    <w:p>
      <w:pPr>
        <w:pStyle w:val="Bibliography"/>
      </w:pPr>
      <w:r>
        <w:t xml:space="preserve">Hansen, Peter R., Asger Lunde, and James M. Nason. 2011.</w:t>
      </w:r>
      <w:r>
        <w:t xml:space="preserve"> </w:t>
      </w:r>
      <w:r>
        <w:t xml:space="preserve">“The Model Confidence Set.”</w:t>
      </w:r>
      <w:r>
        <w:t xml:space="preserve"> </w:t>
      </w:r>
      <w:r>
        <w:rPr>
          <w:iCs/>
          <w:i/>
        </w:rPr>
        <w:t xml:space="preserve">Econometrica</w:t>
      </w:r>
      <w:r>
        <w:t xml:space="preserve"> </w:t>
      </w:r>
      <w:r>
        <w:t xml:space="preserve">79 (2): 453–97.</w:t>
      </w:r>
      <w:r>
        <w:t xml:space="preserve"> </w:t>
      </w:r>
      <w:hyperlink r:id="rId51">
        <w:r>
          <w:rPr>
            <w:rStyle w:val="Hyperlink"/>
          </w:rPr>
          <w:t xml:space="preserve">https://doi.org/10.3982/ecta5771</w:t>
        </w:r>
      </w:hyperlink>
      <w:r>
        <w:t xml:space="preserve">.</w:t>
      </w:r>
    </w:p>
    <w:bookmarkEnd w:id="52"/>
    <w:bookmarkStart w:id="54" w:name="ref-harvey1997"/>
    <w:p>
      <w:pPr>
        <w:pStyle w:val="Bibliography"/>
      </w:pPr>
      <w:r>
        <w:t xml:space="preserve">Harvey, David, Stephen Leybourne, and Paul Newbold. 1997.</w:t>
      </w:r>
      <w:r>
        <w:t xml:space="preserve"> </w:t>
      </w:r>
      <w:r>
        <w:t xml:space="preserve">“Testing the Equality of Prediction Mean Squared Errors.”</w:t>
      </w:r>
      <w:r>
        <w:t xml:space="preserve"> </w:t>
      </w:r>
      <w:r>
        <w:rPr>
          <w:iCs/>
          <w:i/>
        </w:rPr>
        <w:t xml:space="preserve">International Journal of Forecasting</w:t>
      </w:r>
      <w:r>
        <w:t xml:space="preserve"> </w:t>
      </w:r>
      <w:r>
        <w:t xml:space="preserve">13 (2): 281–91.</w:t>
      </w:r>
      <w:r>
        <w:t xml:space="preserve"> </w:t>
      </w:r>
      <w:hyperlink r:id="rId53">
        <w:r>
          <w:rPr>
            <w:rStyle w:val="Hyperlink"/>
          </w:rPr>
          <w:t xml:space="preserve">https://doi.org/10.1016/s0169-2070(96)00719-4</w:t>
        </w:r>
      </w:hyperlink>
      <w:r>
        <w:t xml:space="preserve">.</w:t>
      </w:r>
    </w:p>
    <w:bookmarkEnd w:id="54"/>
    <w:bookmarkStart w:id="56" w:name="ref-hoerl1970"/>
    <w:p>
      <w:pPr>
        <w:pStyle w:val="Bibliography"/>
      </w:pPr>
      <w:r>
        <w:t xml:space="preserve">Hoerl, Arthur E., and Robert W. Kennard. 1970.</w:t>
      </w:r>
      <w:r>
        <w:t xml:space="preserve"> </w:t>
      </w:r>
      <w:r>
        <w:t xml:space="preserve">“Ridge Regression: Biased Estimation for Nonorthogonal Problems.”</w:t>
      </w:r>
      <w:r>
        <w:t xml:space="preserve"> </w:t>
      </w:r>
      <w:r>
        <w:rPr>
          <w:iCs/>
          <w:i/>
        </w:rPr>
        <w:t xml:space="preserve">Technometrics</w:t>
      </w:r>
      <w:r>
        <w:t xml:space="preserve"> </w:t>
      </w:r>
      <w:r>
        <w:t xml:space="preserve">12 (1): 55–67.</w:t>
      </w:r>
      <w:r>
        <w:t xml:space="preserve"> </w:t>
      </w:r>
      <w:hyperlink r:id="rId55">
        <w:r>
          <w:rPr>
            <w:rStyle w:val="Hyperlink"/>
          </w:rPr>
          <w:t xml:space="preserve">https://doi.org/10.1080/00401706.1970.10488634</w:t>
        </w:r>
      </w:hyperlink>
      <w:r>
        <w:t xml:space="preserve">.</w:t>
      </w:r>
    </w:p>
    <w:bookmarkEnd w:id="56"/>
    <w:bookmarkStart w:id="57" w:name="ref-ke2017"/>
    <w:p>
      <w:pPr>
        <w:pStyle w:val="Bibliography"/>
      </w:pPr>
      <w:r>
        <w:t xml:space="preserve">Ke, Guolin, Qi Meng, Thomas Finley, Taifeng Wang, Wei Chen, Weidong Ma, Qiwei Ye, and Tie-Yan Liu. 2017.</w:t>
      </w:r>
      <w:r>
        <w:t xml:space="preserve"> </w:t>
      </w:r>
      <w:r>
        <w:t xml:space="preserve">“</w:t>
      </w:r>
      <w:r>
        <w:t xml:space="preserve">LightGBM</w:t>
      </w:r>
      <w:r>
        <w:t xml:space="preserve">: A Highly Efficient Gradient Boosting Decision Tree.”</w:t>
      </w:r>
      <w:r>
        <w:t xml:space="preserve"> </w:t>
      </w:r>
      <w:r>
        <w:t xml:space="preserve">In</w:t>
      </w:r>
      <w:r>
        <w:t xml:space="preserve"> </w:t>
      </w:r>
      <w:r>
        <w:rPr>
          <w:iCs/>
          <w:i/>
        </w:rPr>
        <w:t xml:space="preserve">Advances in Neural Information Processing Systems 30</w:t>
      </w:r>
      <w:r>
        <w:t xml:space="preserve">.</w:t>
      </w:r>
    </w:p>
    <w:bookmarkEnd w:id="57"/>
    <w:bookmarkStart w:id="59" w:name="ref-mccracken2016"/>
    <w:p>
      <w:pPr>
        <w:pStyle w:val="Bibliography"/>
      </w:pPr>
      <w:r>
        <w:t xml:space="preserve">McCracken, Michael W., and Serena Ng. 2016.</w:t>
      </w:r>
      <w:r>
        <w:t xml:space="preserve"> </w:t>
      </w:r>
      <w:r>
        <w:t xml:space="preserve">“</w:t>
      </w:r>
      <w:r>
        <w:t xml:space="preserve">FRED-MD</w:t>
      </w:r>
      <w:r>
        <w:t xml:space="preserve">: A Monthly Database for Macroeconomic Research.”</w:t>
      </w:r>
      <w:r>
        <w:t xml:space="preserve"> </w:t>
      </w:r>
      <w:r>
        <w:rPr>
          <w:iCs/>
          <w:i/>
        </w:rPr>
        <w:t xml:space="preserve">Journal of Business &amp; Economic Statistics</w:t>
      </w:r>
      <w:r>
        <w:t xml:space="preserve"> </w:t>
      </w:r>
      <w:r>
        <w:t xml:space="preserve">34 (4): 574–89.</w:t>
      </w:r>
      <w:r>
        <w:t xml:space="preserve"> </w:t>
      </w:r>
      <w:hyperlink r:id="rId58">
        <w:r>
          <w:rPr>
            <w:rStyle w:val="Hyperlink"/>
          </w:rPr>
          <w:t xml:space="preserve">https://doi.org/10.1080/07350015.2015.1086655</w:t>
        </w:r>
      </w:hyperlink>
      <w:r>
        <w:t xml:space="preserve">.</w:t>
      </w:r>
    </w:p>
    <w:bookmarkEnd w:id="59"/>
    <w:bookmarkStart w:id="61" w:name="ref-medeiros2021"/>
    <w:p>
      <w:pPr>
        <w:pStyle w:val="Bibliography"/>
      </w:pPr>
      <w:r>
        <w:t xml:space="preserve">Medeiros, Marcelo C., Gabriel F. R. Vasconcelos, Álvaro Veiga, and Eduardo Zilberman. 2021.</w:t>
      </w:r>
      <w:r>
        <w:t xml:space="preserve"> </w:t>
      </w:r>
      <w:r>
        <w:t xml:space="preserve">“Forecasting Inflation in a Data-Rich Environment: The Benefits of Machine Learning Methods.”</w:t>
      </w:r>
      <w:r>
        <w:t xml:space="preserve"> </w:t>
      </w:r>
      <w:r>
        <w:rPr>
          <w:iCs/>
          <w:i/>
        </w:rPr>
        <w:t xml:space="preserve">Journal of Business &amp; Economic Statistics</w:t>
      </w:r>
      <w:r>
        <w:t xml:space="preserve"> </w:t>
      </w:r>
      <w:r>
        <w:t xml:space="preserve">39 (1): 98–119.</w:t>
      </w:r>
      <w:r>
        <w:t xml:space="preserve"> </w:t>
      </w:r>
      <w:hyperlink r:id="rId60">
        <w:r>
          <w:rPr>
            <w:rStyle w:val="Hyperlink"/>
          </w:rPr>
          <w:t xml:space="preserve">https://doi.org/10.1080/07350015.2019.1637745</w:t>
        </w:r>
      </w:hyperlink>
      <w:r>
        <w:t xml:space="preserve">.</w:t>
      </w:r>
    </w:p>
    <w:bookmarkEnd w:id="61"/>
    <w:bookmarkStart w:id="63" w:name="ref-stock2002"/>
    <w:p>
      <w:pPr>
        <w:pStyle w:val="Bibliography"/>
      </w:pPr>
      <w:r>
        <w:t xml:space="preserve">Stock, James H., and Mark W. Watson. 2002.</w:t>
      </w:r>
      <w:r>
        <w:t xml:space="preserve"> </w:t>
      </w:r>
      <w:r>
        <w:t xml:space="preserve">“Macroeconomic Forecasting Using Diffusion Indexes.”</w:t>
      </w:r>
      <w:r>
        <w:t xml:space="preserve"> </w:t>
      </w:r>
      <w:r>
        <w:rPr>
          <w:iCs/>
          <w:i/>
        </w:rPr>
        <w:t xml:space="preserve">Journal of Business &amp; Economic Statistics</w:t>
      </w:r>
      <w:r>
        <w:t xml:space="preserve"> </w:t>
      </w:r>
      <w:r>
        <w:t xml:space="preserve">20 (2): 147–62.</w:t>
      </w:r>
      <w:r>
        <w:t xml:space="preserve"> </w:t>
      </w:r>
      <w:hyperlink r:id="rId62">
        <w:r>
          <w:rPr>
            <w:rStyle w:val="Hyperlink"/>
          </w:rPr>
          <w:t xml:space="preserve">https://doi.org/10.1198/073500102317351921</w:t>
        </w:r>
      </w:hyperlink>
      <w:r>
        <w:t xml:space="preserve">.</w:t>
      </w:r>
    </w:p>
    <w:bookmarkEnd w:id="63"/>
    <w:bookmarkStart w:id="65" w:name="ref-stock2007"/>
    <w:p>
      <w:pPr>
        <w:pStyle w:val="Bibliography"/>
      </w:pPr>
      <w:r>
        <w:t xml:space="preserve">———. 2007.</w:t>
      </w:r>
      <w:r>
        <w:t xml:space="preserve"> </w:t>
      </w:r>
      <w:r>
        <w:t xml:space="preserve">“Why Has</w:t>
      </w:r>
      <w:r>
        <w:t xml:space="preserve"> </w:t>
      </w:r>
      <w:r>
        <w:t xml:space="preserve">U.S.</w:t>
      </w:r>
      <w:r>
        <w:t xml:space="preserve"> </w:t>
      </w:r>
      <w:r>
        <w:t xml:space="preserve">Inflation Become Harder to Forecast?”</w:t>
      </w:r>
      <w:r>
        <w:t xml:space="preserve"> </w:t>
      </w:r>
      <w:r>
        <w:rPr>
          <w:iCs/>
          <w:i/>
        </w:rPr>
        <w:t xml:space="preserve">Journal of Money, Credit and Banking</w:t>
      </w:r>
      <w:r>
        <w:t xml:space="preserve"> </w:t>
      </w:r>
      <w:r>
        <w:t xml:space="preserve">39: 3–33.</w:t>
      </w:r>
      <w:r>
        <w:t xml:space="preserve"> </w:t>
      </w:r>
      <w:hyperlink r:id="rId64">
        <w:r>
          <w:rPr>
            <w:rStyle w:val="Hyperlink"/>
          </w:rPr>
          <w:t xml:space="preserve">https://doi.org/10.1111/j.1538-4616.2007.00014.x</w:t>
        </w:r>
      </w:hyperlink>
      <w:r>
        <w:t xml:space="preserve">.</w:t>
      </w:r>
    </w:p>
    <w:bookmarkEnd w:id="65"/>
    <w:bookmarkStart w:id="67" w:name="ref-tibshirani1996"/>
    <w:p>
      <w:pPr>
        <w:pStyle w:val="Bibliography"/>
      </w:pPr>
      <w:r>
        <w:t xml:space="preserve">Tibshirani, Robert. 1996.</w:t>
      </w:r>
      <w:r>
        <w:t xml:space="preserve"> </w:t>
      </w:r>
      <w:r>
        <w:t xml:space="preserve">“Regression Shrinkage and Selection via the Lasso.”</w:t>
      </w:r>
      <w:r>
        <w:t xml:space="preserve"> </w:t>
      </w:r>
      <w:r>
        <w:rPr>
          <w:iCs/>
          <w:i/>
        </w:rPr>
        <w:t xml:space="preserve">Journal of the Royal Statistical Society: Series B (Methodological)</w:t>
      </w:r>
      <w:r>
        <w:t xml:space="preserve"> </w:t>
      </w:r>
      <w:r>
        <w:t xml:space="preserve">58 (1): 267–88.</w:t>
      </w:r>
      <w:r>
        <w:t xml:space="preserve"> </w:t>
      </w:r>
      <w:hyperlink r:id="rId66">
        <w:r>
          <w:rPr>
            <w:rStyle w:val="Hyperlink"/>
          </w:rPr>
          <w:t xml:space="preserve">https://doi.org/10.1111/j.2517-6161.1996.tb02080.x</w:t>
        </w:r>
      </w:hyperlink>
      <w:r>
        <w:t xml:space="preserve">.</w:t>
      </w:r>
    </w:p>
    <w:bookmarkEnd w:id="67"/>
    <w:bookmarkStart w:id="69" w:name="ref-timmermann2006"/>
    <w:p>
      <w:pPr>
        <w:pStyle w:val="Bibliography"/>
      </w:pPr>
      <w:r>
        <w:t xml:space="preserve">Timmermann, Allan. 2006.</w:t>
      </w:r>
      <w:r>
        <w:t xml:space="preserve"> </w:t>
      </w:r>
      <w:r>
        <w:t xml:space="preserve">“Forecast Combinations.”</w:t>
      </w:r>
      <w:r>
        <w:t xml:space="preserve"> </w:t>
      </w:r>
      <w:r>
        <w:t xml:space="preserve">In</w:t>
      </w:r>
      <w:r>
        <w:t xml:space="preserve"> </w:t>
      </w:r>
      <w:r>
        <w:rPr>
          <w:iCs/>
          <w:i/>
        </w:rPr>
        <w:t xml:space="preserve">Handbook of Economic Forecasting</w:t>
      </w:r>
      <w:r>
        <w:t xml:space="preserve">, 1:135–96. Elsevier.</w:t>
      </w:r>
      <w:r>
        <w:t xml:space="preserve"> </w:t>
      </w:r>
      <w:hyperlink r:id="rId68">
        <w:r>
          <w:rPr>
            <w:rStyle w:val="Hyperlink"/>
          </w:rPr>
          <w:t xml:space="preserve">https://doi.org/10.1016/s1574-0706(05)01004-9</w:t>
        </w:r>
      </w:hyperlink>
      <w:r>
        <w:t xml:space="preserve">.</w:t>
      </w:r>
    </w:p>
    <w:bookmarkEnd w:id="69"/>
    <w:bookmarkStart w:id="71" w:name="ref-zou2006"/>
    <w:p>
      <w:pPr>
        <w:pStyle w:val="Bibliography"/>
      </w:pPr>
      <w:r>
        <w:t xml:space="preserve">Zou, Hui. 2006.</w:t>
      </w:r>
      <w:r>
        <w:t xml:space="preserve"> </w:t>
      </w:r>
      <w:r>
        <w:t xml:space="preserve">“The Adaptive Lasso and Its Oracle Properties.”</w:t>
      </w:r>
      <w:r>
        <w:t xml:space="preserve"> </w:t>
      </w:r>
      <w:r>
        <w:rPr>
          <w:iCs/>
          <w:i/>
        </w:rPr>
        <w:t xml:space="preserve">Journal of the American Statistical Association</w:t>
      </w:r>
      <w:r>
        <w:t xml:space="preserve"> </w:t>
      </w:r>
      <w:r>
        <w:t xml:space="preserve">101 (476): 1418–29.</w:t>
      </w:r>
      <w:r>
        <w:t xml:space="preserve"> </w:t>
      </w:r>
      <w:hyperlink r:id="rId70">
        <w:r>
          <w:rPr>
            <w:rStyle w:val="Hyperlink"/>
          </w:rPr>
          <w:t xml:space="preserve">https://doi.org/10.1198/016214506000000735</w:t>
        </w:r>
      </w:hyperlink>
      <w:r>
        <w:t xml:space="preserve">.</w:t>
      </w:r>
    </w:p>
    <w:bookmarkEnd w:id="71"/>
    <w:bookmarkEnd w:id="72"/>
    <w:bookmarkEnd w:id="73"/>
    <w:bookmarkStart w:id="74" w:name="Xd9f838a98d80337debf95147f33be641ecd11b8"/>
    <w:p>
      <w:pPr>
        <w:pStyle w:val="Heading1"/>
      </w:pPr>
      <w:r>
        <w:t xml:space="preserve">Appendix A. Hyperparameters and implementation</w:t>
      </w:r>
    </w:p>
    <w:p>
      <w:pPr>
        <w:pStyle w:val="TableCaption"/>
      </w:pPr>
      <w:r>
        <w:t xml:space="preserve">Table A1. Model settings (fixed before estimation)</w:t>
      </w:r>
    </w:p>
    <w:tbl>
      <w:tblPr>
        <w:tblStyle w:val="Table"/>
        <w:tblW w:type="pct" w:w="5000"/>
        <w:tblBorders>
          <w:top w:val="single" w:sz="12" w:space="0" w:color="000000"/>
          <w:left w:val="nil"/>
          <w:bottom w:val="single" w:sz="12" w:space="0" w:color="000000"/>
          <w:right w:val="nil"/>
          <w:insideH w:val="nil"/>
          <w:insideV w:val="nil"/>
        </w:tblBorders>
        <w:tblLook w:firstRow="1" w:lastRow="0" w:firstColumn="0" w:lastColumn="0" w:noHBand="0" w:noVBand="0" w:val="0020"/>
        <w:jc w:val="start"/>
        <w:tblCaption w:val="Table A1. Model settings (fixed before estimation)"/>
      </w:tblPr>
      <w:tblGrid>
        <w:gridCol w:w="3033"/>
        <w:gridCol w:w="4886"/>
      </w:tblGrid>
      <w:tr>
        <w:trPr>
          <w:tblHeader w:val="true"/>
        </w:trPr>
        <w:tc>
          <w:tcPr>
            <w:tcBorders>
              <w:bottom w:val="single" w:sz="6" w:space="0" w:color="000000"/>
            </w:tcBorders>
          </w:tcPr>
          <w:p>
            <w:pPr>
              <w:pStyle w:val="Compact"/>
              <w:spacing w:before="0" w:after="0" w:line="240" w:lineRule="auto"/>
              <w:ind w:firstLine="0" w:left="0"/>
              <w:jc w:val="left"/>
            </w:pPr>
            <w:r>
              <w:rPr>
                <w:sz w:val="20"/>
                <w:szCs w:val="20"/>
              </w:rPr>
              <w:t xml:space="preserve">Model</w:t>
            </w:r>
          </w:p>
        </w:tc>
        <w:tc>
          <w:tcPr>
            <w:tcBorders>
              <w:bottom w:val="single" w:sz="6" w:space="0" w:color="000000"/>
            </w:tcBorders>
          </w:tcPr>
          <w:p>
            <w:pPr>
              <w:pStyle w:val="Compact"/>
              <w:spacing w:before="0" w:after="0" w:line="240" w:lineRule="auto"/>
              <w:ind w:firstLine="0" w:left="0"/>
              <w:jc w:val="left"/>
            </w:pPr>
            <w:r>
              <w:rPr>
                <w:sz w:val="20"/>
                <w:szCs w:val="20"/>
              </w:rPr>
              <w:t xml:space="preserve">Settings</w:t>
            </w:r>
          </w:p>
        </w:tc>
      </w:tr>
      <w:tr>
        <w:tc>
          <w:tcPr/>
          <w:p>
            <w:pPr>
              <w:pStyle w:val="Compact"/>
              <w:spacing w:before="0" w:after="0" w:line="240" w:lineRule="auto"/>
              <w:ind w:firstLine="0" w:left="0"/>
              <w:jc w:val="left"/>
            </w:pPr>
            <w:r>
              <w:rPr>
                <w:sz w:val="20"/>
                <w:szCs w:val="20"/>
              </w:rPr>
              <w:t xml:space="preserve">AR, factor</w:t>
            </w:r>
          </w:p>
        </w:tc>
        <w:tc>
          <w:tcPr/>
          <w:p>
            <w:pPr>
              <w:pStyle w:val="Compact"/>
              <w:spacing w:before="0" w:after="0" w:line="240" w:lineRule="auto"/>
              <w:ind w:firstLine="0" w:left="0"/>
              <w:jc w:val="left"/>
            </w:pPr>
            <w:r>
              <w:rPr>
                <w:sz w:val="20"/>
                <w:szCs w:val="20"/>
              </w:rPr>
              <w:t xml:space="preserve">OLS; p ≤ 12 lags and k ≤ 4 principal components by BIC; month dummies</w:t>
            </w:r>
          </w:p>
        </w:tc>
      </w:tr>
      <w:tr>
        <w:tc>
          <w:tcPr/>
          <w:p>
            <w:pPr>
              <w:pStyle w:val="Compact"/>
              <w:spacing w:before="0" w:after="0" w:line="240" w:lineRule="auto"/>
              <w:ind w:firstLine="0" w:left="0"/>
              <w:jc w:val="left"/>
            </w:pPr>
            <w:r>
              <w:rPr>
                <w:sz w:val="20"/>
                <w:szCs w:val="20"/>
              </w:rPr>
              <w:t xml:space="preserve">Ridge</w:t>
            </w:r>
          </w:p>
        </w:tc>
        <w:tc>
          <w:tcPr/>
          <w:p>
            <w:pPr>
              <w:pStyle w:val="Compact"/>
              <w:spacing w:before="0" w:after="0" w:line="240" w:lineRule="auto"/>
              <w:ind w:firstLine="0" w:left="0"/>
              <w:jc w:val="left"/>
            </w:pPr>
            <w:r>
              <w:rPr>
                <w:sz w:val="20"/>
                <w:szCs w:val="20"/>
              </w:rPr>
              <w:t xml:space="preserve">Standardized features; penalty from 60 values in [0.01, 10^5] by leave-one-out CV</w:t>
            </w:r>
          </w:p>
        </w:tc>
      </w:tr>
      <w:tr>
        <w:tc>
          <w:tcPr/>
          <w:p>
            <w:pPr>
              <w:pStyle w:val="Compact"/>
              <w:spacing w:before="0" w:after="0" w:line="240" w:lineRule="auto"/>
              <w:ind w:firstLine="0" w:left="0"/>
              <w:jc w:val="left"/>
            </w:pPr>
            <w:r>
              <w:rPr>
                <w:sz w:val="20"/>
                <w:szCs w:val="20"/>
              </w:rPr>
              <w:t xml:space="preserve">LASSO</w:t>
            </w:r>
          </w:p>
        </w:tc>
        <w:tc>
          <w:tcPr/>
          <w:p>
            <w:pPr>
              <w:pStyle w:val="Compact"/>
              <w:spacing w:before="0" w:after="0" w:line="240" w:lineRule="auto"/>
              <w:ind w:firstLine="0" w:left="0"/>
              <w:jc w:val="left"/>
            </w:pPr>
            <w:r>
              <w:rPr>
                <w:sz w:val="20"/>
                <w:szCs w:val="20"/>
              </w:rPr>
              <w:t xml:space="preserve">Standardized features; 100-value path; BIC with df &lt; n/2</w:t>
            </w:r>
          </w:p>
        </w:tc>
      </w:tr>
      <w:tr>
        <w:tc>
          <w:tcPr/>
          <w:p>
            <w:pPr>
              <w:pStyle w:val="Compact"/>
              <w:spacing w:before="0" w:after="0" w:line="240" w:lineRule="auto"/>
              <w:ind w:firstLine="0" w:left="0"/>
              <w:jc w:val="left"/>
            </w:pPr>
            <w:r>
              <w:rPr>
                <w:sz w:val="20"/>
                <w:szCs w:val="20"/>
              </w:rPr>
              <w:t xml:space="preserve">Adaptive LASSO</w:t>
            </w:r>
          </w:p>
        </w:tc>
        <w:tc>
          <w:tcPr/>
          <w:p>
            <w:pPr>
              <w:pStyle w:val="Compact"/>
              <w:spacing w:before="0" w:after="0" w:line="240" w:lineRule="auto"/>
              <w:ind w:firstLine="0" w:left="0"/>
              <w:jc w:val="left"/>
            </w:pPr>
            <w:r>
              <w:rPr>
                <w:sz w:val="20"/>
                <w:szCs w:val="20"/>
              </w:rPr>
              <w:t xml:space="preserve">As LASSO with weights 1/(</w:t>
            </w:r>
          </w:p>
        </w:tc>
      </w:tr>
      <w:tr>
        <w:tc>
          <w:tcPr/>
          <w:p>
            <w:pPr>
              <w:pStyle w:val="Compact"/>
              <w:spacing w:before="0" w:after="0" w:line="240" w:lineRule="auto"/>
              <w:ind w:firstLine="0" w:left="0"/>
              <w:jc w:val="left"/>
            </w:pPr>
            <w:r>
              <w:rPr>
                <w:sz w:val="20"/>
                <w:szCs w:val="20"/>
              </w:rPr>
              <w:t xml:space="preserve">Random forest</w:t>
            </w:r>
          </w:p>
        </w:tc>
        <w:tc>
          <w:tcPr/>
          <w:p>
            <w:pPr>
              <w:pStyle w:val="Compact"/>
              <w:spacing w:before="0" w:after="0" w:line="240" w:lineRule="auto"/>
              <w:ind w:firstLine="0" w:left="0"/>
              <w:jc w:val="left"/>
            </w:pPr>
            <w:r>
              <w:rPr>
                <w:sz w:val="20"/>
                <w:szCs w:val="20"/>
              </w:rPr>
              <w:t xml:space="preserve">500 trees; a third of features per split; minimum leaf 5</w:t>
            </w:r>
          </w:p>
        </w:tc>
      </w:tr>
      <w:tr>
        <w:tc>
          <w:tcPr/>
          <w:p>
            <w:pPr>
              <w:pStyle w:val="Compact"/>
              <w:spacing w:before="0" w:after="0" w:line="240" w:lineRule="auto"/>
              <w:ind w:firstLine="0" w:left="0"/>
              <w:jc w:val="left"/>
            </w:pPr>
            <w:r>
              <w:rPr>
                <w:sz w:val="20"/>
                <w:szCs w:val="20"/>
              </w:rPr>
              <w:t xml:space="preserve">Gradient boosting</w:t>
            </w:r>
          </w:p>
        </w:tc>
        <w:tc>
          <w:tcPr/>
          <w:p>
            <w:pPr>
              <w:pStyle w:val="Compact"/>
              <w:spacing w:before="0" w:after="0" w:line="240" w:lineRule="auto"/>
              <w:ind w:firstLine="0" w:left="0"/>
              <w:jc w:val="left"/>
            </w:pPr>
            <w:r>
              <w:rPr>
                <w:sz w:val="20"/>
                <w:szCs w:val="20"/>
              </w:rPr>
              <w:t xml:space="preserve">LightGBM; 500 rounds; learning rate 0.02; 15 leaves; minimum leaf 10; 80% row and column subsampling</w:t>
            </w:r>
          </w:p>
        </w:tc>
      </w:tr>
      <w:tr>
        <w:tc>
          <w:tcPr/>
          <w:p>
            <w:pPr>
              <w:pStyle w:val="Compact"/>
              <w:spacing w:before="0" w:after="0" w:line="240" w:lineRule="auto"/>
              <w:ind w:firstLine="0" w:left="0"/>
              <w:jc w:val="left"/>
            </w:pPr>
            <w:r>
              <w:rPr>
                <w:sz w:val="20"/>
                <w:szCs w:val="20"/>
              </w:rPr>
              <w:t xml:space="preserve">All</w:t>
            </w:r>
          </w:p>
        </w:tc>
        <w:tc>
          <w:tcPr/>
          <w:p>
            <w:pPr>
              <w:pStyle w:val="Compact"/>
              <w:spacing w:before="0" w:after="0" w:line="240" w:lineRule="auto"/>
              <w:ind w:firstLine="0" w:left="0"/>
              <w:jc w:val="left"/>
            </w:pPr>
            <w:r>
              <w:rPr>
                <w:sz w:val="20"/>
                <w:szCs w:val="20"/>
              </w:rPr>
              <w:t xml:space="preserve">Rolling 120-month window; direct forecasts; seed 20261015</w:t>
            </w:r>
          </w:p>
        </w:tc>
      </w:tr>
    </w:tbl>
    <w:bookmarkEnd w:id="74"/>
    <w:bookmarkStart w:id="75" w:name="X9a242c8517fa1e5b391ccc4fbe3c19fb6c24e8a"/>
    <w:p>
      <w:pPr>
        <w:pStyle w:val="Heading1"/>
      </w:pPr>
      <w:r>
        <w:t xml:space="preserve">Appendix B. Decisions log and deviations from the pre-registration</w:t>
      </w:r>
    </w:p>
    <w:p>
      <w:pPr>
        <w:pStyle w:val="FirstParagraph"/>
      </w:pPr>
      <w:r>
        <w:t xml:space="preserve">The full decisions log (D1–D13) is in the replication package (</w:t>
      </w:r>
      <w:r>
        <w:rPr>
          <w:rStyle w:val="VerbatimChar"/>
        </w:rPr>
        <w:t xml:space="preserve">CLAUDE.md</w:t>
      </w:r>
      <w:r>
        <w:t xml:space="preserve">), with dates and labels. Three changes were made after the plan was written but before any estimate: world food and grain prices come from the IMF series on FRED because the FAO file was out of date (D9); food and energy classes were added so that H2 could be tested (D10); and US CPI was dropped because of a missing month (D11). One correction was made after the first run stopped with an error at its first origin, before any forecast was saved (D13). The out-of-sample period is defined by origin (December 2004 to July 2026), and the first few origins use every month available, at least 108, rather than exactly 120. The Holm correction covers seven challengers at four cases (28 tests per benchmark); the plan said eight challengers by miscounting. Everything in Section 5.3 after the regime table, including the discussion of the 2026 episode, is exploratory.</w:t>
      </w:r>
    </w:p>
    <w:bookmarkEnd w:id="75"/>
    <w:bookmarkStart w:id="76" w:name="appendix-c.-full-results"/>
    <w:p>
      <w:pPr>
        <w:pStyle w:val="Heading1"/>
      </w:pPr>
      <w:r>
        <w:t xml:space="preserve">Appendix C. Full results</w:t>
      </w:r>
    </w:p>
    <w:p>
      <w:pPr>
        <w:pStyle w:val="TableCaption"/>
      </w:pPr>
      <w:r>
        <w:t xml:space="preserve">Table A2. Replication gate on FRED-MD: RMSE relative to the random walk, 2001–2015</w:t>
      </w:r>
    </w:p>
    <w:tbl>
      <w:tblPr>
        <w:tblStyle w:val="Table"/>
        <w:tblW w:type="auto" w:w="0"/>
        <w:tblBorders>
          <w:top w:val="single" w:sz="12" w:space="0" w:color="000000"/>
          <w:left w:val="nil"/>
          <w:bottom w:val="single" w:sz="12" w:space="0" w:color="000000"/>
          <w:right w:val="nil"/>
          <w:insideH w:val="nil"/>
          <w:insideV w:val="nil"/>
        </w:tblBorders>
        <w:tblLook w:firstRow="1" w:lastRow="0" w:firstColumn="0" w:lastColumn="0" w:noHBand="0" w:noVBand="0" w:val="0020"/>
        <w:jc w:val="start"/>
        <w:tblCaption w:val="Table A2. Replication gate on FRED-MD: RMSE relative to the random walk, 2001–2015"/>
      </w:tblPr>
      <w:tblGrid>
        <w:gridCol w:w="1584"/>
        <w:gridCol w:w="1584"/>
        <w:gridCol w:w="1584"/>
        <w:gridCol w:w="1584"/>
        <w:gridCol w:w="1584"/>
      </w:tblGrid>
      <w:tr>
        <w:trPr>
          <w:tblHeader w:val="true"/>
        </w:trPr>
        <w:tc>
          <w:tcPr>
            <w:tcBorders>
              <w:bottom w:val="single" w:sz="6" w:space="0" w:color="000000"/>
            </w:tcBorders>
          </w:tcPr>
          <w:p>
            <w:pPr>
              <w:pStyle w:val="Compact"/>
              <w:spacing w:before="0" w:after="0" w:line="240" w:lineRule="auto"/>
              <w:ind w:firstLine="0" w:left="0"/>
              <w:jc w:val="left"/>
            </w:pPr>
            <w:r>
              <w:rPr>
                <w:sz w:val="20"/>
                <w:szCs w:val="20"/>
              </w:rPr>
              <w:t xml:space="preserve">Model</w:t>
            </w:r>
          </w:p>
        </w:tc>
        <w:tc>
          <w:tcPr>
            <w:tcBorders>
              <w:bottom w:val="single" w:sz="6" w:space="0" w:color="000000"/>
            </w:tcBorders>
          </w:tcPr>
          <w:p>
            <w:pPr>
              <w:pStyle w:val="Compact"/>
              <w:spacing w:before="0" w:after="0" w:line="240" w:lineRule="auto"/>
              <w:ind w:firstLine="0" w:left="0"/>
              <w:jc w:val="right"/>
            </w:pPr>
            <w:r>
              <w:rPr>
                <w:sz w:val="20"/>
                <w:szCs w:val="20"/>
              </w:rPr>
              <w:t xml:space="preserve">h = 1</w:t>
            </w:r>
          </w:p>
        </w:tc>
        <w:tc>
          <w:tcPr>
            <w:tcBorders>
              <w:bottom w:val="single" w:sz="6" w:space="0" w:color="000000"/>
            </w:tcBorders>
          </w:tcPr>
          <w:p>
            <w:pPr>
              <w:pStyle w:val="Compact"/>
              <w:spacing w:before="0" w:after="0" w:line="240" w:lineRule="auto"/>
              <w:ind w:firstLine="0" w:left="0"/>
              <w:jc w:val="right"/>
            </w:pPr>
            <w:r>
              <w:rPr>
                <w:sz w:val="20"/>
                <w:szCs w:val="20"/>
              </w:rPr>
              <w:t xml:space="preserve">h = 3</w:t>
            </w:r>
          </w:p>
        </w:tc>
        <w:tc>
          <w:tcPr>
            <w:tcBorders>
              <w:bottom w:val="single" w:sz="6" w:space="0" w:color="000000"/>
            </w:tcBorders>
          </w:tcPr>
          <w:p>
            <w:pPr>
              <w:pStyle w:val="Compact"/>
              <w:spacing w:before="0" w:after="0" w:line="240" w:lineRule="auto"/>
              <w:ind w:firstLine="0" w:left="0"/>
              <w:jc w:val="right"/>
            </w:pPr>
            <w:r>
              <w:rPr>
                <w:sz w:val="20"/>
                <w:szCs w:val="20"/>
              </w:rPr>
              <w:t xml:space="preserve">h = 6</w:t>
            </w:r>
          </w:p>
        </w:tc>
        <w:tc>
          <w:tcPr>
            <w:tcBorders>
              <w:bottom w:val="single" w:sz="6" w:space="0" w:color="000000"/>
            </w:tcBorders>
          </w:tcPr>
          <w:p>
            <w:pPr>
              <w:pStyle w:val="Compact"/>
              <w:spacing w:before="0" w:after="0" w:line="240" w:lineRule="auto"/>
              <w:ind w:firstLine="0" w:left="0"/>
              <w:jc w:val="right"/>
            </w:pPr>
            <w:r>
              <w:rPr>
                <w:sz w:val="20"/>
                <w:szCs w:val="20"/>
              </w:rPr>
              <w:t xml:space="preserve">h = 12</w:t>
            </w:r>
          </w:p>
        </w:tc>
      </w:tr>
      <w:tr>
        <w:tc>
          <w:tcPr/>
          <w:p>
            <w:pPr>
              <w:pStyle w:val="Compact"/>
              <w:spacing w:before="0" w:after="0" w:line="240" w:lineRule="auto"/>
              <w:ind w:firstLine="0" w:left="0"/>
              <w:jc w:val="left"/>
            </w:pPr>
            <w:r>
              <w:rPr>
                <w:sz w:val="20"/>
                <w:szCs w:val="20"/>
              </w:rPr>
              <w:t xml:space="preserve">AR</w:t>
            </w:r>
          </w:p>
        </w:tc>
        <w:tc>
          <w:tcPr/>
          <w:p>
            <w:pPr>
              <w:pStyle w:val="Compact"/>
              <w:spacing w:before="0" w:after="0" w:line="240" w:lineRule="auto"/>
              <w:ind w:firstLine="0" w:left="0"/>
              <w:jc w:val="right"/>
            </w:pPr>
            <w:r>
              <w:rPr>
                <w:sz w:val="20"/>
                <w:szCs w:val="20"/>
              </w:rPr>
              <w:t xml:space="preserve">0.913</w:t>
            </w:r>
          </w:p>
        </w:tc>
        <w:tc>
          <w:tcPr/>
          <w:p>
            <w:pPr>
              <w:pStyle w:val="Compact"/>
              <w:spacing w:before="0" w:after="0" w:line="240" w:lineRule="auto"/>
              <w:ind w:firstLine="0" w:left="0"/>
              <w:jc w:val="right"/>
            </w:pPr>
            <w:r>
              <w:rPr>
                <w:sz w:val="20"/>
                <w:szCs w:val="20"/>
              </w:rPr>
              <w:t xml:space="preserve">0.766</w:t>
            </w:r>
          </w:p>
        </w:tc>
        <w:tc>
          <w:tcPr/>
          <w:p>
            <w:pPr>
              <w:pStyle w:val="Compact"/>
              <w:spacing w:before="0" w:after="0" w:line="240" w:lineRule="auto"/>
              <w:ind w:firstLine="0" w:left="0"/>
              <w:jc w:val="right"/>
            </w:pPr>
            <w:r>
              <w:rPr>
                <w:sz w:val="20"/>
                <w:szCs w:val="20"/>
              </w:rPr>
              <w:t xml:space="preserve">0.760</w:t>
            </w:r>
          </w:p>
        </w:tc>
        <w:tc>
          <w:tcPr/>
          <w:p>
            <w:pPr>
              <w:pStyle w:val="Compact"/>
              <w:spacing w:before="0" w:after="0" w:line="240" w:lineRule="auto"/>
              <w:ind w:firstLine="0" w:left="0"/>
              <w:jc w:val="right"/>
            </w:pPr>
            <w:r>
              <w:rPr>
                <w:sz w:val="20"/>
                <w:szCs w:val="20"/>
              </w:rPr>
              <w:t xml:space="preserve">0.729</w:t>
            </w:r>
          </w:p>
        </w:tc>
      </w:tr>
      <w:tr>
        <w:tc>
          <w:tcPr/>
          <w:p>
            <w:pPr>
              <w:pStyle w:val="Compact"/>
              <w:spacing w:before="0" w:after="0" w:line="240" w:lineRule="auto"/>
              <w:ind w:firstLine="0" w:left="0"/>
              <w:jc w:val="left"/>
            </w:pPr>
            <w:r>
              <w:rPr>
                <w:sz w:val="20"/>
                <w:szCs w:val="20"/>
              </w:rPr>
              <w:t xml:space="preserve">Ridge</w:t>
            </w:r>
          </w:p>
        </w:tc>
        <w:tc>
          <w:tcPr/>
          <w:p>
            <w:pPr>
              <w:pStyle w:val="Compact"/>
              <w:spacing w:before="0" w:after="0" w:line="240" w:lineRule="auto"/>
              <w:ind w:firstLine="0" w:left="0"/>
              <w:jc w:val="right"/>
            </w:pPr>
            <w:r>
              <w:rPr>
                <w:sz w:val="20"/>
                <w:szCs w:val="20"/>
              </w:rPr>
              <w:t xml:space="preserve">0.908</w:t>
            </w:r>
          </w:p>
        </w:tc>
        <w:tc>
          <w:tcPr/>
          <w:p>
            <w:pPr>
              <w:pStyle w:val="Compact"/>
              <w:spacing w:before="0" w:after="0" w:line="240" w:lineRule="auto"/>
              <w:ind w:firstLine="0" w:left="0"/>
              <w:jc w:val="right"/>
            </w:pPr>
            <w:r>
              <w:rPr>
                <w:sz w:val="20"/>
                <w:szCs w:val="20"/>
              </w:rPr>
              <w:t xml:space="preserve">0.807</w:t>
            </w:r>
          </w:p>
        </w:tc>
        <w:tc>
          <w:tcPr/>
          <w:p>
            <w:pPr>
              <w:pStyle w:val="Compact"/>
              <w:spacing w:before="0" w:after="0" w:line="240" w:lineRule="auto"/>
              <w:ind w:firstLine="0" w:left="0"/>
              <w:jc w:val="right"/>
            </w:pPr>
            <w:r>
              <w:rPr>
                <w:sz w:val="20"/>
                <w:szCs w:val="20"/>
              </w:rPr>
              <w:t xml:space="preserve">0.830</w:t>
            </w:r>
          </w:p>
        </w:tc>
        <w:tc>
          <w:tcPr/>
          <w:p>
            <w:pPr>
              <w:pStyle w:val="Compact"/>
              <w:spacing w:before="0" w:after="0" w:line="240" w:lineRule="auto"/>
              <w:ind w:firstLine="0" w:left="0"/>
              <w:jc w:val="right"/>
            </w:pPr>
            <w:r>
              <w:rPr>
                <w:sz w:val="20"/>
                <w:szCs w:val="20"/>
              </w:rPr>
              <w:t xml:space="preserve">0.731</w:t>
            </w:r>
          </w:p>
        </w:tc>
      </w:tr>
      <w:tr>
        <w:tc>
          <w:tcPr/>
          <w:p>
            <w:pPr>
              <w:pStyle w:val="Compact"/>
              <w:spacing w:before="0" w:after="0" w:line="240" w:lineRule="auto"/>
              <w:ind w:firstLine="0" w:left="0"/>
              <w:jc w:val="left"/>
            </w:pPr>
            <w:r>
              <w:rPr>
                <w:sz w:val="20"/>
                <w:szCs w:val="20"/>
              </w:rPr>
              <w:t xml:space="preserve">LASSO</w:t>
            </w:r>
          </w:p>
        </w:tc>
        <w:tc>
          <w:tcPr/>
          <w:p>
            <w:pPr>
              <w:pStyle w:val="Compact"/>
              <w:spacing w:before="0" w:after="0" w:line="240" w:lineRule="auto"/>
              <w:ind w:firstLine="0" w:left="0"/>
              <w:jc w:val="right"/>
            </w:pPr>
            <w:r>
              <w:rPr>
                <w:sz w:val="20"/>
                <w:szCs w:val="20"/>
              </w:rPr>
              <w:t xml:space="preserve">0.867</w:t>
            </w:r>
          </w:p>
        </w:tc>
        <w:tc>
          <w:tcPr/>
          <w:p>
            <w:pPr>
              <w:pStyle w:val="Compact"/>
              <w:spacing w:before="0" w:after="0" w:line="240" w:lineRule="auto"/>
              <w:ind w:firstLine="0" w:left="0"/>
              <w:jc w:val="right"/>
            </w:pPr>
            <w:r>
              <w:rPr>
                <w:sz w:val="20"/>
                <w:szCs w:val="20"/>
              </w:rPr>
              <w:t xml:space="preserve">0.730</w:t>
            </w:r>
          </w:p>
        </w:tc>
        <w:tc>
          <w:tcPr/>
          <w:p>
            <w:pPr>
              <w:pStyle w:val="Compact"/>
              <w:spacing w:before="0" w:after="0" w:line="240" w:lineRule="auto"/>
              <w:ind w:firstLine="0" w:left="0"/>
              <w:jc w:val="right"/>
            </w:pPr>
            <w:r>
              <w:rPr>
                <w:sz w:val="20"/>
                <w:szCs w:val="20"/>
              </w:rPr>
              <w:t xml:space="preserve">0.750</w:t>
            </w:r>
          </w:p>
        </w:tc>
        <w:tc>
          <w:tcPr/>
          <w:p>
            <w:pPr>
              <w:pStyle w:val="Compact"/>
              <w:spacing w:before="0" w:after="0" w:line="240" w:lineRule="auto"/>
              <w:ind w:firstLine="0" w:left="0"/>
              <w:jc w:val="right"/>
            </w:pPr>
            <w:r>
              <w:rPr>
                <w:sz w:val="20"/>
                <w:szCs w:val="20"/>
              </w:rPr>
              <w:t xml:space="preserve">0.699</w:t>
            </w:r>
          </w:p>
        </w:tc>
      </w:tr>
      <w:tr>
        <w:tc>
          <w:tcPr/>
          <w:p>
            <w:pPr>
              <w:pStyle w:val="Compact"/>
              <w:spacing w:before="0" w:after="0" w:line="240" w:lineRule="auto"/>
              <w:ind w:firstLine="0" w:left="0"/>
              <w:jc w:val="left"/>
            </w:pPr>
            <w:r>
              <w:rPr>
                <w:sz w:val="20"/>
                <w:szCs w:val="20"/>
              </w:rPr>
              <w:t xml:space="preserve">Random forest</w:t>
            </w:r>
          </w:p>
        </w:tc>
        <w:tc>
          <w:tcPr/>
          <w:p>
            <w:pPr>
              <w:pStyle w:val="Compact"/>
              <w:spacing w:before="0" w:after="0" w:line="240" w:lineRule="auto"/>
              <w:ind w:firstLine="0" w:left="0"/>
              <w:jc w:val="right"/>
            </w:pPr>
            <w:r>
              <w:rPr>
                <w:sz w:val="20"/>
                <w:szCs w:val="20"/>
              </w:rPr>
              <w:t xml:space="preserve">0.894</w:t>
            </w:r>
          </w:p>
        </w:tc>
        <w:tc>
          <w:tcPr/>
          <w:p>
            <w:pPr>
              <w:pStyle w:val="Compact"/>
              <w:spacing w:before="0" w:after="0" w:line="240" w:lineRule="auto"/>
              <w:ind w:firstLine="0" w:left="0"/>
              <w:jc w:val="right"/>
            </w:pPr>
            <w:r>
              <w:rPr>
                <w:sz w:val="20"/>
                <w:szCs w:val="20"/>
              </w:rPr>
              <w:t xml:space="preserve">0.714</w:t>
            </w:r>
          </w:p>
        </w:tc>
        <w:tc>
          <w:tcPr/>
          <w:p>
            <w:pPr>
              <w:pStyle w:val="Compact"/>
              <w:spacing w:before="0" w:after="0" w:line="240" w:lineRule="auto"/>
              <w:ind w:firstLine="0" w:left="0"/>
              <w:jc w:val="right"/>
            </w:pPr>
            <w:r>
              <w:rPr>
                <w:sz w:val="20"/>
                <w:szCs w:val="20"/>
              </w:rPr>
              <w:t xml:space="preserve">0.719</w:t>
            </w:r>
          </w:p>
        </w:tc>
        <w:tc>
          <w:tcPr/>
          <w:p>
            <w:pPr>
              <w:pStyle w:val="Compact"/>
              <w:spacing w:before="0" w:after="0" w:line="240" w:lineRule="auto"/>
              <w:ind w:firstLine="0" w:left="0"/>
              <w:jc w:val="right"/>
            </w:pPr>
            <w:r>
              <w:rPr>
                <w:sz w:val="20"/>
                <w:szCs w:val="20"/>
              </w:rPr>
              <w:t xml:space="preserve">0.688</w:t>
            </w:r>
          </w:p>
        </w:tc>
      </w:tr>
    </w:tbl>
    <w:p>
      <w:pPr>
        <w:pStyle w:val="TableNote"/>
      </w:pPr>
      <w:r>
        <w:rPr>
          <w:iCs/>
          <w:i/>
        </w:rPr>
        <w:t xml:space="preserve">Notes:</w:t>
      </w:r>
      <w:r>
        <w:t xml:space="preserve"> </w:t>
      </w:r>
      <w:r>
        <w:t xml:space="preserve">US CPI inflation; rolling 360-month window; 180 target months per horizon.</w:t>
      </w:r>
    </w:p>
    <w:p>
      <w:pPr>
        <w:pStyle w:val="TableCaption"/>
      </w:pPr>
      <w:r>
        <w:t xml:space="preserve">Table A3. RMSE relative to the AR at every horizon h = 1, …, 12 (main specification)</w:t>
      </w:r>
    </w:p>
    <w:tbl>
      <w:tblPr>
        <w:tblStyle w:val="Table"/>
        <w:tblW w:type="pct" w:w="5000"/>
        <w:tblBorders>
          <w:top w:val="single" w:sz="12" w:space="0" w:color="000000"/>
          <w:left w:val="nil"/>
          <w:bottom w:val="single" w:sz="12" w:space="0" w:color="000000"/>
          <w:right w:val="nil"/>
          <w:insideH w:val="nil"/>
          <w:insideV w:val="nil"/>
        </w:tblBorders>
        <w:tblLook w:firstRow="1" w:lastRow="0" w:firstColumn="0" w:lastColumn="0" w:noHBand="0" w:noVBand="0" w:val="0020"/>
        <w:jc w:val="start"/>
        <w:tblCaption w:val="Table A3. RMSE relative to the AR at every horizon h = 1, …, 12 (main specification)"/>
      </w:tblPr>
      <w:tblGrid>
        <w:gridCol w:w="1630"/>
        <w:gridCol w:w="524"/>
        <w:gridCol w:w="524"/>
        <w:gridCol w:w="524"/>
        <w:gridCol w:w="524"/>
        <w:gridCol w:w="524"/>
        <w:gridCol w:w="524"/>
        <w:gridCol w:w="524"/>
        <w:gridCol w:w="524"/>
        <w:gridCol w:w="524"/>
        <w:gridCol w:w="524"/>
        <w:gridCol w:w="524"/>
        <w:gridCol w:w="524"/>
      </w:tblGrid>
      <w:tr>
        <w:trPr>
          <w:tblHeader w:val="true"/>
        </w:trPr>
        <w:tc>
          <w:tcPr>
            <w:tcBorders>
              <w:bottom w:val="single" w:sz="6" w:space="0" w:color="000000"/>
            </w:tcBorders>
          </w:tcPr>
          <w:p>
            <w:pPr>
              <w:pStyle w:val="Compact"/>
              <w:spacing w:before="0" w:after="0" w:line="240" w:lineRule="auto"/>
              <w:ind w:firstLine="0" w:left="0"/>
              <w:jc w:val="left"/>
            </w:pPr>
            <w:r>
              <w:rPr>
                <w:sz w:val="20"/>
                <w:szCs w:val="20"/>
              </w:rPr>
              <w:t xml:space="preserve">Model / h</w:t>
            </w:r>
          </w:p>
        </w:tc>
        <w:tc>
          <w:tcPr>
            <w:tcBorders>
              <w:bottom w:val="single" w:sz="6" w:space="0" w:color="000000"/>
            </w:tcBorders>
          </w:tcPr>
          <w:p>
            <w:pPr>
              <w:pStyle w:val="Compact"/>
              <w:spacing w:before="0" w:after="0" w:line="240" w:lineRule="auto"/>
              <w:ind w:firstLine="0" w:left="0"/>
              <w:jc w:val="right"/>
            </w:pPr>
            <w:r>
              <w:rPr>
                <w:sz w:val="20"/>
                <w:szCs w:val="20"/>
              </w:rPr>
              <w:t xml:space="preserve">1</w:t>
            </w:r>
          </w:p>
        </w:tc>
        <w:tc>
          <w:tcPr>
            <w:tcBorders>
              <w:bottom w:val="single" w:sz="6" w:space="0" w:color="000000"/>
            </w:tcBorders>
          </w:tcPr>
          <w:p>
            <w:pPr>
              <w:pStyle w:val="Compact"/>
              <w:spacing w:before="0" w:after="0" w:line="240" w:lineRule="auto"/>
              <w:ind w:firstLine="0" w:left="0"/>
              <w:jc w:val="right"/>
            </w:pPr>
            <w:r>
              <w:rPr>
                <w:sz w:val="20"/>
                <w:szCs w:val="20"/>
              </w:rPr>
              <w:t xml:space="preserve">2</w:t>
            </w:r>
          </w:p>
        </w:tc>
        <w:tc>
          <w:tcPr>
            <w:tcBorders>
              <w:bottom w:val="single" w:sz="6" w:space="0" w:color="000000"/>
            </w:tcBorders>
          </w:tcPr>
          <w:p>
            <w:pPr>
              <w:pStyle w:val="Compact"/>
              <w:spacing w:before="0" w:after="0" w:line="240" w:lineRule="auto"/>
              <w:ind w:firstLine="0" w:left="0"/>
              <w:jc w:val="right"/>
            </w:pPr>
            <w:r>
              <w:rPr>
                <w:sz w:val="20"/>
                <w:szCs w:val="20"/>
              </w:rPr>
              <w:t xml:space="preserve">3</w:t>
            </w:r>
          </w:p>
        </w:tc>
        <w:tc>
          <w:tcPr>
            <w:tcBorders>
              <w:bottom w:val="single" w:sz="6" w:space="0" w:color="000000"/>
            </w:tcBorders>
          </w:tcPr>
          <w:p>
            <w:pPr>
              <w:pStyle w:val="Compact"/>
              <w:spacing w:before="0" w:after="0" w:line="240" w:lineRule="auto"/>
              <w:ind w:firstLine="0" w:left="0"/>
              <w:jc w:val="right"/>
            </w:pPr>
            <w:r>
              <w:rPr>
                <w:sz w:val="20"/>
                <w:szCs w:val="20"/>
              </w:rPr>
              <w:t xml:space="preserve">4</w:t>
            </w:r>
          </w:p>
        </w:tc>
        <w:tc>
          <w:tcPr>
            <w:tcBorders>
              <w:bottom w:val="single" w:sz="6" w:space="0" w:color="000000"/>
            </w:tcBorders>
          </w:tcPr>
          <w:p>
            <w:pPr>
              <w:pStyle w:val="Compact"/>
              <w:spacing w:before="0" w:after="0" w:line="240" w:lineRule="auto"/>
              <w:ind w:firstLine="0" w:left="0"/>
              <w:jc w:val="right"/>
            </w:pPr>
            <w:r>
              <w:rPr>
                <w:sz w:val="20"/>
                <w:szCs w:val="20"/>
              </w:rPr>
              <w:t xml:space="preserve">5</w:t>
            </w:r>
          </w:p>
        </w:tc>
        <w:tc>
          <w:tcPr>
            <w:tcBorders>
              <w:bottom w:val="single" w:sz="6" w:space="0" w:color="000000"/>
            </w:tcBorders>
          </w:tcPr>
          <w:p>
            <w:pPr>
              <w:pStyle w:val="Compact"/>
              <w:spacing w:before="0" w:after="0" w:line="240" w:lineRule="auto"/>
              <w:ind w:firstLine="0" w:left="0"/>
              <w:jc w:val="right"/>
            </w:pPr>
            <w:r>
              <w:rPr>
                <w:sz w:val="20"/>
                <w:szCs w:val="20"/>
              </w:rPr>
              <w:t xml:space="preserve">6</w:t>
            </w:r>
          </w:p>
        </w:tc>
        <w:tc>
          <w:tcPr>
            <w:tcBorders>
              <w:bottom w:val="single" w:sz="6" w:space="0" w:color="000000"/>
            </w:tcBorders>
          </w:tcPr>
          <w:p>
            <w:pPr>
              <w:pStyle w:val="Compact"/>
              <w:spacing w:before="0" w:after="0" w:line="240" w:lineRule="auto"/>
              <w:ind w:firstLine="0" w:left="0"/>
              <w:jc w:val="right"/>
            </w:pPr>
            <w:r>
              <w:rPr>
                <w:sz w:val="20"/>
                <w:szCs w:val="20"/>
              </w:rPr>
              <w:t xml:space="preserve">7</w:t>
            </w:r>
          </w:p>
        </w:tc>
        <w:tc>
          <w:tcPr>
            <w:tcBorders>
              <w:bottom w:val="single" w:sz="6" w:space="0" w:color="000000"/>
            </w:tcBorders>
          </w:tcPr>
          <w:p>
            <w:pPr>
              <w:pStyle w:val="Compact"/>
              <w:spacing w:before="0" w:after="0" w:line="240" w:lineRule="auto"/>
              <w:ind w:firstLine="0" w:left="0"/>
              <w:jc w:val="right"/>
            </w:pPr>
            <w:r>
              <w:rPr>
                <w:sz w:val="20"/>
                <w:szCs w:val="20"/>
              </w:rPr>
              <w:t xml:space="preserve">8</w:t>
            </w:r>
          </w:p>
        </w:tc>
        <w:tc>
          <w:tcPr>
            <w:tcBorders>
              <w:bottom w:val="single" w:sz="6" w:space="0" w:color="000000"/>
            </w:tcBorders>
          </w:tcPr>
          <w:p>
            <w:pPr>
              <w:pStyle w:val="Compact"/>
              <w:spacing w:before="0" w:after="0" w:line="240" w:lineRule="auto"/>
              <w:ind w:firstLine="0" w:left="0"/>
              <w:jc w:val="right"/>
            </w:pPr>
            <w:r>
              <w:rPr>
                <w:sz w:val="20"/>
                <w:szCs w:val="20"/>
              </w:rPr>
              <w:t xml:space="preserve">9</w:t>
            </w:r>
          </w:p>
        </w:tc>
        <w:tc>
          <w:tcPr>
            <w:tcBorders>
              <w:bottom w:val="single" w:sz="6" w:space="0" w:color="000000"/>
            </w:tcBorders>
          </w:tcPr>
          <w:p>
            <w:pPr>
              <w:pStyle w:val="Compact"/>
              <w:spacing w:before="0" w:after="0" w:line="240" w:lineRule="auto"/>
              <w:ind w:firstLine="0" w:left="0"/>
              <w:jc w:val="right"/>
            </w:pPr>
            <w:r>
              <w:rPr>
                <w:sz w:val="20"/>
                <w:szCs w:val="20"/>
              </w:rPr>
              <w:t xml:space="preserve">10</w:t>
            </w:r>
          </w:p>
        </w:tc>
        <w:tc>
          <w:tcPr>
            <w:tcBorders>
              <w:bottom w:val="single" w:sz="6" w:space="0" w:color="000000"/>
            </w:tcBorders>
          </w:tcPr>
          <w:p>
            <w:pPr>
              <w:pStyle w:val="Compact"/>
              <w:spacing w:before="0" w:after="0" w:line="240" w:lineRule="auto"/>
              <w:ind w:firstLine="0" w:left="0"/>
              <w:jc w:val="right"/>
            </w:pPr>
            <w:r>
              <w:rPr>
                <w:sz w:val="20"/>
                <w:szCs w:val="20"/>
              </w:rPr>
              <w:t xml:space="preserve">11</w:t>
            </w:r>
          </w:p>
        </w:tc>
        <w:tc>
          <w:tcPr>
            <w:tcBorders>
              <w:bottom w:val="single" w:sz="6" w:space="0" w:color="000000"/>
            </w:tcBorders>
          </w:tcPr>
          <w:p>
            <w:pPr>
              <w:pStyle w:val="Compact"/>
              <w:spacing w:before="0" w:after="0" w:line="240" w:lineRule="auto"/>
              <w:ind w:firstLine="0" w:left="0"/>
              <w:jc w:val="right"/>
            </w:pPr>
            <w:r>
              <w:rPr>
                <w:sz w:val="20"/>
                <w:szCs w:val="20"/>
              </w:rPr>
              <w:t xml:space="preserve">12</w:t>
            </w:r>
          </w:p>
        </w:tc>
      </w:tr>
      <w:tr>
        <w:tc>
          <w:tcPr/>
          <w:p>
            <w:pPr>
              <w:pStyle w:val="Compact"/>
              <w:spacing w:before="0" w:after="0" w:line="240" w:lineRule="auto"/>
              <w:ind w:firstLine="0" w:left="0"/>
              <w:jc w:val="left"/>
            </w:pPr>
            <w:r>
              <w:rPr>
                <w:sz w:val="20"/>
                <w:szCs w:val="20"/>
              </w:rPr>
              <w:t xml:space="preserve">Random walk</w:t>
            </w:r>
          </w:p>
        </w:tc>
        <w:tc>
          <w:tcPr/>
          <w:p>
            <w:pPr>
              <w:pStyle w:val="Compact"/>
              <w:spacing w:before="0" w:after="0" w:line="240" w:lineRule="auto"/>
              <w:ind w:firstLine="0" w:left="0"/>
              <w:jc w:val="right"/>
            </w:pPr>
            <w:r>
              <w:rPr>
                <w:sz w:val="20"/>
                <w:szCs w:val="20"/>
              </w:rPr>
              <w:t xml:space="preserve">1.20</w:t>
            </w:r>
          </w:p>
        </w:tc>
        <w:tc>
          <w:tcPr/>
          <w:p>
            <w:pPr>
              <w:pStyle w:val="Compact"/>
              <w:spacing w:before="0" w:after="0" w:line="240" w:lineRule="auto"/>
              <w:ind w:firstLine="0" w:left="0"/>
              <w:jc w:val="right"/>
            </w:pPr>
            <w:r>
              <w:rPr>
                <w:sz w:val="20"/>
                <w:szCs w:val="20"/>
              </w:rPr>
              <w:t xml:space="preserve">1.36</w:t>
            </w:r>
          </w:p>
        </w:tc>
        <w:tc>
          <w:tcPr/>
          <w:p>
            <w:pPr>
              <w:pStyle w:val="Compact"/>
              <w:spacing w:before="0" w:after="0" w:line="240" w:lineRule="auto"/>
              <w:ind w:firstLine="0" w:left="0"/>
              <w:jc w:val="right"/>
            </w:pPr>
            <w:r>
              <w:rPr>
                <w:sz w:val="20"/>
                <w:szCs w:val="20"/>
              </w:rPr>
              <w:t xml:space="preserve">1.37</w:t>
            </w:r>
          </w:p>
        </w:tc>
        <w:tc>
          <w:tcPr/>
          <w:p>
            <w:pPr>
              <w:pStyle w:val="Compact"/>
              <w:spacing w:before="0" w:after="0" w:line="240" w:lineRule="auto"/>
              <w:ind w:firstLine="0" w:left="0"/>
              <w:jc w:val="right"/>
            </w:pPr>
            <w:r>
              <w:rPr>
                <w:sz w:val="20"/>
                <w:szCs w:val="20"/>
              </w:rPr>
              <w:t xml:space="preserve">1.41</w:t>
            </w:r>
          </w:p>
        </w:tc>
        <w:tc>
          <w:tcPr/>
          <w:p>
            <w:pPr>
              <w:pStyle w:val="Compact"/>
              <w:spacing w:before="0" w:after="0" w:line="240" w:lineRule="auto"/>
              <w:ind w:firstLine="0" w:left="0"/>
              <w:jc w:val="right"/>
            </w:pPr>
            <w:r>
              <w:rPr>
                <w:sz w:val="20"/>
                <w:szCs w:val="20"/>
              </w:rPr>
              <w:t xml:space="preserve">1.33</w:t>
            </w:r>
          </w:p>
        </w:tc>
        <w:tc>
          <w:tcPr/>
          <w:p>
            <w:pPr>
              <w:pStyle w:val="Compact"/>
              <w:spacing w:before="0" w:after="0" w:line="240" w:lineRule="auto"/>
              <w:ind w:firstLine="0" w:left="0"/>
              <w:jc w:val="right"/>
            </w:pPr>
            <w:r>
              <w:rPr>
                <w:sz w:val="20"/>
                <w:szCs w:val="20"/>
              </w:rPr>
              <w:t xml:space="preserve">1.30</w:t>
            </w:r>
          </w:p>
        </w:tc>
        <w:tc>
          <w:tcPr/>
          <w:p>
            <w:pPr>
              <w:pStyle w:val="Compact"/>
              <w:spacing w:before="0" w:after="0" w:line="240" w:lineRule="auto"/>
              <w:ind w:firstLine="0" w:left="0"/>
              <w:jc w:val="right"/>
            </w:pPr>
            <w:r>
              <w:rPr>
                <w:sz w:val="20"/>
                <w:szCs w:val="20"/>
              </w:rPr>
              <w:t xml:space="preserve">1.28</w:t>
            </w:r>
          </w:p>
        </w:tc>
        <w:tc>
          <w:tcPr/>
          <w:p>
            <w:pPr>
              <w:pStyle w:val="Compact"/>
              <w:spacing w:before="0" w:after="0" w:line="240" w:lineRule="auto"/>
              <w:ind w:firstLine="0" w:left="0"/>
              <w:jc w:val="right"/>
            </w:pPr>
            <w:r>
              <w:rPr>
                <w:sz w:val="20"/>
                <w:szCs w:val="20"/>
              </w:rPr>
              <w:t xml:space="preserve">1.36</w:t>
            </w:r>
          </w:p>
        </w:tc>
        <w:tc>
          <w:tcPr/>
          <w:p>
            <w:pPr>
              <w:pStyle w:val="Compact"/>
              <w:spacing w:before="0" w:after="0" w:line="240" w:lineRule="auto"/>
              <w:ind w:firstLine="0" w:left="0"/>
              <w:jc w:val="right"/>
            </w:pPr>
            <w:r>
              <w:rPr>
                <w:sz w:val="20"/>
                <w:szCs w:val="20"/>
              </w:rPr>
              <w:t xml:space="preserve">1.40</w:t>
            </w:r>
          </w:p>
        </w:tc>
        <w:tc>
          <w:tcPr/>
          <w:p>
            <w:pPr>
              <w:pStyle w:val="Compact"/>
              <w:spacing w:before="0" w:after="0" w:line="240" w:lineRule="auto"/>
              <w:ind w:firstLine="0" w:left="0"/>
              <w:jc w:val="right"/>
            </w:pPr>
            <w:r>
              <w:rPr>
                <w:sz w:val="20"/>
                <w:szCs w:val="20"/>
              </w:rPr>
              <w:t xml:space="preserve">1.36</w:t>
            </w:r>
          </w:p>
        </w:tc>
        <w:tc>
          <w:tcPr/>
          <w:p>
            <w:pPr>
              <w:pStyle w:val="Compact"/>
              <w:spacing w:before="0" w:after="0" w:line="240" w:lineRule="auto"/>
              <w:ind w:firstLine="0" w:left="0"/>
              <w:jc w:val="right"/>
            </w:pPr>
            <w:r>
              <w:rPr>
                <w:sz w:val="20"/>
                <w:szCs w:val="20"/>
              </w:rPr>
              <w:t xml:space="preserve">1.40</w:t>
            </w:r>
          </w:p>
        </w:tc>
        <w:tc>
          <w:tcPr/>
          <w:p>
            <w:pPr>
              <w:pStyle w:val="Compact"/>
              <w:spacing w:before="0" w:after="0" w:line="240" w:lineRule="auto"/>
              <w:ind w:firstLine="0" w:left="0"/>
              <w:jc w:val="right"/>
            </w:pPr>
            <w:r>
              <w:rPr>
                <w:sz w:val="20"/>
                <w:szCs w:val="20"/>
              </w:rPr>
              <w:t xml:space="preserve">1.29</w:t>
            </w:r>
          </w:p>
        </w:tc>
      </w:tr>
      <w:tr>
        <w:tc>
          <w:tcPr/>
          <w:p>
            <w:pPr>
              <w:pStyle w:val="Compact"/>
              <w:spacing w:before="0" w:after="0" w:line="240" w:lineRule="auto"/>
              <w:ind w:firstLine="0" w:left="0"/>
              <w:jc w:val="left"/>
            </w:pPr>
            <w:r>
              <w:rPr>
                <w:sz w:val="20"/>
                <w:szCs w:val="20"/>
              </w:rPr>
              <w:t xml:space="preserve">Random walk (12-month mean)</w:t>
            </w:r>
          </w:p>
        </w:tc>
        <w:tc>
          <w:tcPr/>
          <w:p>
            <w:pPr>
              <w:pStyle w:val="Compact"/>
              <w:spacing w:before="0" w:after="0" w:line="240" w:lineRule="auto"/>
              <w:ind w:firstLine="0" w:left="0"/>
              <w:jc w:val="right"/>
            </w:pPr>
            <w:r>
              <w:rPr>
                <w:sz w:val="20"/>
                <w:szCs w:val="20"/>
              </w:rPr>
              <w:t xml:space="preserve">1.08</w:t>
            </w:r>
          </w:p>
        </w:tc>
        <w:tc>
          <w:tcPr/>
          <w:p>
            <w:pPr>
              <w:pStyle w:val="Compact"/>
              <w:spacing w:before="0" w:after="0" w:line="240" w:lineRule="auto"/>
              <w:ind w:firstLine="0" w:left="0"/>
              <w:jc w:val="right"/>
            </w:pPr>
            <w:r>
              <w:rPr>
                <w:sz w:val="20"/>
                <w:szCs w:val="20"/>
              </w:rPr>
              <w:t xml:space="preserve">1.08</w:t>
            </w:r>
          </w:p>
        </w:tc>
        <w:tc>
          <w:tcPr/>
          <w:p>
            <w:pPr>
              <w:pStyle w:val="Compact"/>
              <w:spacing w:before="0" w:after="0" w:line="240" w:lineRule="auto"/>
              <w:ind w:firstLine="0" w:left="0"/>
              <w:jc w:val="right"/>
            </w:pPr>
            <w:r>
              <w:rPr>
                <w:sz w:val="20"/>
                <w:szCs w:val="20"/>
              </w:rPr>
              <w:t xml:space="preserve">1.06</w:t>
            </w:r>
          </w:p>
        </w:tc>
        <w:tc>
          <w:tcPr/>
          <w:p>
            <w:pPr>
              <w:pStyle w:val="Compact"/>
              <w:spacing w:before="0" w:after="0" w:line="240" w:lineRule="auto"/>
              <w:ind w:firstLine="0" w:left="0"/>
              <w:jc w:val="right"/>
            </w:pPr>
            <w:r>
              <w:rPr>
                <w:sz w:val="20"/>
                <w:szCs w:val="20"/>
              </w:rPr>
              <w:t xml:space="preserve">1.05</w:t>
            </w:r>
          </w:p>
        </w:tc>
        <w:tc>
          <w:tcPr/>
          <w:p>
            <w:pPr>
              <w:pStyle w:val="Compact"/>
              <w:spacing w:before="0" w:after="0" w:line="240" w:lineRule="auto"/>
              <w:ind w:firstLine="0" w:left="0"/>
              <w:jc w:val="right"/>
            </w:pPr>
            <w:r>
              <w:rPr>
                <w:sz w:val="20"/>
                <w:szCs w:val="20"/>
              </w:rPr>
              <w:t xml:space="preserve">1.07</w:t>
            </w:r>
          </w:p>
        </w:tc>
        <w:tc>
          <w:tcPr/>
          <w:p>
            <w:pPr>
              <w:pStyle w:val="Compact"/>
              <w:spacing w:before="0" w:after="0" w:line="240" w:lineRule="auto"/>
              <w:ind w:firstLine="0" w:left="0"/>
              <w:jc w:val="right"/>
            </w:pPr>
            <w:r>
              <w:rPr>
                <w:sz w:val="20"/>
                <w:szCs w:val="20"/>
              </w:rPr>
              <w:t xml:space="preserve">1.07</w:t>
            </w:r>
          </w:p>
        </w:tc>
        <w:tc>
          <w:tcPr/>
          <w:p>
            <w:pPr>
              <w:pStyle w:val="Compact"/>
              <w:spacing w:before="0" w:after="0" w:line="240" w:lineRule="auto"/>
              <w:ind w:firstLine="0" w:left="0"/>
              <w:jc w:val="right"/>
            </w:pPr>
            <w:r>
              <w:rPr>
                <w:sz w:val="20"/>
                <w:szCs w:val="20"/>
              </w:rPr>
              <w:t xml:space="preserve">1.08</w:t>
            </w:r>
          </w:p>
        </w:tc>
        <w:tc>
          <w:tcPr/>
          <w:p>
            <w:pPr>
              <w:pStyle w:val="Compact"/>
              <w:spacing w:before="0" w:after="0" w:line="240" w:lineRule="auto"/>
              <w:ind w:firstLine="0" w:left="0"/>
              <w:jc w:val="right"/>
            </w:pPr>
            <w:r>
              <w:rPr>
                <w:sz w:val="20"/>
                <w:szCs w:val="20"/>
              </w:rPr>
              <w:t xml:space="preserve">1.09</w:t>
            </w:r>
          </w:p>
        </w:tc>
        <w:tc>
          <w:tcPr/>
          <w:p>
            <w:pPr>
              <w:pStyle w:val="Compact"/>
              <w:spacing w:before="0" w:after="0" w:line="240" w:lineRule="auto"/>
              <w:ind w:firstLine="0" w:left="0"/>
              <w:jc w:val="right"/>
            </w:pPr>
            <w:r>
              <w:rPr>
                <w:sz w:val="20"/>
                <w:szCs w:val="20"/>
              </w:rPr>
              <w:t xml:space="preserve">1.09</w:t>
            </w:r>
          </w:p>
        </w:tc>
        <w:tc>
          <w:tcPr/>
          <w:p>
            <w:pPr>
              <w:pStyle w:val="Compact"/>
              <w:spacing w:before="0" w:after="0" w:line="240" w:lineRule="auto"/>
              <w:ind w:firstLine="0" w:left="0"/>
              <w:jc w:val="right"/>
            </w:pPr>
            <w:r>
              <w:rPr>
                <w:sz w:val="20"/>
                <w:szCs w:val="20"/>
              </w:rPr>
              <w:t xml:space="preserve">1.09</w:t>
            </w:r>
          </w:p>
        </w:tc>
        <w:tc>
          <w:tcPr/>
          <w:p>
            <w:pPr>
              <w:pStyle w:val="Compact"/>
              <w:spacing w:before="0" w:after="0" w:line="240" w:lineRule="auto"/>
              <w:ind w:firstLine="0" w:left="0"/>
              <w:jc w:val="right"/>
            </w:pPr>
            <w:r>
              <w:rPr>
                <w:sz w:val="20"/>
                <w:szCs w:val="20"/>
              </w:rPr>
              <w:t xml:space="preserve">1.09</w:t>
            </w:r>
          </w:p>
        </w:tc>
        <w:tc>
          <w:tcPr/>
          <w:p>
            <w:pPr>
              <w:pStyle w:val="Compact"/>
              <w:spacing w:before="0" w:after="0" w:line="240" w:lineRule="auto"/>
              <w:ind w:firstLine="0" w:left="0"/>
              <w:jc w:val="right"/>
            </w:pPr>
            <w:r>
              <w:rPr>
                <w:sz w:val="20"/>
                <w:szCs w:val="20"/>
              </w:rPr>
              <w:t xml:space="preserve">1.08</w:t>
            </w:r>
          </w:p>
        </w:tc>
      </w:tr>
      <w:tr>
        <w:tc>
          <w:tcPr/>
          <w:p>
            <w:pPr>
              <w:pStyle w:val="Compact"/>
              <w:spacing w:before="0" w:after="0" w:line="240" w:lineRule="auto"/>
              <w:ind w:firstLine="0" w:left="0"/>
              <w:jc w:val="left"/>
            </w:pPr>
            <w:r>
              <w:rPr>
                <w:sz w:val="20"/>
                <w:szCs w:val="20"/>
              </w:rPr>
              <w:t xml:space="preserve">AR</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r>
      <w:tr>
        <w:tc>
          <w:tcPr/>
          <w:p>
            <w:pPr>
              <w:pStyle w:val="Compact"/>
              <w:spacing w:before="0" w:after="0" w:line="240" w:lineRule="auto"/>
              <w:ind w:firstLine="0" w:left="0"/>
              <w:jc w:val="left"/>
            </w:pPr>
            <w:r>
              <w:rPr>
                <w:sz w:val="20"/>
                <w:szCs w:val="20"/>
              </w:rPr>
              <w:t xml:space="preserve">Factor (AR + PCs)</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1.00</w:t>
            </w:r>
          </w:p>
        </w:tc>
      </w:tr>
      <w:tr>
        <w:tc>
          <w:tcPr/>
          <w:p>
            <w:pPr>
              <w:pStyle w:val="Compact"/>
              <w:spacing w:before="0" w:after="0" w:line="240" w:lineRule="auto"/>
              <w:ind w:firstLine="0" w:left="0"/>
              <w:jc w:val="left"/>
            </w:pPr>
            <w:r>
              <w:rPr>
                <w:sz w:val="20"/>
                <w:szCs w:val="20"/>
              </w:rPr>
              <w:t xml:space="preserve">Ridge</w:t>
            </w:r>
          </w:p>
        </w:tc>
        <w:tc>
          <w:tcPr/>
          <w:p>
            <w:pPr>
              <w:pStyle w:val="Compact"/>
              <w:spacing w:before="0" w:after="0" w:line="240" w:lineRule="auto"/>
              <w:ind w:firstLine="0" w:left="0"/>
              <w:jc w:val="right"/>
            </w:pPr>
            <w:r>
              <w:rPr>
                <w:sz w:val="20"/>
                <w:szCs w:val="20"/>
              </w:rPr>
              <w:t xml:space="preserve">1.05</w:t>
            </w:r>
          </w:p>
        </w:tc>
        <w:tc>
          <w:tcPr/>
          <w:p>
            <w:pPr>
              <w:pStyle w:val="Compact"/>
              <w:spacing w:before="0" w:after="0" w:line="240" w:lineRule="auto"/>
              <w:ind w:firstLine="0" w:left="0"/>
              <w:jc w:val="right"/>
            </w:pPr>
            <w:r>
              <w:rPr>
                <w:sz w:val="20"/>
                <w:szCs w:val="20"/>
              </w:rPr>
              <w:t xml:space="preserve">1.08</w:t>
            </w:r>
          </w:p>
        </w:tc>
        <w:tc>
          <w:tcPr/>
          <w:p>
            <w:pPr>
              <w:pStyle w:val="Compact"/>
              <w:spacing w:before="0" w:after="0" w:line="240" w:lineRule="auto"/>
              <w:ind w:firstLine="0" w:left="0"/>
              <w:jc w:val="right"/>
            </w:pPr>
            <w:r>
              <w:rPr>
                <w:sz w:val="20"/>
                <w:szCs w:val="20"/>
              </w:rPr>
              <w:t xml:space="preserve">1.16</w:t>
            </w:r>
          </w:p>
        </w:tc>
        <w:tc>
          <w:tcPr/>
          <w:p>
            <w:pPr>
              <w:pStyle w:val="Compact"/>
              <w:spacing w:before="0" w:after="0" w:line="240" w:lineRule="auto"/>
              <w:ind w:firstLine="0" w:left="0"/>
              <w:jc w:val="right"/>
            </w:pPr>
            <w:r>
              <w:rPr>
                <w:sz w:val="20"/>
                <w:szCs w:val="20"/>
              </w:rPr>
              <w:t xml:space="preserve">1.22</w:t>
            </w:r>
          </w:p>
        </w:tc>
        <w:tc>
          <w:tcPr/>
          <w:p>
            <w:pPr>
              <w:pStyle w:val="Compact"/>
              <w:spacing w:before="0" w:after="0" w:line="240" w:lineRule="auto"/>
              <w:ind w:firstLine="0" w:left="0"/>
              <w:jc w:val="right"/>
            </w:pPr>
            <w:r>
              <w:rPr>
                <w:sz w:val="20"/>
                <w:szCs w:val="20"/>
              </w:rPr>
              <w:t xml:space="preserve">1.08</w:t>
            </w:r>
          </w:p>
        </w:tc>
        <w:tc>
          <w:tcPr/>
          <w:p>
            <w:pPr>
              <w:pStyle w:val="Compact"/>
              <w:spacing w:before="0" w:after="0" w:line="240" w:lineRule="auto"/>
              <w:ind w:firstLine="0" w:left="0"/>
              <w:jc w:val="right"/>
            </w:pPr>
            <w:r>
              <w:rPr>
                <w:sz w:val="20"/>
                <w:szCs w:val="20"/>
              </w:rPr>
              <w:t xml:space="preserve">1.08</w:t>
            </w:r>
          </w:p>
        </w:tc>
        <w:tc>
          <w:tcPr/>
          <w:p>
            <w:pPr>
              <w:pStyle w:val="Compact"/>
              <w:spacing w:before="0" w:after="0" w:line="240" w:lineRule="auto"/>
              <w:ind w:firstLine="0" w:left="0"/>
              <w:jc w:val="right"/>
            </w:pPr>
            <w:r>
              <w:rPr>
                <w:sz w:val="20"/>
                <w:szCs w:val="20"/>
              </w:rPr>
              <w:t xml:space="preserve">1.18</w:t>
            </w:r>
          </w:p>
        </w:tc>
        <w:tc>
          <w:tcPr/>
          <w:p>
            <w:pPr>
              <w:pStyle w:val="Compact"/>
              <w:spacing w:before="0" w:after="0" w:line="240" w:lineRule="auto"/>
              <w:ind w:firstLine="0" w:left="0"/>
              <w:jc w:val="right"/>
            </w:pPr>
            <w:r>
              <w:rPr>
                <w:sz w:val="20"/>
                <w:szCs w:val="20"/>
              </w:rPr>
              <w:t xml:space="preserve">1.34</w:t>
            </w:r>
          </w:p>
        </w:tc>
        <w:tc>
          <w:tcPr/>
          <w:p>
            <w:pPr>
              <w:pStyle w:val="Compact"/>
              <w:spacing w:before="0" w:after="0" w:line="240" w:lineRule="auto"/>
              <w:ind w:firstLine="0" w:left="0"/>
              <w:jc w:val="right"/>
            </w:pPr>
            <w:r>
              <w:rPr>
                <w:sz w:val="20"/>
                <w:szCs w:val="20"/>
              </w:rPr>
              <w:t xml:space="preserve">1.40</w:t>
            </w:r>
          </w:p>
        </w:tc>
        <w:tc>
          <w:tcPr/>
          <w:p>
            <w:pPr>
              <w:pStyle w:val="Compact"/>
              <w:spacing w:before="0" w:after="0" w:line="240" w:lineRule="auto"/>
              <w:ind w:firstLine="0" w:left="0"/>
              <w:jc w:val="right"/>
            </w:pPr>
            <w:r>
              <w:rPr>
                <w:sz w:val="20"/>
                <w:szCs w:val="20"/>
              </w:rPr>
              <w:t xml:space="preserve">1.13</w:t>
            </w:r>
          </w:p>
        </w:tc>
        <w:tc>
          <w:tcPr/>
          <w:p>
            <w:pPr>
              <w:pStyle w:val="Compact"/>
              <w:spacing w:before="0" w:after="0" w:line="240" w:lineRule="auto"/>
              <w:ind w:firstLine="0" w:left="0"/>
              <w:jc w:val="right"/>
            </w:pPr>
            <w:r>
              <w:rPr>
                <w:sz w:val="20"/>
                <w:szCs w:val="20"/>
              </w:rPr>
              <w:t xml:space="preserve">1.08</w:t>
            </w:r>
          </w:p>
        </w:tc>
        <w:tc>
          <w:tcPr/>
          <w:p>
            <w:pPr>
              <w:pStyle w:val="Compact"/>
              <w:spacing w:before="0" w:after="0" w:line="240" w:lineRule="auto"/>
              <w:ind w:firstLine="0" w:left="0"/>
              <w:jc w:val="right"/>
            </w:pPr>
            <w:r>
              <w:rPr>
                <w:sz w:val="20"/>
                <w:szCs w:val="20"/>
              </w:rPr>
              <w:t xml:space="preserve">1.02</w:t>
            </w:r>
          </w:p>
        </w:tc>
      </w:tr>
      <w:tr>
        <w:tc>
          <w:tcPr/>
          <w:p>
            <w:pPr>
              <w:pStyle w:val="Compact"/>
              <w:spacing w:before="0" w:after="0" w:line="240" w:lineRule="auto"/>
              <w:ind w:firstLine="0" w:left="0"/>
              <w:jc w:val="left"/>
            </w:pPr>
            <w:r>
              <w:rPr>
                <w:sz w:val="20"/>
                <w:szCs w:val="20"/>
              </w:rPr>
              <w:t xml:space="preserve">LASSO</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1.01</w:t>
            </w:r>
          </w:p>
        </w:tc>
      </w:tr>
      <w:tr>
        <w:tc>
          <w:tcPr/>
          <w:p>
            <w:pPr>
              <w:pStyle w:val="Compact"/>
              <w:spacing w:before="0" w:after="0" w:line="240" w:lineRule="auto"/>
              <w:ind w:firstLine="0" w:left="0"/>
              <w:jc w:val="left"/>
            </w:pPr>
            <w:r>
              <w:rPr>
                <w:sz w:val="20"/>
                <w:szCs w:val="20"/>
              </w:rPr>
              <w:t xml:space="preserve">Adaptive LASSO</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1.01</w:t>
            </w:r>
          </w:p>
        </w:tc>
      </w:tr>
      <w:tr>
        <w:tc>
          <w:tcPr/>
          <w:p>
            <w:pPr>
              <w:pStyle w:val="Compact"/>
              <w:spacing w:before="0" w:after="0" w:line="240" w:lineRule="auto"/>
              <w:ind w:firstLine="0" w:left="0"/>
              <w:jc w:val="left"/>
            </w:pPr>
            <w:r>
              <w:rPr>
                <w:sz w:val="20"/>
                <w:szCs w:val="20"/>
              </w:rPr>
              <w:t xml:space="preserve">Random forest</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1.04</w:t>
            </w:r>
          </w:p>
        </w:tc>
        <w:tc>
          <w:tcPr/>
          <w:p>
            <w:pPr>
              <w:pStyle w:val="Compact"/>
              <w:spacing w:before="0" w:after="0" w:line="240" w:lineRule="auto"/>
              <w:ind w:firstLine="0" w:left="0"/>
              <w:jc w:val="right"/>
            </w:pPr>
            <w:r>
              <w:rPr>
                <w:sz w:val="20"/>
                <w:szCs w:val="20"/>
              </w:rPr>
              <w:t xml:space="preserve">1.05</w:t>
            </w:r>
          </w:p>
        </w:tc>
        <w:tc>
          <w:tcPr/>
          <w:p>
            <w:pPr>
              <w:pStyle w:val="Compact"/>
              <w:spacing w:before="0" w:after="0" w:line="240" w:lineRule="auto"/>
              <w:ind w:firstLine="0" w:left="0"/>
              <w:jc w:val="right"/>
            </w:pPr>
            <w:r>
              <w:rPr>
                <w:sz w:val="20"/>
                <w:szCs w:val="20"/>
              </w:rPr>
              <w:t xml:space="preserve">1.03</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1.01</w:t>
            </w:r>
          </w:p>
        </w:tc>
      </w:tr>
      <w:tr>
        <w:tc>
          <w:tcPr/>
          <w:p>
            <w:pPr>
              <w:pStyle w:val="Compact"/>
              <w:spacing w:before="0" w:after="0" w:line="240" w:lineRule="auto"/>
              <w:ind w:firstLine="0" w:left="0"/>
              <w:jc w:val="left"/>
            </w:pPr>
            <w:r>
              <w:rPr>
                <w:sz w:val="20"/>
                <w:szCs w:val="20"/>
              </w:rPr>
              <w:t xml:space="preserve">Gradient boosting</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1.05</w:t>
            </w:r>
          </w:p>
        </w:tc>
        <w:tc>
          <w:tcPr/>
          <w:p>
            <w:pPr>
              <w:pStyle w:val="Compact"/>
              <w:spacing w:before="0" w:after="0" w:line="240" w:lineRule="auto"/>
              <w:ind w:firstLine="0" w:left="0"/>
              <w:jc w:val="right"/>
            </w:pPr>
            <w:r>
              <w:rPr>
                <w:sz w:val="20"/>
                <w:szCs w:val="20"/>
              </w:rPr>
              <w:t xml:space="preserve">1.04</w:t>
            </w:r>
          </w:p>
        </w:tc>
        <w:tc>
          <w:tcPr/>
          <w:p>
            <w:pPr>
              <w:pStyle w:val="Compact"/>
              <w:spacing w:before="0" w:after="0" w:line="240" w:lineRule="auto"/>
              <w:ind w:firstLine="0" w:left="0"/>
              <w:jc w:val="right"/>
            </w:pPr>
            <w:r>
              <w:rPr>
                <w:sz w:val="20"/>
                <w:szCs w:val="20"/>
              </w:rPr>
              <w:t xml:space="preserve">1.03</w:t>
            </w:r>
          </w:p>
        </w:tc>
        <w:tc>
          <w:tcPr/>
          <w:p>
            <w:pPr>
              <w:pStyle w:val="Compact"/>
              <w:spacing w:before="0" w:after="0" w:line="240" w:lineRule="auto"/>
              <w:ind w:firstLine="0" w:left="0"/>
              <w:jc w:val="right"/>
            </w:pPr>
            <w:r>
              <w:rPr>
                <w:sz w:val="20"/>
                <w:szCs w:val="20"/>
              </w:rPr>
              <w:t xml:space="preserve">1.06</w:t>
            </w:r>
          </w:p>
        </w:tc>
        <w:tc>
          <w:tcPr/>
          <w:p>
            <w:pPr>
              <w:pStyle w:val="Compact"/>
              <w:spacing w:before="0" w:after="0" w:line="240" w:lineRule="auto"/>
              <w:ind w:firstLine="0" w:left="0"/>
              <w:jc w:val="right"/>
            </w:pPr>
            <w:r>
              <w:rPr>
                <w:sz w:val="20"/>
                <w:szCs w:val="20"/>
              </w:rPr>
              <w:t xml:space="preserve">1.07</w:t>
            </w:r>
          </w:p>
        </w:tc>
        <w:tc>
          <w:tcPr/>
          <w:p>
            <w:pPr>
              <w:pStyle w:val="Compact"/>
              <w:spacing w:before="0" w:after="0" w:line="240" w:lineRule="auto"/>
              <w:ind w:firstLine="0" w:left="0"/>
              <w:jc w:val="right"/>
            </w:pPr>
            <w:r>
              <w:rPr>
                <w:sz w:val="20"/>
                <w:szCs w:val="20"/>
              </w:rPr>
              <w:t xml:space="preserve">1.10</w:t>
            </w:r>
          </w:p>
        </w:tc>
        <w:tc>
          <w:tcPr/>
          <w:p>
            <w:pPr>
              <w:pStyle w:val="Compact"/>
              <w:spacing w:before="0" w:after="0" w:line="240" w:lineRule="auto"/>
              <w:ind w:firstLine="0" w:left="0"/>
              <w:jc w:val="right"/>
            </w:pPr>
            <w:r>
              <w:rPr>
                <w:sz w:val="20"/>
                <w:szCs w:val="20"/>
              </w:rPr>
              <w:t xml:space="preserve">1.11</w:t>
            </w:r>
          </w:p>
        </w:tc>
        <w:tc>
          <w:tcPr/>
          <w:p>
            <w:pPr>
              <w:pStyle w:val="Compact"/>
              <w:spacing w:before="0" w:after="0" w:line="240" w:lineRule="auto"/>
              <w:ind w:firstLine="0" w:left="0"/>
              <w:jc w:val="right"/>
            </w:pPr>
            <w:r>
              <w:rPr>
                <w:sz w:val="20"/>
                <w:szCs w:val="20"/>
              </w:rPr>
              <w:t xml:space="preserve">1.10</w:t>
            </w:r>
          </w:p>
        </w:tc>
        <w:tc>
          <w:tcPr/>
          <w:p>
            <w:pPr>
              <w:pStyle w:val="Compact"/>
              <w:spacing w:before="0" w:after="0" w:line="240" w:lineRule="auto"/>
              <w:ind w:firstLine="0" w:left="0"/>
              <w:jc w:val="right"/>
            </w:pPr>
            <w:r>
              <w:rPr>
                <w:sz w:val="20"/>
                <w:szCs w:val="20"/>
              </w:rPr>
              <w:t xml:space="preserve">1.08</w:t>
            </w:r>
          </w:p>
        </w:tc>
        <w:tc>
          <w:tcPr/>
          <w:p>
            <w:pPr>
              <w:pStyle w:val="Compact"/>
              <w:spacing w:before="0" w:after="0" w:line="240" w:lineRule="auto"/>
              <w:ind w:firstLine="0" w:left="0"/>
              <w:jc w:val="right"/>
            </w:pPr>
            <w:r>
              <w:rPr>
                <w:sz w:val="20"/>
                <w:szCs w:val="20"/>
              </w:rPr>
              <w:t xml:space="preserve">1.08</w:t>
            </w:r>
          </w:p>
        </w:tc>
        <w:tc>
          <w:tcPr/>
          <w:p>
            <w:pPr>
              <w:pStyle w:val="Compact"/>
              <w:spacing w:before="0" w:after="0" w:line="240" w:lineRule="auto"/>
              <w:ind w:firstLine="0" w:left="0"/>
              <w:jc w:val="right"/>
            </w:pPr>
            <w:r>
              <w:rPr>
                <w:sz w:val="20"/>
                <w:szCs w:val="20"/>
              </w:rPr>
              <w:t xml:space="preserve">1.07</w:t>
            </w:r>
          </w:p>
        </w:tc>
      </w:tr>
      <w:tr>
        <w:tc>
          <w:tcPr/>
          <w:p>
            <w:pPr>
              <w:pStyle w:val="Compact"/>
              <w:spacing w:before="0" w:after="0" w:line="240" w:lineRule="auto"/>
              <w:ind w:firstLine="0" w:left="0"/>
              <w:jc w:val="left"/>
            </w:pPr>
            <w:r>
              <w:rPr>
                <w:sz w:val="20"/>
                <w:szCs w:val="20"/>
              </w:rPr>
              <w:t xml:space="preserve">ML combination</w:t>
            </w:r>
          </w:p>
        </w:tc>
        <w:tc>
          <w:tcPr/>
          <w:p>
            <w:pPr>
              <w:pStyle w:val="Compact"/>
              <w:spacing w:before="0" w:after="0" w:line="240" w:lineRule="auto"/>
              <w:ind w:firstLine="0" w:left="0"/>
              <w:jc w:val="right"/>
            </w:pPr>
            <w:r>
              <w:rPr>
                <w:sz w:val="20"/>
                <w:szCs w:val="20"/>
              </w:rPr>
              <w:t xml:space="preserve">0.98</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1.03</w:t>
            </w:r>
          </w:p>
        </w:tc>
        <w:tc>
          <w:tcPr/>
          <w:p>
            <w:pPr>
              <w:pStyle w:val="Compact"/>
              <w:spacing w:before="0" w:after="0" w:line="240" w:lineRule="auto"/>
              <w:ind w:firstLine="0" w:left="0"/>
              <w:jc w:val="right"/>
            </w:pPr>
            <w:r>
              <w:rPr>
                <w:sz w:val="20"/>
                <w:szCs w:val="20"/>
              </w:rPr>
              <w:t xml:space="preserve">1.04</w:t>
            </w:r>
          </w:p>
        </w:tc>
        <w:tc>
          <w:tcPr/>
          <w:p>
            <w:pPr>
              <w:pStyle w:val="Compact"/>
              <w:spacing w:before="0" w:after="0" w:line="240" w:lineRule="auto"/>
              <w:ind w:firstLine="0" w:left="0"/>
              <w:jc w:val="right"/>
            </w:pPr>
            <w:r>
              <w:rPr>
                <w:sz w:val="20"/>
                <w:szCs w:val="20"/>
              </w:rPr>
              <w:t xml:space="preserve">1.03</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1.01</w:t>
            </w:r>
          </w:p>
        </w:tc>
      </w:tr>
    </w:tbl>
    <w:p/>
    <w:p>
      <w:pPr>
        <w:pStyle w:val="TableCaption"/>
      </w:pPr>
      <w:r>
        <w:t xml:space="preserve">Table A4. Robustness: RMSE relative to the AR at the decisive cases</w:t>
      </w:r>
    </w:p>
    <w:tbl>
      <w:tblPr>
        <w:tblStyle w:val="Table"/>
        <w:tblW w:type="pct" w:w="5000"/>
        <w:tblBorders>
          <w:top w:val="single" w:sz="12" w:space="0" w:color="000000"/>
          <w:left w:val="nil"/>
          <w:bottom w:val="single" w:sz="12" w:space="0" w:color="000000"/>
          <w:right w:val="nil"/>
          <w:insideH w:val="nil"/>
          <w:insideV w:val="nil"/>
        </w:tblBorders>
        <w:tblLook w:firstRow="1" w:lastRow="0" w:firstColumn="0" w:lastColumn="0" w:noHBand="0" w:noVBand="0" w:val="0020"/>
        <w:jc w:val="start"/>
        <w:tblCaption w:val="Table A4. Robustness: RMSE relative to the AR at the decisive cases"/>
      </w:tblPr>
      <w:tblGrid>
        <w:gridCol w:w="2496"/>
        <w:gridCol w:w="1549"/>
        <w:gridCol w:w="774"/>
        <w:gridCol w:w="774"/>
        <w:gridCol w:w="1119"/>
        <w:gridCol w:w="1205"/>
      </w:tblGrid>
      <w:tr>
        <w:trPr>
          <w:tblHeader w:val="true"/>
        </w:trPr>
        <w:tc>
          <w:tcPr>
            <w:tcBorders>
              <w:bottom w:val="single" w:sz="6" w:space="0" w:color="000000"/>
            </w:tcBorders>
          </w:tcPr>
          <w:p>
            <w:pPr>
              <w:pStyle w:val="Compact"/>
              <w:spacing w:before="0" w:after="0" w:line="240" w:lineRule="auto"/>
              <w:ind w:firstLine="0" w:left="0"/>
              <w:jc w:val="left"/>
            </w:pPr>
            <w:r>
              <w:rPr>
                <w:sz w:val="20"/>
                <w:szCs w:val="20"/>
              </w:rPr>
              <w:t xml:space="preserve">Specification</w:t>
            </w:r>
          </w:p>
        </w:tc>
        <w:tc>
          <w:tcPr>
            <w:tcBorders>
              <w:bottom w:val="single" w:sz="6" w:space="0" w:color="000000"/>
            </w:tcBorders>
          </w:tcPr>
          <w:p>
            <w:pPr>
              <w:pStyle w:val="Compact"/>
              <w:spacing w:before="0" w:after="0" w:line="240" w:lineRule="auto"/>
              <w:ind w:firstLine="0" w:left="0"/>
              <w:jc w:val="left"/>
            </w:pPr>
            <w:r>
              <w:rPr>
                <w:sz w:val="20"/>
                <w:szCs w:val="20"/>
              </w:rPr>
              <w:t xml:space="preserve">Model</w:t>
            </w:r>
          </w:p>
        </w:tc>
        <w:tc>
          <w:tcPr>
            <w:tcBorders>
              <w:bottom w:val="single" w:sz="6" w:space="0" w:color="000000"/>
            </w:tcBorders>
          </w:tcPr>
          <w:p>
            <w:pPr>
              <w:pStyle w:val="Compact"/>
              <w:spacing w:before="0" w:after="0" w:line="240" w:lineRule="auto"/>
              <w:ind w:firstLine="0" w:left="0"/>
              <w:jc w:val="right"/>
            </w:pPr>
            <w:r>
              <w:rPr>
                <w:sz w:val="20"/>
                <w:szCs w:val="20"/>
              </w:rPr>
              <w:t xml:space="preserve">h = 1</w:t>
            </w:r>
          </w:p>
        </w:tc>
        <w:tc>
          <w:tcPr>
            <w:tcBorders>
              <w:bottom w:val="single" w:sz="6" w:space="0" w:color="000000"/>
            </w:tcBorders>
          </w:tcPr>
          <w:p>
            <w:pPr>
              <w:pStyle w:val="Compact"/>
              <w:spacing w:before="0" w:after="0" w:line="240" w:lineRule="auto"/>
              <w:ind w:firstLine="0" w:left="0"/>
              <w:jc w:val="right"/>
            </w:pPr>
            <w:r>
              <w:rPr>
                <w:sz w:val="20"/>
                <w:szCs w:val="20"/>
              </w:rPr>
              <w:t xml:space="preserve">h = 12</w:t>
            </w:r>
          </w:p>
        </w:tc>
        <w:tc>
          <w:tcPr>
            <w:tcBorders>
              <w:bottom w:val="single" w:sz="6" w:space="0" w:color="000000"/>
            </w:tcBorders>
          </w:tcPr>
          <w:p>
            <w:pPr>
              <w:pStyle w:val="Compact"/>
              <w:spacing w:before="0" w:after="0" w:line="240" w:lineRule="auto"/>
              <w:ind w:firstLine="0" w:left="0"/>
              <w:jc w:val="right"/>
            </w:pPr>
            <w:r>
              <w:rPr>
                <w:sz w:val="20"/>
                <w:szCs w:val="20"/>
              </w:rPr>
              <w:t xml:space="preserve">3-month acc.</w:t>
            </w:r>
          </w:p>
        </w:tc>
        <w:tc>
          <w:tcPr>
            <w:tcBorders>
              <w:bottom w:val="single" w:sz="6" w:space="0" w:color="000000"/>
            </w:tcBorders>
          </w:tcPr>
          <w:p>
            <w:pPr>
              <w:pStyle w:val="Compact"/>
              <w:spacing w:before="0" w:after="0" w:line="240" w:lineRule="auto"/>
              <w:ind w:firstLine="0" w:left="0"/>
              <w:jc w:val="right"/>
            </w:pPr>
            <w:r>
              <w:rPr>
                <w:sz w:val="20"/>
                <w:szCs w:val="20"/>
              </w:rPr>
              <w:t xml:space="preserve">12-month acc.</w:t>
            </w:r>
          </w:p>
        </w:tc>
      </w:tr>
      <w:tr>
        <w:tc>
          <w:tcPr/>
          <w:p>
            <w:pPr>
              <w:pStyle w:val="Compact"/>
              <w:spacing w:before="0" w:after="0" w:line="240" w:lineRule="auto"/>
              <w:ind w:firstLine="0" w:left="0"/>
              <w:jc w:val="left"/>
            </w:pPr>
            <w:r>
              <w:rPr>
                <w:sz w:val="20"/>
                <w:szCs w:val="20"/>
              </w:rPr>
              <w:t xml:space="preserve">Main</w:t>
            </w:r>
          </w:p>
        </w:tc>
        <w:tc>
          <w:tcPr/>
          <w:p>
            <w:pPr>
              <w:pStyle w:val="Compact"/>
              <w:spacing w:before="0" w:after="0" w:line="240" w:lineRule="auto"/>
              <w:ind w:firstLine="0" w:left="0"/>
              <w:jc w:val="left"/>
            </w:pPr>
            <w:r>
              <w:rPr>
                <w:sz w:val="20"/>
                <w:szCs w:val="20"/>
              </w:rPr>
              <w:t xml:space="preserve">Factor (AR + PCs)</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1.00</w:t>
            </w:r>
          </w:p>
        </w:tc>
      </w:tr>
      <w:tr>
        <w:tc>
          <w:tcPr/>
          <w:p>
            <w:pPr>
              <w:pStyle w:val="Compact"/>
              <w:spacing w:before="0" w:after="0" w:line="240" w:lineRule="auto"/>
              <w:ind w:firstLine="0" w:left="0"/>
              <w:jc w:val="left"/>
            </w:pPr>
            <w:r>
              <w:rPr>
                <w:sz w:val="20"/>
                <w:szCs w:val="20"/>
              </w:rPr>
              <w:t xml:space="preserve">Main</w:t>
            </w:r>
          </w:p>
        </w:tc>
        <w:tc>
          <w:tcPr/>
          <w:p>
            <w:pPr>
              <w:pStyle w:val="Compact"/>
              <w:spacing w:before="0" w:after="0" w:line="240" w:lineRule="auto"/>
              <w:ind w:firstLine="0" w:left="0"/>
              <w:jc w:val="left"/>
            </w:pPr>
            <w:r>
              <w:rPr>
                <w:sz w:val="20"/>
                <w:szCs w:val="20"/>
              </w:rPr>
              <w:t xml:space="preserve">LASSO</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1.01</w:t>
            </w:r>
          </w:p>
        </w:tc>
      </w:tr>
      <w:tr>
        <w:tc>
          <w:tcPr/>
          <w:p>
            <w:pPr>
              <w:pStyle w:val="Compact"/>
              <w:spacing w:before="0" w:after="0" w:line="240" w:lineRule="auto"/>
              <w:ind w:firstLine="0" w:left="0"/>
              <w:jc w:val="left"/>
            </w:pPr>
            <w:r>
              <w:rPr>
                <w:sz w:val="20"/>
                <w:szCs w:val="20"/>
              </w:rPr>
              <w:t xml:space="preserve">Main</w:t>
            </w:r>
          </w:p>
        </w:tc>
        <w:tc>
          <w:tcPr/>
          <w:p>
            <w:pPr>
              <w:pStyle w:val="Compact"/>
              <w:spacing w:before="0" w:after="0" w:line="240" w:lineRule="auto"/>
              <w:ind w:firstLine="0" w:left="0"/>
              <w:jc w:val="left"/>
            </w:pPr>
            <w:r>
              <w:rPr>
                <w:sz w:val="20"/>
                <w:szCs w:val="20"/>
              </w:rPr>
              <w:t xml:space="preserve">Random forest</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1.04</w:t>
            </w:r>
          </w:p>
        </w:tc>
      </w:tr>
      <w:tr>
        <w:tc>
          <w:tcPr/>
          <w:p>
            <w:pPr>
              <w:pStyle w:val="Compact"/>
              <w:spacing w:before="0" w:after="0" w:line="240" w:lineRule="auto"/>
              <w:ind w:firstLine="0" w:left="0"/>
              <w:jc w:val="left"/>
            </w:pPr>
            <w:r>
              <w:rPr>
                <w:sz w:val="20"/>
                <w:szCs w:val="20"/>
              </w:rPr>
              <w:t xml:space="preserve">Main</w:t>
            </w:r>
          </w:p>
        </w:tc>
        <w:tc>
          <w:tcPr/>
          <w:p>
            <w:pPr>
              <w:pStyle w:val="Compact"/>
              <w:spacing w:before="0" w:after="0" w:line="240" w:lineRule="auto"/>
              <w:ind w:firstLine="0" w:left="0"/>
              <w:jc w:val="left"/>
            </w:pPr>
            <w:r>
              <w:rPr>
                <w:sz w:val="20"/>
                <w:szCs w:val="20"/>
              </w:rPr>
              <w:t xml:space="preserve">ML combination</w:t>
            </w:r>
          </w:p>
        </w:tc>
        <w:tc>
          <w:tcPr/>
          <w:p>
            <w:pPr>
              <w:pStyle w:val="Compact"/>
              <w:spacing w:before="0" w:after="0" w:line="240" w:lineRule="auto"/>
              <w:ind w:firstLine="0" w:left="0"/>
              <w:jc w:val="right"/>
            </w:pPr>
            <w:r>
              <w:rPr>
                <w:sz w:val="20"/>
                <w:szCs w:val="20"/>
              </w:rPr>
              <w:t xml:space="preserve">0.98</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0.98</w:t>
            </w:r>
          </w:p>
        </w:tc>
        <w:tc>
          <w:tcPr/>
          <w:p>
            <w:pPr>
              <w:pStyle w:val="Compact"/>
              <w:spacing w:before="0" w:after="0" w:line="240" w:lineRule="auto"/>
              <w:ind w:firstLine="0" w:left="0"/>
              <w:jc w:val="right"/>
            </w:pPr>
            <w:r>
              <w:rPr>
                <w:sz w:val="20"/>
                <w:szCs w:val="20"/>
              </w:rPr>
              <w:t xml:space="preserve">1.03</w:t>
            </w:r>
          </w:p>
        </w:tc>
      </w:tr>
      <w:tr>
        <w:tc>
          <w:tcPr/>
          <w:p>
            <w:pPr>
              <w:pStyle w:val="Compact"/>
              <w:spacing w:before="0" w:after="0" w:line="240" w:lineRule="auto"/>
              <w:ind w:firstLine="0" w:left="0"/>
              <w:jc w:val="left"/>
            </w:pPr>
            <w:r>
              <w:rPr>
                <w:sz w:val="20"/>
                <w:szCs w:val="20"/>
              </w:rPr>
              <w:t xml:space="preserve">An expanding window</w:t>
            </w:r>
          </w:p>
        </w:tc>
        <w:tc>
          <w:tcPr/>
          <w:p>
            <w:pPr>
              <w:pStyle w:val="Compact"/>
              <w:spacing w:before="0" w:after="0" w:line="240" w:lineRule="auto"/>
              <w:ind w:firstLine="0" w:left="0"/>
              <w:jc w:val="left"/>
            </w:pPr>
            <w:r>
              <w:rPr>
                <w:sz w:val="20"/>
                <w:szCs w:val="20"/>
              </w:rPr>
              <w:t xml:space="preserve">Factor (AR + PCs)</w:t>
            </w:r>
          </w:p>
        </w:tc>
        <w:tc>
          <w:tcPr/>
          <w:p>
            <w:pPr>
              <w:pStyle w:val="Compact"/>
              <w:spacing w:before="0" w:after="0" w:line="240" w:lineRule="auto"/>
              <w:ind w:firstLine="0" w:left="0"/>
              <w:jc w:val="right"/>
            </w:pPr>
            <w:r>
              <w:rPr>
                <w:sz w:val="20"/>
                <w:szCs w:val="20"/>
              </w:rPr>
              <w:t xml:space="preserve">0.98</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r>
      <w:tr>
        <w:tc>
          <w:tcPr/>
          <w:p>
            <w:pPr>
              <w:pStyle w:val="Compact"/>
              <w:spacing w:before="0" w:after="0" w:line="240" w:lineRule="auto"/>
              <w:ind w:firstLine="0" w:left="0"/>
              <w:jc w:val="left"/>
            </w:pPr>
            <w:r>
              <w:rPr>
                <w:sz w:val="20"/>
                <w:szCs w:val="20"/>
              </w:rPr>
              <w:t xml:space="preserve">An expanding window</w:t>
            </w:r>
          </w:p>
        </w:tc>
        <w:tc>
          <w:tcPr/>
          <w:p>
            <w:pPr>
              <w:pStyle w:val="Compact"/>
              <w:spacing w:before="0" w:after="0" w:line="240" w:lineRule="auto"/>
              <w:ind w:firstLine="0" w:left="0"/>
              <w:jc w:val="left"/>
            </w:pPr>
            <w:r>
              <w:rPr>
                <w:sz w:val="20"/>
                <w:szCs w:val="20"/>
              </w:rPr>
              <w:t xml:space="preserve">LASSO</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0.98</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1.00</w:t>
            </w:r>
          </w:p>
        </w:tc>
      </w:tr>
      <w:tr>
        <w:tc>
          <w:tcPr/>
          <w:p>
            <w:pPr>
              <w:pStyle w:val="Compact"/>
              <w:spacing w:before="0" w:after="0" w:line="240" w:lineRule="auto"/>
              <w:ind w:firstLine="0" w:left="0"/>
              <w:jc w:val="left"/>
            </w:pPr>
            <w:r>
              <w:rPr>
                <w:sz w:val="20"/>
                <w:szCs w:val="20"/>
              </w:rPr>
              <w:t xml:space="preserve">An expanding window</w:t>
            </w:r>
          </w:p>
        </w:tc>
        <w:tc>
          <w:tcPr/>
          <w:p>
            <w:pPr>
              <w:pStyle w:val="Compact"/>
              <w:spacing w:before="0" w:after="0" w:line="240" w:lineRule="auto"/>
              <w:ind w:firstLine="0" w:left="0"/>
              <w:jc w:val="left"/>
            </w:pPr>
            <w:r>
              <w:rPr>
                <w:sz w:val="20"/>
                <w:szCs w:val="20"/>
              </w:rPr>
              <w:t xml:space="preserve">Random forest</w:t>
            </w:r>
          </w:p>
        </w:tc>
        <w:tc>
          <w:tcPr/>
          <w:p>
            <w:pPr>
              <w:pStyle w:val="Compact"/>
              <w:spacing w:before="0" w:after="0" w:line="240" w:lineRule="auto"/>
              <w:ind w:firstLine="0" w:left="0"/>
              <w:jc w:val="right"/>
            </w:pPr>
            <w:r>
              <w:rPr>
                <w:sz w:val="20"/>
                <w:szCs w:val="20"/>
              </w:rPr>
              <w:t xml:space="preserve">0.95*</w:t>
            </w:r>
          </w:p>
        </w:tc>
        <w:tc>
          <w:tcPr/>
          <w:p>
            <w:pPr>
              <w:pStyle w:val="Compact"/>
              <w:spacing w:before="0" w:after="0" w:line="240" w:lineRule="auto"/>
              <w:ind w:firstLine="0" w:left="0"/>
              <w:jc w:val="right"/>
            </w:pPr>
            <w:r>
              <w:rPr>
                <w:sz w:val="20"/>
                <w:szCs w:val="20"/>
              </w:rPr>
              <w:t xml:space="preserve">0.98</w:t>
            </w:r>
          </w:p>
        </w:tc>
        <w:tc>
          <w:tcPr/>
          <w:p>
            <w:pPr>
              <w:pStyle w:val="Compact"/>
              <w:spacing w:before="0" w:after="0" w:line="240" w:lineRule="auto"/>
              <w:ind w:firstLine="0" w:left="0"/>
              <w:jc w:val="right"/>
            </w:pPr>
            <w:r>
              <w:rPr>
                <w:sz w:val="20"/>
                <w:szCs w:val="20"/>
              </w:rPr>
              <w:t xml:space="preserve">0.96</w:t>
            </w:r>
          </w:p>
        </w:tc>
        <w:tc>
          <w:tcPr/>
          <w:p>
            <w:pPr>
              <w:pStyle w:val="Compact"/>
              <w:spacing w:before="0" w:after="0" w:line="240" w:lineRule="auto"/>
              <w:ind w:firstLine="0" w:left="0"/>
              <w:jc w:val="right"/>
            </w:pPr>
            <w:r>
              <w:rPr>
                <w:sz w:val="20"/>
                <w:szCs w:val="20"/>
              </w:rPr>
              <w:t xml:space="preserve">0.98</w:t>
            </w:r>
          </w:p>
        </w:tc>
      </w:tr>
      <w:tr>
        <w:tc>
          <w:tcPr/>
          <w:p>
            <w:pPr>
              <w:pStyle w:val="Compact"/>
              <w:spacing w:before="0" w:after="0" w:line="240" w:lineRule="auto"/>
              <w:ind w:firstLine="0" w:left="0"/>
              <w:jc w:val="left"/>
            </w:pPr>
            <w:r>
              <w:rPr>
                <w:sz w:val="20"/>
                <w:szCs w:val="20"/>
              </w:rPr>
              <w:t xml:space="preserve">An expanding window</w:t>
            </w:r>
          </w:p>
        </w:tc>
        <w:tc>
          <w:tcPr/>
          <w:p>
            <w:pPr>
              <w:pStyle w:val="Compact"/>
              <w:spacing w:before="0" w:after="0" w:line="240" w:lineRule="auto"/>
              <w:ind w:firstLine="0" w:left="0"/>
              <w:jc w:val="left"/>
            </w:pPr>
            <w:r>
              <w:rPr>
                <w:sz w:val="20"/>
                <w:szCs w:val="20"/>
              </w:rPr>
              <w:t xml:space="preserve">ML combination</w:t>
            </w:r>
          </w:p>
        </w:tc>
        <w:tc>
          <w:tcPr/>
          <w:p>
            <w:pPr>
              <w:pStyle w:val="Compact"/>
              <w:spacing w:before="0" w:after="0" w:line="240" w:lineRule="auto"/>
              <w:ind w:firstLine="0" w:left="0"/>
              <w:jc w:val="right"/>
            </w:pPr>
            <w:r>
              <w:rPr>
                <w:sz w:val="20"/>
                <w:szCs w:val="20"/>
              </w:rPr>
              <w:t xml:space="preserve">0.95**</w:t>
            </w:r>
          </w:p>
        </w:tc>
        <w:tc>
          <w:tcPr/>
          <w:p>
            <w:pPr>
              <w:pStyle w:val="Compact"/>
              <w:spacing w:before="0" w:after="0" w:line="240" w:lineRule="auto"/>
              <w:ind w:firstLine="0" w:left="0"/>
              <w:jc w:val="right"/>
            </w:pPr>
            <w:r>
              <w:rPr>
                <w:sz w:val="20"/>
                <w:szCs w:val="20"/>
              </w:rPr>
              <w:t xml:space="preserve">0.98</w:t>
            </w:r>
          </w:p>
        </w:tc>
        <w:tc>
          <w:tcPr/>
          <w:p>
            <w:pPr>
              <w:pStyle w:val="Compact"/>
              <w:spacing w:before="0" w:after="0" w:line="240" w:lineRule="auto"/>
              <w:ind w:firstLine="0" w:left="0"/>
              <w:jc w:val="right"/>
            </w:pPr>
            <w:r>
              <w:rPr>
                <w:sz w:val="20"/>
                <w:szCs w:val="20"/>
              </w:rPr>
              <w:t xml:space="preserve">0.96</w:t>
            </w:r>
          </w:p>
        </w:tc>
        <w:tc>
          <w:tcPr/>
          <w:p>
            <w:pPr>
              <w:pStyle w:val="Compact"/>
              <w:spacing w:before="0" w:after="0" w:line="240" w:lineRule="auto"/>
              <w:ind w:firstLine="0" w:left="0"/>
              <w:jc w:val="right"/>
            </w:pPr>
            <w:r>
              <w:rPr>
                <w:sz w:val="20"/>
                <w:szCs w:val="20"/>
              </w:rPr>
              <w:t xml:space="preserve">0.98</w:t>
            </w:r>
          </w:p>
        </w:tc>
      </w:tr>
      <w:tr>
        <w:tc>
          <w:tcPr/>
          <w:p>
            <w:pPr>
              <w:pStyle w:val="Compact"/>
              <w:spacing w:before="0" w:after="0" w:line="240" w:lineRule="auto"/>
              <w:ind w:firstLine="0" w:left="0"/>
              <w:jc w:val="left"/>
            </w:pPr>
            <w:r>
              <w:rPr>
                <w:sz w:val="20"/>
                <w:szCs w:val="20"/>
              </w:rPr>
              <w:t xml:space="preserve">A 96-month window</w:t>
            </w:r>
          </w:p>
        </w:tc>
        <w:tc>
          <w:tcPr/>
          <w:p>
            <w:pPr>
              <w:pStyle w:val="Compact"/>
              <w:spacing w:before="0" w:after="0" w:line="240" w:lineRule="auto"/>
              <w:ind w:firstLine="0" w:left="0"/>
              <w:jc w:val="left"/>
            </w:pPr>
            <w:r>
              <w:rPr>
                <w:sz w:val="20"/>
                <w:szCs w:val="20"/>
              </w:rPr>
              <w:t xml:space="preserve">Factor (AR + PCs)</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1.03</w:t>
            </w:r>
          </w:p>
        </w:tc>
      </w:tr>
      <w:tr>
        <w:tc>
          <w:tcPr/>
          <w:p>
            <w:pPr>
              <w:pStyle w:val="Compact"/>
              <w:spacing w:before="0" w:after="0" w:line="240" w:lineRule="auto"/>
              <w:ind w:firstLine="0" w:left="0"/>
              <w:jc w:val="left"/>
            </w:pPr>
            <w:r>
              <w:rPr>
                <w:sz w:val="20"/>
                <w:szCs w:val="20"/>
              </w:rPr>
              <w:t xml:space="preserve">A 96-month window</w:t>
            </w:r>
          </w:p>
        </w:tc>
        <w:tc>
          <w:tcPr/>
          <w:p>
            <w:pPr>
              <w:pStyle w:val="Compact"/>
              <w:spacing w:before="0" w:after="0" w:line="240" w:lineRule="auto"/>
              <w:ind w:firstLine="0" w:left="0"/>
              <w:jc w:val="left"/>
            </w:pPr>
            <w:r>
              <w:rPr>
                <w:sz w:val="20"/>
                <w:szCs w:val="20"/>
              </w:rPr>
              <w:t xml:space="preserve">LASSO</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0.99</w:t>
            </w:r>
          </w:p>
        </w:tc>
      </w:tr>
      <w:tr>
        <w:tc>
          <w:tcPr/>
          <w:p>
            <w:pPr>
              <w:pStyle w:val="Compact"/>
              <w:spacing w:before="0" w:after="0" w:line="240" w:lineRule="auto"/>
              <w:ind w:firstLine="0" w:left="0"/>
              <w:jc w:val="left"/>
            </w:pPr>
            <w:r>
              <w:rPr>
                <w:sz w:val="20"/>
                <w:szCs w:val="20"/>
              </w:rPr>
              <w:t xml:space="preserve">A 96-month window</w:t>
            </w:r>
          </w:p>
        </w:tc>
        <w:tc>
          <w:tcPr/>
          <w:p>
            <w:pPr>
              <w:pStyle w:val="Compact"/>
              <w:spacing w:before="0" w:after="0" w:line="240" w:lineRule="auto"/>
              <w:ind w:firstLine="0" w:left="0"/>
              <w:jc w:val="left"/>
            </w:pPr>
            <w:r>
              <w:rPr>
                <w:sz w:val="20"/>
                <w:szCs w:val="20"/>
              </w:rPr>
              <w:t xml:space="preserve">Random forest</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0.98</w:t>
            </w:r>
          </w:p>
        </w:tc>
        <w:tc>
          <w:tcPr/>
          <w:p>
            <w:pPr>
              <w:pStyle w:val="Compact"/>
              <w:spacing w:before="0" w:after="0" w:line="240" w:lineRule="auto"/>
              <w:ind w:firstLine="0" w:left="0"/>
              <w:jc w:val="right"/>
            </w:pPr>
            <w:r>
              <w:rPr>
                <w:sz w:val="20"/>
                <w:szCs w:val="20"/>
              </w:rPr>
              <w:t xml:space="preserve">1.01</w:t>
            </w:r>
          </w:p>
        </w:tc>
      </w:tr>
      <w:tr>
        <w:tc>
          <w:tcPr/>
          <w:p>
            <w:pPr>
              <w:pStyle w:val="Compact"/>
              <w:spacing w:before="0" w:after="0" w:line="240" w:lineRule="auto"/>
              <w:ind w:firstLine="0" w:left="0"/>
              <w:jc w:val="left"/>
            </w:pPr>
            <w:r>
              <w:rPr>
                <w:sz w:val="20"/>
                <w:szCs w:val="20"/>
              </w:rPr>
              <w:t xml:space="preserve">A 96-month window</w:t>
            </w:r>
          </w:p>
        </w:tc>
        <w:tc>
          <w:tcPr/>
          <w:p>
            <w:pPr>
              <w:pStyle w:val="Compact"/>
              <w:spacing w:before="0" w:after="0" w:line="240" w:lineRule="auto"/>
              <w:ind w:firstLine="0" w:left="0"/>
              <w:jc w:val="left"/>
            </w:pPr>
            <w:r>
              <w:rPr>
                <w:sz w:val="20"/>
                <w:szCs w:val="20"/>
              </w:rPr>
              <w:t xml:space="preserve">ML combination</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0.98</w:t>
            </w:r>
          </w:p>
        </w:tc>
        <w:tc>
          <w:tcPr/>
          <w:p>
            <w:pPr>
              <w:pStyle w:val="Compact"/>
              <w:spacing w:before="0" w:after="0" w:line="240" w:lineRule="auto"/>
              <w:ind w:firstLine="0" w:left="0"/>
              <w:jc w:val="right"/>
            </w:pPr>
            <w:r>
              <w:rPr>
                <w:sz w:val="20"/>
                <w:szCs w:val="20"/>
              </w:rPr>
              <w:t xml:space="preserve">1.00</w:t>
            </w:r>
          </w:p>
        </w:tc>
      </w:tr>
      <w:tr>
        <w:tc>
          <w:tcPr/>
          <w:p>
            <w:pPr>
              <w:pStyle w:val="Compact"/>
              <w:spacing w:before="0" w:after="0" w:line="240" w:lineRule="auto"/>
              <w:ind w:firstLine="0" w:left="0"/>
              <w:jc w:val="left"/>
            </w:pPr>
            <w:r>
              <w:rPr>
                <w:sz w:val="20"/>
                <w:szCs w:val="20"/>
              </w:rPr>
              <w:t xml:space="preserve">A 180-month window</w:t>
            </w:r>
          </w:p>
        </w:tc>
        <w:tc>
          <w:tcPr/>
          <w:p>
            <w:pPr>
              <w:pStyle w:val="Compact"/>
              <w:spacing w:before="0" w:after="0" w:line="240" w:lineRule="auto"/>
              <w:ind w:firstLine="0" w:left="0"/>
              <w:jc w:val="left"/>
            </w:pPr>
            <w:r>
              <w:rPr>
                <w:sz w:val="20"/>
                <w:szCs w:val="20"/>
              </w:rPr>
              <w:t xml:space="preserve">Factor (AR + PCs)</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1.00</w:t>
            </w:r>
          </w:p>
        </w:tc>
      </w:tr>
      <w:tr>
        <w:tc>
          <w:tcPr/>
          <w:p>
            <w:pPr>
              <w:pStyle w:val="Compact"/>
              <w:spacing w:before="0" w:after="0" w:line="240" w:lineRule="auto"/>
              <w:ind w:firstLine="0" w:left="0"/>
              <w:jc w:val="left"/>
            </w:pPr>
            <w:r>
              <w:rPr>
                <w:sz w:val="20"/>
                <w:szCs w:val="20"/>
              </w:rPr>
              <w:t xml:space="preserve">A 180-month window</w:t>
            </w:r>
          </w:p>
        </w:tc>
        <w:tc>
          <w:tcPr/>
          <w:p>
            <w:pPr>
              <w:pStyle w:val="Compact"/>
              <w:spacing w:before="0" w:after="0" w:line="240" w:lineRule="auto"/>
              <w:ind w:firstLine="0" w:left="0"/>
              <w:jc w:val="left"/>
            </w:pPr>
            <w:r>
              <w:rPr>
                <w:sz w:val="20"/>
                <w:szCs w:val="20"/>
              </w:rPr>
              <w:t xml:space="preserve">LASSO</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1.01</w:t>
            </w:r>
          </w:p>
        </w:tc>
      </w:tr>
      <w:tr>
        <w:tc>
          <w:tcPr/>
          <w:p>
            <w:pPr>
              <w:pStyle w:val="Compact"/>
              <w:spacing w:before="0" w:after="0" w:line="240" w:lineRule="auto"/>
              <w:ind w:firstLine="0" w:left="0"/>
              <w:jc w:val="left"/>
            </w:pPr>
            <w:r>
              <w:rPr>
                <w:sz w:val="20"/>
                <w:szCs w:val="20"/>
              </w:rPr>
              <w:t xml:space="preserve">A 180-month window</w:t>
            </w:r>
          </w:p>
        </w:tc>
        <w:tc>
          <w:tcPr/>
          <w:p>
            <w:pPr>
              <w:pStyle w:val="Compact"/>
              <w:spacing w:before="0" w:after="0" w:line="240" w:lineRule="auto"/>
              <w:ind w:firstLine="0" w:left="0"/>
              <w:jc w:val="left"/>
            </w:pPr>
            <w:r>
              <w:rPr>
                <w:sz w:val="20"/>
                <w:szCs w:val="20"/>
              </w:rPr>
              <w:t xml:space="preserve">Random forest</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1.03</w:t>
            </w:r>
          </w:p>
        </w:tc>
      </w:tr>
      <w:tr>
        <w:tc>
          <w:tcPr/>
          <w:p>
            <w:pPr>
              <w:pStyle w:val="Compact"/>
              <w:spacing w:before="0" w:after="0" w:line="240" w:lineRule="auto"/>
              <w:ind w:firstLine="0" w:left="0"/>
              <w:jc w:val="left"/>
            </w:pPr>
            <w:r>
              <w:rPr>
                <w:sz w:val="20"/>
                <w:szCs w:val="20"/>
              </w:rPr>
              <w:t xml:space="preserve">A 180-month window</w:t>
            </w:r>
          </w:p>
        </w:tc>
        <w:tc>
          <w:tcPr/>
          <w:p>
            <w:pPr>
              <w:pStyle w:val="Compact"/>
              <w:spacing w:before="0" w:after="0" w:line="240" w:lineRule="auto"/>
              <w:ind w:firstLine="0" w:left="0"/>
              <w:jc w:val="left"/>
            </w:pPr>
            <w:r>
              <w:rPr>
                <w:sz w:val="20"/>
                <w:szCs w:val="20"/>
              </w:rPr>
              <w:t xml:space="preserve">ML combination</w:t>
            </w:r>
          </w:p>
        </w:tc>
        <w:tc>
          <w:tcPr/>
          <w:p>
            <w:pPr>
              <w:pStyle w:val="Compact"/>
              <w:spacing w:before="0" w:after="0" w:line="240" w:lineRule="auto"/>
              <w:ind w:firstLine="0" w:left="0"/>
              <w:jc w:val="right"/>
            </w:pPr>
            <w:r>
              <w:rPr>
                <w:sz w:val="20"/>
                <w:szCs w:val="20"/>
              </w:rPr>
              <w:t xml:space="preserve">0.97</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1.01</w:t>
            </w:r>
          </w:p>
        </w:tc>
      </w:tr>
      <w:tr>
        <w:tc>
          <w:tcPr/>
          <w:p>
            <w:pPr>
              <w:pStyle w:val="Compact"/>
              <w:spacing w:before="0" w:after="0" w:line="240" w:lineRule="auto"/>
              <w:ind w:firstLine="0" w:left="0"/>
              <w:jc w:val="left"/>
            </w:pPr>
            <w:r>
              <w:rPr>
                <w:sz w:val="20"/>
                <w:szCs w:val="20"/>
              </w:rPr>
              <w:t xml:space="preserve">Targets up to december 2019 only</w:t>
            </w:r>
          </w:p>
        </w:tc>
        <w:tc>
          <w:tcPr/>
          <w:p>
            <w:pPr>
              <w:pStyle w:val="Compact"/>
              <w:spacing w:before="0" w:after="0" w:line="240" w:lineRule="auto"/>
              <w:ind w:firstLine="0" w:left="0"/>
              <w:jc w:val="left"/>
            </w:pPr>
            <w:r>
              <w:rPr>
                <w:sz w:val="20"/>
                <w:szCs w:val="20"/>
              </w:rPr>
              <w:t xml:space="preserve">Factor (AR + PCs)</w:t>
            </w:r>
          </w:p>
        </w:tc>
        <w:tc>
          <w:tcPr/>
          <w:p>
            <w:pPr>
              <w:pStyle w:val="Compact"/>
              <w:spacing w:before="0" w:after="0" w:line="240" w:lineRule="auto"/>
              <w:ind w:firstLine="0" w:left="0"/>
              <w:jc w:val="right"/>
            </w:pPr>
            <w:r>
              <w:rPr>
                <w:sz w:val="20"/>
                <w:szCs w:val="20"/>
              </w:rPr>
              <w:t xml:space="preserve">0.97</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0.98</w:t>
            </w:r>
          </w:p>
        </w:tc>
        <w:tc>
          <w:tcPr/>
          <w:p>
            <w:pPr>
              <w:pStyle w:val="Compact"/>
              <w:spacing w:before="0" w:after="0" w:line="240" w:lineRule="auto"/>
              <w:ind w:firstLine="0" w:left="0"/>
              <w:jc w:val="right"/>
            </w:pPr>
            <w:r>
              <w:rPr>
                <w:sz w:val="20"/>
                <w:szCs w:val="20"/>
              </w:rPr>
              <w:t xml:space="preserve">1.01</w:t>
            </w:r>
          </w:p>
        </w:tc>
      </w:tr>
      <w:tr>
        <w:tc>
          <w:tcPr/>
          <w:p>
            <w:pPr>
              <w:pStyle w:val="Compact"/>
              <w:spacing w:before="0" w:after="0" w:line="240" w:lineRule="auto"/>
              <w:ind w:firstLine="0" w:left="0"/>
              <w:jc w:val="left"/>
            </w:pPr>
            <w:r>
              <w:rPr>
                <w:sz w:val="20"/>
                <w:szCs w:val="20"/>
              </w:rPr>
              <w:t xml:space="preserve">Targets up to december 2019 only</w:t>
            </w:r>
          </w:p>
        </w:tc>
        <w:tc>
          <w:tcPr/>
          <w:p>
            <w:pPr>
              <w:pStyle w:val="Compact"/>
              <w:spacing w:before="0" w:after="0" w:line="240" w:lineRule="auto"/>
              <w:ind w:firstLine="0" w:left="0"/>
              <w:jc w:val="left"/>
            </w:pPr>
            <w:r>
              <w:rPr>
                <w:sz w:val="20"/>
                <w:szCs w:val="20"/>
              </w:rPr>
              <w:t xml:space="preserve">LASSO</w:t>
            </w:r>
          </w:p>
        </w:tc>
        <w:tc>
          <w:tcPr/>
          <w:p>
            <w:pPr>
              <w:pStyle w:val="Compact"/>
              <w:spacing w:before="0" w:after="0" w:line="240" w:lineRule="auto"/>
              <w:ind w:firstLine="0" w:left="0"/>
              <w:jc w:val="right"/>
            </w:pPr>
            <w:r>
              <w:rPr>
                <w:sz w:val="20"/>
                <w:szCs w:val="20"/>
              </w:rPr>
              <w:t xml:space="preserve">1.03</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1.03</w:t>
            </w:r>
          </w:p>
        </w:tc>
        <w:tc>
          <w:tcPr/>
          <w:p>
            <w:pPr>
              <w:pStyle w:val="Compact"/>
              <w:spacing w:before="0" w:after="0" w:line="240" w:lineRule="auto"/>
              <w:ind w:firstLine="0" w:left="0"/>
              <w:jc w:val="right"/>
            </w:pPr>
            <w:r>
              <w:rPr>
                <w:sz w:val="20"/>
                <w:szCs w:val="20"/>
              </w:rPr>
              <w:t xml:space="preserve">1.03</w:t>
            </w:r>
          </w:p>
        </w:tc>
      </w:tr>
      <w:tr>
        <w:tc>
          <w:tcPr/>
          <w:p>
            <w:pPr>
              <w:pStyle w:val="Compact"/>
              <w:spacing w:before="0" w:after="0" w:line="240" w:lineRule="auto"/>
              <w:ind w:firstLine="0" w:left="0"/>
              <w:jc w:val="left"/>
            </w:pPr>
            <w:r>
              <w:rPr>
                <w:sz w:val="20"/>
                <w:szCs w:val="20"/>
              </w:rPr>
              <w:t xml:space="preserve">Targets up to december 2019 only</w:t>
            </w:r>
          </w:p>
        </w:tc>
        <w:tc>
          <w:tcPr/>
          <w:p>
            <w:pPr>
              <w:pStyle w:val="Compact"/>
              <w:spacing w:before="0" w:after="0" w:line="240" w:lineRule="auto"/>
              <w:ind w:firstLine="0" w:left="0"/>
              <w:jc w:val="left"/>
            </w:pPr>
            <w:r>
              <w:rPr>
                <w:sz w:val="20"/>
                <w:szCs w:val="20"/>
              </w:rPr>
              <w:t xml:space="preserve">Random forest</w:t>
            </w:r>
          </w:p>
        </w:tc>
        <w:tc>
          <w:tcPr/>
          <w:p>
            <w:pPr>
              <w:pStyle w:val="Compact"/>
              <w:spacing w:before="0" w:after="0" w:line="240" w:lineRule="auto"/>
              <w:ind w:firstLine="0" w:left="0"/>
              <w:jc w:val="right"/>
            </w:pPr>
            <w:r>
              <w:rPr>
                <w:sz w:val="20"/>
                <w:szCs w:val="20"/>
              </w:rPr>
              <w:t xml:space="preserve">0.98</w:t>
            </w:r>
          </w:p>
        </w:tc>
        <w:tc>
          <w:tcPr/>
          <w:p>
            <w:pPr>
              <w:pStyle w:val="Compact"/>
              <w:spacing w:before="0" w:after="0" w:line="240" w:lineRule="auto"/>
              <w:ind w:firstLine="0" w:left="0"/>
              <w:jc w:val="right"/>
            </w:pPr>
            <w:r>
              <w:rPr>
                <w:sz w:val="20"/>
                <w:szCs w:val="20"/>
              </w:rPr>
              <w:t xml:space="preserve">0.98</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1.09</w:t>
            </w:r>
          </w:p>
        </w:tc>
      </w:tr>
      <w:tr>
        <w:tc>
          <w:tcPr/>
          <w:p>
            <w:pPr>
              <w:pStyle w:val="Compact"/>
              <w:spacing w:before="0" w:after="0" w:line="240" w:lineRule="auto"/>
              <w:ind w:firstLine="0" w:left="0"/>
              <w:jc w:val="left"/>
            </w:pPr>
            <w:r>
              <w:rPr>
                <w:sz w:val="20"/>
                <w:szCs w:val="20"/>
              </w:rPr>
              <w:t xml:space="preserve">Targets up to december 2019 only</w:t>
            </w:r>
          </w:p>
        </w:tc>
        <w:tc>
          <w:tcPr/>
          <w:p>
            <w:pPr>
              <w:pStyle w:val="Compact"/>
              <w:spacing w:before="0" w:after="0" w:line="240" w:lineRule="auto"/>
              <w:ind w:firstLine="0" w:left="0"/>
              <w:jc w:val="left"/>
            </w:pPr>
            <w:r>
              <w:rPr>
                <w:sz w:val="20"/>
                <w:szCs w:val="20"/>
              </w:rPr>
              <w:t xml:space="preserve">ML combination</w:t>
            </w:r>
          </w:p>
        </w:tc>
        <w:tc>
          <w:tcPr/>
          <w:p>
            <w:pPr>
              <w:pStyle w:val="Compact"/>
              <w:spacing w:before="0" w:after="0" w:line="240" w:lineRule="auto"/>
              <w:ind w:firstLine="0" w:left="0"/>
              <w:jc w:val="right"/>
            </w:pPr>
            <w:r>
              <w:rPr>
                <w:sz w:val="20"/>
                <w:szCs w:val="20"/>
              </w:rPr>
              <w:t xml:space="preserve">0.98</w:t>
            </w:r>
          </w:p>
        </w:tc>
        <w:tc>
          <w:tcPr/>
          <w:p>
            <w:pPr>
              <w:pStyle w:val="Compact"/>
              <w:spacing w:before="0" w:after="0" w:line="240" w:lineRule="auto"/>
              <w:ind w:firstLine="0" w:left="0"/>
              <w:jc w:val="right"/>
            </w:pPr>
            <w:r>
              <w:rPr>
                <w:sz w:val="20"/>
                <w:szCs w:val="20"/>
              </w:rPr>
              <w:t xml:space="preserve">0.98</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1.07</w:t>
            </w:r>
          </w:p>
        </w:tc>
      </w:tr>
      <w:tr>
        <w:tc>
          <w:tcPr/>
          <w:p>
            <w:pPr>
              <w:pStyle w:val="Compact"/>
              <w:spacing w:before="0" w:after="0" w:line="240" w:lineRule="auto"/>
              <w:ind w:firstLine="0" w:left="0"/>
              <w:jc w:val="left"/>
            </w:pPr>
            <w:r>
              <w:rPr>
                <w:sz w:val="20"/>
                <w:szCs w:val="20"/>
              </w:rPr>
              <w:t xml:space="preserve">Only world prices and money as predictors</w:t>
            </w:r>
          </w:p>
        </w:tc>
        <w:tc>
          <w:tcPr/>
          <w:p>
            <w:pPr>
              <w:pStyle w:val="Compact"/>
              <w:spacing w:before="0" w:after="0" w:line="240" w:lineRule="auto"/>
              <w:ind w:firstLine="0" w:left="0"/>
              <w:jc w:val="left"/>
            </w:pPr>
            <w:r>
              <w:rPr>
                <w:sz w:val="20"/>
                <w:szCs w:val="20"/>
              </w:rPr>
              <w:t xml:space="preserve">Factor (AR + PCs)</w:t>
            </w:r>
          </w:p>
        </w:tc>
        <w:tc>
          <w:tcPr/>
          <w:p>
            <w:pPr>
              <w:pStyle w:val="Compact"/>
              <w:spacing w:before="0" w:after="0" w:line="240" w:lineRule="auto"/>
              <w:ind w:firstLine="0" w:left="0"/>
              <w:jc w:val="right"/>
            </w:pPr>
            <w:r>
              <w:rPr>
                <w:sz w:val="20"/>
                <w:szCs w:val="20"/>
              </w:rPr>
              <w:t xml:space="preserve">0.98</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1.01</w:t>
            </w:r>
          </w:p>
        </w:tc>
      </w:tr>
      <w:tr>
        <w:tc>
          <w:tcPr/>
          <w:p>
            <w:pPr>
              <w:pStyle w:val="Compact"/>
              <w:spacing w:before="0" w:after="0" w:line="240" w:lineRule="auto"/>
              <w:ind w:firstLine="0" w:left="0"/>
              <w:jc w:val="left"/>
            </w:pPr>
            <w:r>
              <w:rPr>
                <w:sz w:val="20"/>
                <w:szCs w:val="20"/>
              </w:rPr>
              <w:t xml:space="preserve">Only world prices and money as predictors</w:t>
            </w:r>
          </w:p>
        </w:tc>
        <w:tc>
          <w:tcPr/>
          <w:p>
            <w:pPr>
              <w:pStyle w:val="Compact"/>
              <w:spacing w:before="0" w:after="0" w:line="240" w:lineRule="auto"/>
              <w:ind w:firstLine="0" w:left="0"/>
              <w:jc w:val="left"/>
            </w:pPr>
            <w:r>
              <w:rPr>
                <w:sz w:val="20"/>
                <w:szCs w:val="20"/>
              </w:rPr>
              <w:t xml:space="preserve">LASSO</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1.02</w:t>
            </w:r>
          </w:p>
        </w:tc>
      </w:tr>
      <w:tr>
        <w:tc>
          <w:tcPr/>
          <w:p>
            <w:pPr>
              <w:pStyle w:val="Compact"/>
              <w:spacing w:before="0" w:after="0" w:line="240" w:lineRule="auto"/>
              <w:ind w:firstLine="0" w:left="0"/>
              <w:jc w:val="left"/>
            </w:pPr>
            <w:r>
              <w:rPr>
                <w:sz w:val="20"/>
                <w:szCs w:val="20"/>
              </w:rPr>
              <w:t xml:space="preserve">Only world prices and money as predictors</w:t>
            </w:r>
          </w:p>
        </w:tc>
        <w:tc>
          <w:tcPr/>
          <w:p>
            <w:pPr>
              <w:pStyle w:val="Compact"/>
              <w:spacing w:before="0" w:after="0" w:line="240" w:lineRule="auto"/>
              <w:ind w:firstLine="0" w:left="0"/>
              <w:jc w:val="left"/>
            </w:pPr>
            <w:r>
              <w:rPr>
                <w:sz w:val="20"/>
                <w:szCs w:val="20"/>
              </w:rPr>
              <w:t xml:space="preserve">Random forest</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1.05</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1.07</w:t>
            </w:r>
          </w:p>
        </w:tc>
      </w:tr>
      <w:tr>
        <w:tc>
          <w:tcPr/>
          <w:p>
            <w:pPr>
              <w:pStyle w:val="Compact"/>
              <w:spacing w:before="0" w:after="0" w:line="240" w:lineRule="auto"/>
              <w:ind w:firstLine="0" w:left="0"/>
              <w:jc w:val="left"/>
            </w:pPr>
            <w:r>
              <w:rPr>
                <w:sz w:val="20"/>
                <w:szCs w:val="20"/>
              </w:rPr>
              <w:t xml:space="preserve">Only world prices and money as predictors</w:t>
            </w:r>
          </w:p>
        </w:tc>
        <w:tc>
          <w:tcPr/>
          <w:p>
            <w:pPr>
              <w:pStyle w:val="Compact"/>
              <w:spacing w:before="0" w:after="0" w:line="240" w:lineRule="auto"/>
              <w:ind w:firstLine="0" w:left="0"/>
              <w:jc w:val="left"/>
            </w:pPr>
            <w:r>
              <w:rPr>
                <w:sz w:val="20"/>
                <w:szCs w:val="20"/>
              </w:rPr>
              <w:t xml:space="preserve">ML combination</w:t>
            </w:r>
          </w:p>
        </w:tc>
        <w:tc>
          <w:tcPr/>
          <w:p>
            <w:pPr>
              <w:pStyle w:val="Compact"/>
              <w:spacing w:before="0" w:after="0" w:line="240" w:lineRule="auto"/>
              <w:ind w:firstLine="0" w:left="0"/>
              <w:jc w:val="right"/>
            </w:pPr>
            <w:r>
              <w:rPr>
                <w:sz w:val="20"/>
                <w:szCs w:val="20"/>
              </w:rPr>
              <w:t xml:space="preserve">0.97</w:t>
            </w:r>
          </w:p>
        </w:tc>
        <w:tc>
          <w:tcPr/>
          <w:p>
            <w:pPr>
              <w:pStyle w:val="Compact"/>
              <w:spacing w:before="0" w:after="0" w:line="240" w:lineRule="auto"/>
              <w:ind w:firstLine="0" w:left="0"/>
              <w:jc w:val="right"/>
            </w:pPr>
            <w:r>
              <w:rPr>
                <w:sz w:val="20"/>
                <w:szCs w:val="20"/>
              </w:rPr>
              <w:t xml:space="preserve">1.04</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1.05</w:t>
            </w:r>
          </w:p>
        </w:tc>
      </w:tr>
      <w:tr>
        <w:tc>
          <w:tcPr/>
          <w:p>
            <w:pPr>
              <w:pStyle w:val="Compact"/>
              <w:spacing w:before="0" w:after="0" w:line="240" w:lineRule="auto"/>
              <w:ind w:firstLine="0" w:left="0"/>
              <w:jc w:val="left"/>
            </w:pPr>
            <w:r>
              <w:rPr>
                <w:sz w:val="20"/>
                <w:szCs w:val="20"/>
              </w:rPr>
              <w:t xml:space="preserve">A dummy for the january 2018 join</w:t>
            </w:r>
          </w:p>
        </w:tc>
        <w:tc>
          <w:tcPr/>
          <w:p>
            <w:pPr>
              <w:pStyle w:val="Compact"/>
              <w:spacing w:before="0" w:after="0" w:line="240" w:lineRule="auto"/>
              <w:ind w:firstLine="0" w:left="0"/>
              <w:jc w:val="left"/>
            </w:pPr>
            <w:r>
              <w:rPr>
                <w:sz w:val="20"/>
                <w:szCs w:val="20"/>
              </w:rPr>
              <w:t xml:space="preserve">Factor (AR + PCs)</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1.00</w:t>
            </w:r>
          </w:p>
        </w:tc>
      </w:tr>
      <w:tr>
        <w:tc>
          <w:tcPr/>
          <w:p>
            <w:pPr>
              <w:pStyle w:val="Compact"/>
              <w:spacing w:before="0" w:after="0" w:line="240" w:lineRule="auto"/>
              <w:ind w:firstLine="0" w:left="0"/>
              <w:jc w:val="left"/>
            </w:pPr>
            <w:r>
              <w:rPr>
                <w:sz w:val="20"/>
                <w:szCs w:val="20"/>
              </w:rPr>
              <w:t xml:space="preserve">A dummy for the january 2018 join</w:t>
            </w:r>
          </w:p>
        </w:tc>
        <w:tc>
          <w:tcPr/>
          <w:p>
            <w:pPr>
              <w:pStyle w:val="Compact"/>
              <w:spacing w:before="0" w:after="0" w:line="240" w:lineRule="auto"/>
              <w:ind w:firstLine="0" w:left="0"/>
              <w:jc w:val="left"/>
            </w:pPr>
            <w:r>
              <w:rPr>
                <w:sz w:val="20"/>
                <w:szCs w:val="20"/>
              </w:rPr>
              <w:t xml:space="preserve">LASSO</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1.01</w:t>
            </w:r>
          </w:p>
        </w:tc>
      </w:tr>
      <w:tr>
        <w:tc>
          <w:tcPr/>
          <w:p>
            <w:pPr>
              <w:pStyle w:val="Compact"/>
              <w:spacing w:before="0" w:after="0" w:line="240" w:lineRule="auto"/>
              <w:ind w:firstLine="0" w:left="0"/>
              <w:jc w:val="left"/>
            </w:pPr>
            <w:r>
              <w:rPr>
                <w:sz w:val="20"/>
                <w:szCs w:val="20"/>
              </w:rPr>
              <w:t xml:space="preserve">A dummy for the january 2018 join</w:t>
            </w:r>
          </w:p>
        </w:tc>
        <w:tc>
          <w:tcPr/>
          <w:p>
            <w:pPr>
              <w:pStyle w:val="Compact"/>
              <w:spacing w:before="0" w:after="0" w:line="240" w:lineRule="auto"/>
              <w:ind w:firstLine="0" w:left="0"/>
              <w:jc w:val="left"/>
            </w:pPr>
            <w:r>
              <w:rPr>
                <w:sz w:val="20"/>
                <w:szCs w:val="20"/>
              </w:rPr>
              <w:t xml:space="preserve">Random forest</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1.03</w:t>
            </w:r>
          </w:p>
        </w:tc>
      </w:tr>
      <w:tr>
        <w:tc>
          <w:tcPr/>
          <w:p>
            <w:pPr>
              <w:pStyle w:val="Compact"/>
              <w:spacing w:before="0" w:after="0" w:line="240" w:lineRule="auto"/>
              <w:ind w:firstLine="0" w:left="0"/>
              <w:jc w:val="left"/>
            </w:pPr>
            <w:r>
              <w:rPr>
                <w:sz w:val="20"/>
                <w:szCs w:val="20"/>
              </w:rPr>
              <w:t xml:space="preserve">A dummy for the january 2018 join</w:t>
            </w:r>
          </w:p>
        </w:tc>
        <w:tc>
          <w:tcPr/>
          <w:p>
            <w:pPr>
              <w:pStyle w:val="Compact"/>
              <w:spacing w:before="0" w:after="0" w:line="240" w:lineRule="auto"/>
              <w:ind w:firstLine="0" w:left="0"/>
              <w:jc w:val="left"/>
            </w:pPr>
            <w:r>
              <w:rPr>
                <w:sz w:val="20"/>
                <w:szCs w:val="20"/>
              </w:rPr>
              <w:t xml:space="preserve">ML combination</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0.98</w:t>
            </w:r>
          </w:p>
        </w:tc>
        <w:tc>
          <w:tcPr/>
          <w:p>
            <w:pPr>
              <w:pStyle w:val="Compact"/>
              <w:spacing w:before="0" w:after="0" w:line="240" w:lineRule="auto"/>
              <w:ind w:firstLine="0" w:left="0"/>
              <w:jc w:val="right"/>
            </w:pPr>
            <w:r>
              <w:rPr>
                <w:sz w:val="20"/>
                <w:szCs w:val="20"/>
              </w:rPr>
              <w:t xml:space="preserve">1.03</w:t>
            </w:r>
          </w:p>
        </w:tc>
      </w:tr>
      <w:tr>
        <w:tc>
          <w:tcPr/>
          <w:p>
            <w:pPr>
              <w:pStyle w:val="Compact"/>
              <w:spacing w:before="0" w:after="0" w:line="240" w:lineRule="auto"/>
              <w:ind w:firstLine="0" w:left="0"/>
              <w:jc w:val="left"/>
            </w:pPr>
            <w:r>
              <w:rPr>
                <w:sz w:val="20"/>
                <w:szCs w:val="20"/>
              </w:rPr>
              <w:t xml:space="preserve">Core inflation as the target</w:t>
            </w:r>
          </w:p>
        </w:tc>
        <w:tc>
          <w:tcPr/>
          <w:p>
            <w:pPr>
              <w:pStyle w:val="Compact"/>
              <w:spacing w:before="0" w:after="0" w:line="240" w:lineRule="auto"/>
              <w:ind w:firstLine="0" w:left="0"/>
              <w:jc w:val="left"/>
            </w:pPr>
            <w:r>
              <w:rPr>
                <w:sz w:val="20"/>
                <w:szCs w:val="20"/>
              </w:rPr>
              <w:t xml:space="preserve">Factor (AR + PCs)</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1.04</w:t>
            </w:r>
          </w:p>
        </w:tc>
        <w:tc>
          <w:tcPr/>
          <w:p>
            <w:pPr>
              <w:pStyle w:val="Compact"/>
              <w:spacing w:before="0" w:after="0" w:line="240" w:lineRule="auto"/>
              <w:ind w:firstLine="0" w:left="0"/>
              <w:jc w:val="right"/>
            </w:pPr>
            <w:r>
              <w:rPr>
                <w:sz w:val="20"/>
                <w:szCs w:val="20"/>
              </w:rPr>
              <w:t xml:space="preserve">0.98</w:t>
            </w:r>
          </w:p>
        </w:tc>
        <w:tc>
          <w:tcPr/>
          <w:p>
            <w:pPr>
              <w:pStyle w:val="Compact"/>
              <w:spacing w:before="0" w:after="0" w:line="240" w:lineRule="auto"/>
              <w:ind w:firstLine="0" w:left="0"/>
              <w:jc w:val="right"/>
            </w:pPr>
            <w:r>
              <w:rPr>
                <w:sz w:val="20"/>
                <w:szCs w:val="20"/>
              </w:rPr>
              <w:t xml:space="preserve">1.00</w:t>
            </w:r>
          </w:p>
        </w:tc>
      </w:tr>
      <w:tr>
        <w:tc>
          <w:tcPr/>
          <w:p>
            <w:pPr>
              <w:pStyle w:val="Compact"/>
              <w:spacing w:before="0" w:after="0" w:line="240" w:lineRule="auto"/>
              <w:ind w:firstLine="0" w:left="0"/>
              <w:jc w:val="left"/>
            </w:pPr>
            <w:r>
              <w:rPr>
                <w:sz w:val="20"/>
                <w:szCs w:val="20"/>
              </w:rPr>
              <w:t xml:space="preserve">Core inflation as the target</w:t>
            </w:r>
          </w:p>
        </w:tc>
        <w:tc>
          <w:tcPr/>
          <w:p>
            <w:pPr>
              <w:pStyle w:val="Compact"/>
              <w:spacing w:before="0" w:after="0" w:line="240" w:lineRule="auto"/>
              <w:ind w:firstLine="0" w:left="0"/>
              <w:jc w:val="left"/>
            </w:pPr>
            <w:r>
              <w:rPr>
                <w:sz w:val="20"/>
                <w:szCs w:val="20"/>
              </w:rPr>
              <w:t xml:space="preserve">LASSO</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1.00</w:t>
            </w:r>
          </w:p>
        </w:tc>
        <w:tc>
          <w:tcPr/>
          <w:p>
            <w:pPr>
              <w:pStyle w:val="Compact"/>
              <w:spacing w:before="0" w:after="0" w:line="240" w:lineRule="auto"/>
              <w:ind w:firstLine="0" w:left="0"/>
              <w:jc w:val="right"/>
            </w:pPr>
            <w:r>
              <w:rPr>
                <w:sz w:val="20"/>
                <w:szCs w:val="20"/>
              </w:rPr>
              <w:t xml:space="preserve">1.02</w:t>
            </w:r>
          </w:p>
        </w:tc>
        <w:tc>
          <w:tcPr/>
          <w:p>
            <w:pPr>
              <w:pStyle w:val="Compact"/>
              <w:spacing w:before="0" w:after="0" w:line="240" w:lineRule="auto"/>
              <w:ind w:firstLine="0" w:left="0"/>
              <w:jc w:val="right"/>
            </w:pPr>
            <w:r>
              <w:rPr>
                <w:sz w:val="20"/>
                <w:szCs w:val="20"/>
              </w:rPr>
              <w:t xml:space="preserve">1.00</w:t>
            </w:r>
          </w:p>
        </w:tc>
      </w:tr>
      <w:tr>
        <w:tc>
          <w:tcPr/>
          <w:p>
            <w:pPr>
              <w:pStyle w:val="Compact"/>
              <w:spacing w:before="0" w:after="0" w:line="240" w:lineRule="auto"/>
              <w:ind w:firstLine="0" w:left="0"/>
              <w:jc w:val="left"/>
            </w:pPr>
            <w:r>
              <w:rPr>
                <w:sz w:val="20"/>
                <w:szCs w:val="20"/>
              </w:rPr>
              <w:t xml:space="preserve">Core inflation as the target</w:t>
            </w:r>
          </w:p>
        </w:tc>
        <w:tc>
          <w:tcPr/>
          <w:p>
            <w:pPr>
              <w:pStyle w:val="Compact"/>
              <w:spacing w:before="0" w:after="0" w:line="240" w:lineRule="auto"/>
              <w:ind w:firstLine="0" w:left="0"/>
              <w:jc w:val="left"/>
            </w:pPr>
            <w:r>
              <w:rPr>
                <w:sz w:val="20"/>
                <w:szCs w:val="20"/>
              </w:rPr>
              <w:t xml:space="preserve">Random forest</w:t>
            </w:r>
          </w:p>
        </w:tc>
        <w:tc>
          <w:tcPr/>
          <w:p>
            <w:pPr>
              <w:pStyle w:val="Compact"/>
              <w:spacing w:before="0" w:after="0" w:line="240" w:lineRule="auto"/>
              <w:ind w:firstLine="0" w:left="0"/>
              <w:jc w:val="right"/>
            </w:pPr>
            <w:r>
              <w:rPr>
                <w:sz w:val="20"/>
                <w:szCs w:val="20"/>
              </w:rPr>
              <w:t xml:space="preserve">0.95</w:t>
            </w:r>
          </w:p>
        </w:tc>
        <w:tc>
          <w:tcPr/>
          <w:p>
            <w:pPr>
              <w:pStyle w:val="Compact"/>
              <w:spacing w:before="0" w:after="0" w:line="240" w:lineRule="auto"/>
              <w:ind w:firstLine="0" w:left="0"/>
              <w:jc w:val="right"/>
            </w:pPr>
            <w:r>
              <w:rPr>
                <w:sz w:val="20"/>
                <w:szCs w:val="20"/>
              </w:rPr>
              <w:t xml:space="preserve">1.01</w:t>
            </w:r>
          </w:p>
        </w:tc>
        <w:tc>
          <w:tcPr/>
          <w:p>
            <w:pPr>
              <w:pStyle w:val="Compact"/>
              <w:spacing w:before="0" w:after="0" w:line="240" w:lineRule="auto"/>
              <w:ind w:firstLine="0" w:left="0"/>
              <w:jc w:val="right"/>
            </w:pPr>
            <w:r>
              <w:rPr>
                <w:sz w:val="20"/>
                <w:szCs w:val="20"/>
              </w:rPr>
              <w:t xml:space="preserve">0.94</w:t>
            </w:r>
          </w:p>
        </w:tc>
        <w:tc>
          <w:tcPr/>
          <w:p>
            <w:pPr>
              <w:pStyle w:val="Compact"/>
              <w:spacing w:before="0" w:after="0" w:line="240" w:lineRule="auto"/>
              <w:ind w:firstLine="0" w:left="0"/>
              <w:jc w:val="right"/>
            </w:pPr>
            <w:r>
              <w:rPr>
                <w:sz w:val="20"/>
                <w:szCs w:val="20"/>
              </w:rPr>
              <w:t xml:space="preserve">1.00</w:t>
            </w:r>
          </w:p>
        </w:tc>
      </w:tr>
      <w:tr>
        <w:tc>
          <w:tcPr/>
          <w:p>
            <w:pPr>
              <w:pStyle w:val="Compact"/>
              <w:spacing w:before="0" w:after="0" w:line="240" w:lineRule="auto"/>
              <w:ind w:firstLine="0" w:left="0"/>
              <w:jc w:val="left"/>
            </w:pPr>
            <w:r>
              <w:rPr>
                <w:sz w:val="20"/>
                <w:szCs w:val="20"/>
              </w:rPr>
              <w:t xml:space="preserve">Core inflation as the target</w:t>
            </w:r>
          </w:p>
        </w:tc>
        <w:tc>
          <w:tcPr/>
          <w:p>
            <w:pPr>
              <w:pStyle w:val="Compact"/>
              <w:spacing w:before="0" w:after="0" w:line="240" w:lineRule="auto"/>
              <w:ind w:firstLine="0" w:left="0"/>
              <w:jc w:val="left"/>
            </w:pPr>
            <w:r>
              <w:rPr>
                <w:sz w:val="20"/>
                <w:szCs w:val="20"/>
              </w:rPr>
              <w:t xml:space="preserve">ML combination</w:t>
            </w:r>
          </w:p>
        </w:tc>
        <w:tc>
          <w:tcPr/>
          <w:p>
            <w:pPr>
              <w:pStyle w:val="Compact"/>
              <w:spacing w:before="0" w:after="0" w:line="240" w:lineRule="auto"/>
              <w:ind w:firstLine="0" w:left="0"/>
              <w:jc w:val="right"/>
            </w:pPr>
            <w:r>
              <w:rPr>
                <w:sz w:val="20"/>
                <w:szCs w:val="20"/>
              </w:rPr>
              <w:t xml:space="preserve">0.95</w:t>
            </w:r>
          </w:p>
        </w:tc>
        <w:tc>
          <w:tcPr/>
          <w:p>
            <w:pPr>
              <w:pStyle w:val="Compact"/>
              <w:spacing w:before="0" w:after="0" w:line="240" w:lineRule="auto"/>
              <w:ind w:firstLine="0" w:left="0"/>
              <w:jc w:val="right"/>
            </w:pPr>
            <w:r>
              <w:rPr>
                <w:sz w:val="20"/>
                <w:szCs w:val="20"/>
              </w:rPr>
              <w:t xml:space="preserve">0.99</w:t>
            </w:r>
          </w:p>
        </w:tc>
        <w:tc>
          <w:tcPr/>
          <w:p>
            <w:pPr>
              <w:pStyle w:val="Compact"/>
              <w:spacing w:before="0" w:after="0" w:line="240" w:lineRule="auto"/>
              <w:ind w:firstLine="0" w:left="0"/>
              <w:jc w:val="right"/>
            </w:pPr>
            <w:r>
              <w:rPr>
                <w:sz w:val="20"/>
                <w:szCs w:val="20"/>
              </w:rPr>
              <w:t xml:space="preserve">0.94*</w:t>
            </w:r>
          </w:p>
        </w:tc>
        <w:tc>
          <w:tcPr/>
          <w:p>
            <w:pPr>
              <w:pStyle w:val="Compact"/>
              <w:spacing w:before="0" w:after="0" w:line="240" w:lineRule="auto"/>
              <w:ind w:firstLine="0" w:left="0"/>
              <w:jc w:val="right"/>
            </w:pPr>
            <w:r>
              <w:rPr>
                <w:sz w:val="20"/>
                <w:szCs w:val="20"/>
              </w:rPr>
              <w:t xml:space="preserve">0.98</w:t>
            </w:r>
          </w:p>
        </w:tc>
      </w:tr>
    </w:tbl>
    <w:p>
      <w:pPr>
        <w:pStyle w:val="TableNote"/>
      </w:pPr>
      <w:r>
        <w:rPr>
          <w:iCs/>
          <w:i/>
        </w:rPr>
        <w:t xml:space="preserve">Notes:</w:t>
      </w:r>
      <w:r>
        <w:t xml:space="preserve"> </w:t>
      </w:r>
      <w:r>
        <w:t xml:space="preserve">Stars as in Table 2. Each check changes one element of the main specification.</w:t>
      </w:r>
    </w:p>
    <w:bookmarkEnd w:id="76"/>
    <w:bookmarkStart w:id="98" w:name="figures"/>
    <w:p>
      <w:pPr>
        <w:pStyle w:val="Heading1"/>
      </w:pPr>
      <w:r>
        <w:t xml:space="preserve">Figures</w:t>
      </w:r>
    </w:p>
    <w:p>
      <w:pPr>
        <w:pStyle w:val="CaptionedFigure"/>
      </w:pPr>
      <w:r>
        <w:drawing>
          <wp:inline>
            <wp:extent cx="5104125" cy="2648395"/>
            <wp:effectExtent b="0" l="0" r="0" t="0"/>
            <wp:docPr descr="Figure 1. Headline inflation in the Philippines, year on year, January 1995 to September 2026. The grey band is the BSP target range of 2–4%. The dashed line marks the first month of the forecast evaluation. Source: PSA CPI (2018 = 100), our calculation." title="" id="78" name="Picture"/>
            <a:graphic>
              <a:graphicData uri="http://schemas.openxmlformats.org/drawingml/2006/picture">
                <pic:pic>
                  <pic:nvPicPr>
                    <pic:cNvPr descr="../output/figures/fig1_inflation.png" id="79" name="Picture"/>
                    <pic:cNvPicPr>
                      <a:picLocks noChangeArrowheads="1" noChangeAspect="1"/>
                    </pic:cNvPicPr>
                  </pic:nvPicPr>
                  <pic:blipFill>
                    <a:blip r:embed="rId77"/>
                    <a:stretch>
                      <a:fillRect/>
                    </a:stretch>
                  </pic:blipFill>
                  <pic:spPr bwMode="auto">
                    <a:xfrm>
                      <a:off x="0" y="0"/>
                      <a:ext cx="5104125" cy="2648395"/>
                    </a:xfrm>
                    <a:prstGeom prst="rect">
                      <a:avLst/>
                    </a:prstGeom>
                    <a:noFill/>
                    <a:ln w="9525">
                      <a:noFill/>
                      <a:headEnd/>
                      <a:tailEnd/>
                    </a:ln>
                  </pic:spPr>
                </pic:pic>
              </a:graphicData>
            </a:graphic>
          </wp:inline>
        </w:drawing>
      </w:r>
    </w:p>
    <w:p>
      <w:pPr>
        <w:pStyle w:val="ImageCaption"/>
      </w:pPr>
      <w:r>
        <w:t xml:space="preserve">Figure 1. Headline inflation in the Philippines, year on year, January 1995 to September 2026. The grey band is the BSP target range of 2–4%. The dashed line marks the first month of the forecast evaluation. Source: PSA CPI (2018 = 100), our calculation.</w:t>
      </w:r>
    </w:p>
    <w:p>
      <w:pPr>
        <w:pStyle w:val="CaptionedFigure"/>
      </w:pPr>
      <w:r>
        <w:drawing>
          <wp:inline>
            <wp:extent cx="5807510" cy="2886935"/>
            <wp:effectExtent b="0" l="0" r="0" t="0"/>
            <wp:docPr descr="Figure 2. RMSE of each model relative to the AR benchmark (left) and to the random walk (right), by forecast horizon, January 2005 to August 2026. Values below the horizontal line at 1 mean the model is more accurate than the benchmark." title="" id="81" name="Picture"/>
            <a:graphic>
              <a:graphicData uri="http://schemas.openxmlformats.org/drawingml/2006/picture">
                <pic:pic>
                  <pic:nvPicPr>
                    <pic:cNvPr descr="../output/figures/fig2_ratios.png" id="82" name="Picture"/>
                    <pic:cNvPicPr>
                      <a:picLocks noChangeArrowheads="1" noChangeAspect="1"/>
                    </pic:cNvPicPr>
                  </pic:nvPicPr>
                  <pic:blipFill>
                    <a:blip r:embed="rId80"/>
                    <a:stretch>
                      <a:fillRect/>
                    </a:stretch>
                  </pic:blipFill>
                  <pic:spPr bwMode="auto">
                    <a:xfrm>
                      <a:off x="0" y="0"/>
                      <a:ext cx="5807510" cy="2886935"/>
                    </a:xfrm>
                    <a:prstGeom prst="rect">
                      <a:avLst/>
                    </a:prstGeom>
                    <a:noFill/>
                    <a:ln w="9525">
                      <a:noFill/>
                      <a:headEnd/>
                      <a:tailEnd/>
                    </a:ln>
                  </pic:spPr>
                </pic:pic>
              </a:graphicData>
            </a:graphic>
          </wp:inline>
        </w:drawing>
      </w:r>
    </w:p>
    <w:p>
      <w:pPr>
        <w:pStyle w:val="ImageCaption"/>
      </w:pPr>
      <w:r>
        <w:t xml:space="preserve">Figure 2. RMSE of each model relative to the AR benchmark (left) and to the random walk (right), by forecast horizon, January 2005 to August 2026. Values below the horizontal line at 1 mean the model is more accurate than the benchmark.</w:t>
      </w:r>
    </w:p>
    <w:p>
      <w:pPr>
        <w:pStyle w:val="CaptionedFigure"/>
      </w:pPr>
      <w:r>
        <w:drawing>
          <wp:inline>
            <wp:extent cx="5804452" cy="2834945"/>
            <wp:effectExtent b="0" l="0" r="0" t="0"/>
            <wp:docPr descr="Figure 3. Cumulative squared forecast-error difference between the AR benchmark and each model, by target month, for one-month-ahead (left) and twelve-month-ahead (right) forecasts. A rising line means the model is doing better than the AR over that period; a falling line means it is doing worse." title="" id="84" name="Picture"/>
            <a:graphic>
              <a:graphicData uri="http://schemas.openxmlformats.org/drawingml/2006/picture">
                <pic:pic>
                  <pic:nvPicPr>
                    <pic:cNvPr descr="../output/figures/fig3_csfe.png" id="85" name="Picture"/>
                    <pic:cNvPicPr>
                      <a:picLocks noChangeArrowheads="1" noChangeAspect="1"/>
                    </pic:cNvPicPr>
                  </pic:nvPicPr>
                  <pic:blipFill>
                    <a:blip r:embed="rId83"/>
                    <a:stretch>
                      <a:fillRect/>
                    </a:stretch>
                  </pic:blipFill>
                  <pic:spPr bwMode="auto">
                    <a:xfrm>
                      <a:off x="0" y="0"/>
                      <a:ext cx="5804452" cy="2834945"/>
                    </a:xfrm>
                    <a:prstGeom prst="rect">
                      <a:avLst/>
                    </a:prstGeom>
                    <a:noFill/>
                    <a:ln w="9525">
                      <a:noFill/>
                      <a:headEnd/>
                      <a:tailEnd/>
                    </a:ln>
                  </pic:spPr>
                </pic:pic>
              </a:graphicData>
            </a:graphic>
          </wp:inline>
        </w:drawing>
      </w:r>
    </w:p>
    <w:p>
      <w:pPr>
        <w:pStyle w:val="ImageCaption"/>
      </w:pPr>
      <w:r>
        <w:t xml:space="preserve">Figure 3. Cumulative squared forecast-error difference between the AR benchmark and each model, by target month, for one-month-ahead (left) and twelve-month-ahead (right) forecasts. A rising line means the model is doing better than the AR over that period; a falling line means it is doing worse.</w:t>
      </w:r>
    </w:p>
    <w:p>
      <w:pPr>
        <w:pStyle w:val="CaptionedFigure"/>
      </w:pPr>
      <w:r>
        <w:drawing>
          <wp:inline>
            <wp:extent cx="5052060" cy="2402678"/>
            <wp:effectExtent b="0" l="0" r="0" t="0"/>
            <wp:docPr descr="Figure 4. Share of the random forest’s grouped permutation importance by predictor group, averaged over all forecast origins, for one-month-ahead (grey) and twelve-month-ahead (hatched) forecasts." title="" id="87" name="Picture"/>
            <a:graphic>
              <a:graphicData uri="http://schemas.openxmlformats.org/drawingml/2006/picture">
                <pic:pic>
                  <pic:nvPicPr>
                    <pic:cNvPr descr="../output/figures/fig4_importance.png" id="88" name="Picture"/>
                    <pic:cNvPicPr>
                      <a:picLocks noChangeArrowheads="1" noChangeAspect="1"/>
                    </pic:cNvPicPr>
                  </pic:nvPicPr>
                  <pic:blipFill>
                    <a:blip r:embed="rId86"/>
                    <a:stretch>
                      <a:fillRect/>
                    </a:stretch>
                  </pic:blipFill>
                  <pic:spPr bwMode="auto">
                    <a:xfrm>
                      <a:off x="0" y="0"/>
                      <a:ext cx="5052060" cy="2402678"/>
                    </a:xfrm>
                    <a:prstGeom prst="rect">
                      <a:avLst/>
                    </a:prstGeom>
                    <a:noFill/>
                    <a:ln w="9525">
                      <a:noFill/>
                      <a:headEnd/>
                      <a:tailEnd/>
                    </a:ln>
                  </pic:spPr>
                </pic:pic>
              </a:graphicData>
            </a:graphic>
          </wp:inline>
        </w:drawing>
      </w:r>
    </w:p>
    <w:p>
      <w:pPr>
        <w:pStyle w:val="ImageCaption"/>
      </w:pPr>
      <w:r>
        <w:t xml:space="preserve">Figure 4. Share of the random forest’s grouped permutation importance by predictor group, averaged over all forecast origins, for one-month-ahead (grey) and twelve-month-ahead (hatched) forecasts.</w:t>
      </w:r>
    </w:p>
    <w:p>
      <w:pPr>
        <w:pStyle w:val="CaptionedFigure"/>
      </w:pPr>
      <w:r>
        <w:drawing>
          <wp:inline>
            <wp:extent cx="5943600" cy="2950358"/>
            <wp:effectExtent b="0" l="0" r="0" t="0"/>
            <wp:docPr descr="Figure 5. RMSE relative to the AR at the four decisive cases, for the random forest (filled circles) and the ML combination (open squares), in the main specification and each robustness check. Values left of the vertical line mean the model is more accurate than the AR." title="" id="90" name="Picture"/>
            <a:graphic>
              <a:graphicData uri="http://schemas.openxmlformats.org/drawingml/2006/picture">
                <pic:pic>
                  <pic:nvPicPr>
                    <pic:cNvPr descr="../output/figures/fig5_robustness.png" id="91" name="Picture"/>
                    <pic:cNvPicPr>
                      <a:picLocks noChangeArrowheads="1" noChangeAspect="1"/>
                    </pic:cNvPicPr>
                  </pic:nvPicPr>
                  <pic:blipFill>
                    <a:blip r:embed="rId89"/>
                    <a:stretch>
                      <a:fillRect/>
                    </a:stretch>
                  </pic:blipFill>
                  <pic:spPr bwMode="auto">
                    <a:xfrm>
                      <a:off x="0" y="0"/>
                      <a:ext cx="5943600" cy="2950358"/>
                    </a:xfrm>
                    <a:prstGeom prst="rect">
                      <a:avLst/>
                    </a:prstGeom>
                    <a:noFill/>
                    <a:ln w="9525">
                      <a:noFill/>
                      <a:headEnd/>
                      <a:tailEnd/>
                    </a:ln>
                  </pic:spPr>
                </pic:pic>
              </a:graphicData>
            </a:graphic>
          </wp:inline>
        </w:drawing>
      </w:r>
    </w:p>
    <w:p>
      <w:pPr>
        <w:pStyle w:val="ImageCaption"/>
      </w:pPr>
      <w:r>
        <w:t xml:space="preserve">Figure 5. RMSE relative to the AR at the four decisive cases, for the random forest (filled circles) and the ML combination (open squares), in the main specification and each robustness check. Values left of the vertical line mean the model is more accurate than the AR.</w:t>
      </w:r>
    </w:p>
    <w:p>
      <w:pPr>
        <w:pStyle w:val="CaptionedFigure"/>
      </w:pPr>
      <w:r>
        <w:drawing>
          <wp:inline>
            <wp:extent cx="3963419" cy="2599464"/>
            <wp:effectExtent b="0" l="0" r="0" t="0"/>
            <wp:docPr descr="Figure 6. Replication gate on US data (FRED-MD): RMSE relative to the random walk for the random forest, LASSO, ridge and AR, 2001–2015." title="" id="93" name="Picture"/>
            <a:graphic>
              <a:graphicData uri="http://schemas.openxmlformats.org/drawingml/2006/picture">
                <pic:pic>
                  <pic:nvPicPr>
                    <pic:cNvPr descr="../output/figures/fig6_replication.png" id="94" name="Picture"/>
                    <pic:cNvPicPr>
                      <a:picLocks noChangeArrowheads="1" noChangeAspect="1"/>
                    </pic:cNvPicPr>
                  </pic:nvPicPr>
                  <pic:blipFill>
                    <a:blip r:embed="rId92"/>
                    <a:stretch>
                      <a:fillRect/>
                    </a:stretch>
                  </pic:blipFill>
                  <pic:spPr bwMode="auto">
                    <a:xfrm>
                      <a:off x="0" y="0"/>
                      <a:ext cx="3963419" cy="2599464"/>
                    </a:xfrm>
                    <a:prstGeom prst="rect">
                      <a:avLst/>
                    </a:prstGeom>
                    <a:noFill/>
                    <a:ln w="9525">
                      <a:noFill/>
                      <a:headEnd/>
                      <a:tailEnd/>
                    </a:ln>
                  </pic:spPr>
                </pic:pic>
              </a:graphicData>
            </a:graphic>
          </wp:inline>
        </w:drawing>
      </w:r>
    </w:p>
    <w:p>
      <w:pPr>
        <w:pStyle w:val="ImageCaption"/>
      </w:pPr>
      <w:r>
        <w:t xml:space="preserve">Figure 6. Replication gate on US data (FRED-MD): RMSE relative to the random walk for the random forest, LASSO, ridge and AR, 2001–2015.</w:t>
      </w:r>
    </w:p>
    <w:p>
      <w:pPr>
        <w:pStyle w:val="CaptionedFigure"/>
      </w:pPr>
      <w:r>
        <w:drawing>
          <wp:inline>
            <wp:extent cx="5153056" cy="2801305"/>
            <wp:effectExtent b="0" l="0" r="0" t="0"/>
            <wp:docPr descr="Figure 7. Inflation over the next twelve months: actual values and the forecasts of the AR and the ML combination made twelve months earlier, in log points (approximately percent)." title="" id="96" name="Picture"/>
            <a:graphic>
              <a:graphicData uri="http://schemas.openxmlformats.org/drawingml/2006/picture">
                <pic:pic>
                  <pic:nvPicPr>
                    <pic:cNvPr descr="../output/figures/fig7_yearahead.png" id="97" name="Picture"/>
                    <pic:cNvPicPr>
                      <a:picLocks noChangeArrowheads="1" noChangeAspect="1"/>
                    </pic:cNvPicPr>
                  </pic:nvPicPr>
                  <pic:blipFill>
                    <a:blip r:embed="rId95"/>
                    <a:stretch>
                      <a:fillRect/>
                    </a:stretch>
                  </pic:blipFill>
                  <pic:spPr bwMode="auto">
                    <a:xfrm>
                      <a:off x="0" y="0"/>
                      <a:ext cx="5153056" cy="2801305"/>
                    </a:xfrm>
                    <a:prstGeom prst="rect">
                      <a:avLst/>
                    </a:prstGeom>
                    <a:noFill/>
                    <a:ln w="9525">
                      <a:noFill/>
                      <a:headEnd/>
                      <a:tailEnd/>
                    </a:ln>
                  </pic:spPr>
                </pic:pic>
              </a:graphicData>
            </a:graphic>
          </wp:inline>
        </w:drawing>
      </w:r>
    </w:p>
    <w:p>
      <w:pPr>
        <w:pStyle w:val="ImageCaption"/>
      </w:pPr>
      <w:r>
        <w:t xml:space="preserve">Figure 7. Inflation over the next twelve months: actual values and the forecasts of the AR and the ML combination made twelve months earlier, in log points (approximately percent).</w:t>
      </w:r>
    </w:p>
    <w:bookmarkEnd w:id="98"/>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ind w:firstLine="0"/>
      <w:jc w:val="center"/>
    </w:pPr>
    <w:r/>
    <w:r>
      <w:rPr>
        <w:rFonts w:ascii="Times New Roman" w:hAnsi="Times New Roman" w:eastAsia="Times New Roman" w:cs="Times New Roman"/>
        <w:sz w:val="24"/>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University</w:t>
      </w:r>
      <w:r>
        <w:t xml:space="preserve"> </w:t>
      </w:r>
      <w:r>
        <w:t xml:space="preserve">of</w:t>
      </w:r>
      <w:r>
        <w:t xml:space="preserve"> </w:t>
      </w:r>
      <w:r>
        <w:t xml:space="preserve">Southeastern</w:t>
      </w:r>
      <w:r>
        <w:t xml:space="preserve"> </w:t>
      </w:r>
      <w:r>
        <w:t xml:space="preserve">Philippines,</w:t>
      </w:r>
      <w:r>
        <w:t xml:space="preserve"> </w:t>
      </w:r>
      <w:r>
        <w:t xml:space="preserve">Davao</w:t>
      </w:r>
      <w:r>
        <w:t xml:space="preserve"> </w:t>
      </w:r>
      <w:r>
        <w:t xml:space="preserve">City,</w:t>
      </w:r>
      <w:r>
        <w:t xml:space="preserve"> </w:t>
      </w:r>
      <w:r>
        <w:t xml:space="preserve">Philippines.</w:t>
      </w:r>
      <w:r>
        <w:t xml:space="preserve"> </w:t>
      </w:r>
      <w:r>
        <w:t xml:space="preserve">E-mail:</w:t>
      </w:r>
      <w:r>
        <w:t xml:space="preserve"> </w:t>
      </w:r>
      <w:r>
        <w:t xml:space="preserve">lrcataytay00745@usep.edu.ph.</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0" w:before="0" w:line="480" w:lineRule="auto"/>
      <w:ind w:left="0" w:right="0" w:firstLine="720"/>
      <w:jc w:val="left"/>
    </w:pPr>
    <w:rPr>
      <w:rFonts w:ascii="Times New Roman" w:cs="Times New Roman" w:eastAsia="Times New Roman" w:hAnsi="Times New Roman"/>
      <w:b w:val="0"/>
      <w:i w:val="0"/>
      <w:color w:val="000000"/>
      <w:sz w:val="24"/>
    </w:rPr>
  </w:style>
  <w:style w:styleId="BodyText" w:type="paragraph">
    <w:name w:val="Body Text"/>
    <w:basedOn w:val="Normal"/>
    <w:link w:val="BodyTextChar"/>
    <w:pPr>
      <w:keepNext w:val="0"/>
      <w:widowControl/>
      <w:spacing w:after="0" w:before="0" w:line="480" w:lineRule="auto"/>
      <w:ind w:left="0" w:right="0" w:firstLine="720"/>
      <w:jc w:val="left"/>
    </w:pPr>
    <w:qFormat/>
    <w:rPr>
      <w:rFonts w:ascii="Times New Roman" w:cs="Times New Roman" w:eastAsia="Times New Roman" w:hAnsi="Times New Roman"/>
      <w:b w:val="0"/>
      <w:i w:val="0"/>
      <w:color w:val="000000"/>
      <w:sz w:val="24"/>
    </w:rPr>
  </w:style>
  <w:style w:customStyle="1" w:styleId="FirstParagraph" w:type="paragraph">
    <w:name w:val="First Paragraph"/>
    <w:basedOn w:val="BodyText"/>
    <w:next w:val="BodyText"/>
    <w:qFormat/>
    <w:pPr>
      <w:keepNext w:val="0"/>
      <w:widowControl/>
      <w:spacing w:after="0" w:before="0" w:line="480" w:lineRule="auto"/>
      <w:ind w:left="0" w:right="0" w:firstLine="0"/>
      <w:jc w:val="left"/>
    </w:pPr>
    <w:rPr>
      <w:rFonts w:ascii="Times New Roman" w:cs="Times New Roman" w:eastAsia="Times New Roman" w:hAnsi="Times New Roman"/>
      <w:b w:val="0"/>
      <w:i w:val="0"/>
      <w:color w:val="000000"/>
      <w:sz w:val="24"/>
    </w:rPr>
  </w:style>
  <w:style w:customStyle="1" w:styleId="Compact" w:type="paragraph">
    <w:name w:val="Compact"/>
    <w:basedOn w:val="BodyText"/>
    <w:qFormat/>
    <w:pPr>
      <w:keepNext w:val="0"/>
      <w:widowControl/>
      <w:spacing w:after="0" w:before="0" w:line="240" w:lineRule="auto"/>
      <w:ind w:left="0" w:right="0" w:firstLine="0"/>
      <w:jc w:val="left"/>
    </w:pPr>
    <w:rPr>
      <w:rFonts w:ascii="Times New Roman" w:cs="Times New Roman" w:eastAsia="Times New Roman" w:hAnsi="Times New Roman"/>
      <w:b w:val="0"/>
      <w:i w:val="0"/>
      <w:color w:val="000000"/>
      <w:sz w:val="24"/>
    </w:rPr>
  </w:style>
  <w:style w:styleId="Title" w:type="paragraph">
    <w:name w:val="Title"/>
    <w:basedOn w:val="Normal"/>
    <w:next w:val="BodyText"/>
    <w:qFormat/>
    <w:pPr>
      <w:keepNext/>
      <w:keepLines/>
      <w:widowControl/>
      <w:spacing w:after="240" w:before="0" w:line="240" w:lineRule="auto"/>
      <w:ind w:left="0" w:right="0" w:firstLine="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widowControl/>
      <w:spacing w:after="240" w:before="0" w:line="240" w:lineRule="auto"/>
      <w:ind w:left="0" w:right="0" w:firstLine="0"/>
      <w:jc w:val="center"/>
    </w:pPr>
    <w:rPr>
      <w:rFonts w:ascii="Times New Roman" w:cs="Times New Roman" w:eastAsia="Times New Roman" w:hAnsi="Times New Roman"/>
      <w:b w:val="0"/>
      <w:i w:val="0"/>
      <w:color w:val="000000"/>
      <w:sz w:val="24"/>
      <w:szCs w:val="30"/>
    </w:rPr>
  </w:style>
  <w:style w:customStyle="1" w:styleId="Author" w:type="paragraph">
    <w:name w:val="Author"/>
    <w:next w:val="BodyText"/>
    <w:qFormat/>
    <w:pPr>
      <w:keepNext/>
      <w:keepLines/>
      <w:widowControl/>
      <w:spacing w:after="0" w:before="0" w:line="240" w:lineRule="auto"/>
      <w:ind w:left="0" w:right="0" w:firstLine="0"/>
      <w:jc w:val="center"/>
    </w:pPr>
    <w:rPr>
      <w:rFonts w:ascii="Times New Roman" w:cs="Times New Roman" w:eastAsia="Times New Roman" w:hAnsi="Times New Roman"/>
      <w:b w:val="0"/>
      <w:i w:val="0"/>
      <w:color w:val="000000"/>
      <w:sz w:val="24"/>
    </w:rPr>
  </w:style>
  <w:style w:styleId="Date" w:type="paragraph">
    <w:name w:val="Date"/>
    <w:next w:val="BodyText"/>
    <w:qFormat/>
    <w:pPr>
      <w:keepNext/>
      <w:keepLines/>
      <w:widowControl/>
      <w:spacing w:after="480" w:before="0" w:line="240" w:lineRule="auto"/>
      <w:ind w:left="0" w:right="0" w:firstLine="0"/>
      <w:jc w:val="center"/>
    </w:pPr>
    <w:rPr>
      <w:rFonts w:ascii="Times New Roman" w:cs="Times New Roman" w:eastAsia="Times New Roman" w:hAnsi="Times New Roman"/>
      <w:b w:val="0"/>
      <w:i w:val="0"/>
      <w:color w:val="000000"/>
      <w:sz w:val="24"/>
    </w:rPr>
  </w:style>
  <w:style w:customStyle="1" w:styleId="AbstractTitle" w:type="paragraph">
    <w:name w:val="Abstract Title"/>
    <w:basedOn w:val="Normal"/>
    <w:next w:val="Abstract"/>
    <w:qFormat/>
    <w:pPr>
      <w:keepNext/>
      <w:keepLines/>
      <w:ind w:left="0" w:right="0" w:firstLine="0"/>
      <w:jc w:val="center"/>
      <w:widowControl/>
      <w:spacing w:after="120" w:before="240" w:line="240" w:lineRule="auto"/>
    </w:pPr>
    <w:rPr>
      <w:color w:val="000000"/>
      <w:sz w:val="24"/>
      <w:szCs w:val="20"/>
      <w:rFonts w:ascii="Times New Roman" w:cs="Times New Roman" w:eastAsia="Times New Roman" w:hAnsi="Times New Roman"/>
      <w:b/>
      <w:i w:val="0"/>
    </w:rPr>
  </w:style>
  <w:style w:customStyle="1" w:styleId="Abstract" w:type="paragraph">
    <w:name w:val="Abstract"/>
    <w:basedOn w:val="Normal"/>
    <w:next w:val="BodyText"/>
    <w:qFormat/>
    <w:pPr>
      <w:keepNext w:val="0"/>
      <w:keepLines/>
      <w:widowControl/>
      <w:spacing w:after="240" w:before="0" w:line="240" w:lineRule="auto"/>
      <w:ind w:left="720" w:right="720" w:firstLine="0"/>
      <w:jc w:val="both"/>
    </w:pPr>
    <w:rPr>
      <w:rFonts w:ascii="Times New Roman" w:cs="Times New Roman" w:eastAsia="Times New Roman" w:hAnsi="Times New Roman"/>
      <w:b w:val="0"/>
      <w:i w:val="0"/>
      <w:color w:val="000000"/>
      <w:sz w:val="24"/>
      <w:szCs w:val="20"/>
    </w:rPr>
  </w:style>
  <w:style w:styleId="Bibliography" w:type="paragraph">
    <w:name w:val="Bibliography"/>
    <w:basedOn w:val="Normal"/>
    <w:next w:val="Bibliography"/>
    <w:qFormat/>
    <w:pPr>
      <w:keepNext w:val="0"/>
      <w:widowControl/>
      <w:spacing w:after="120" w:before="0" w:line="240" w:lineRule="auto"/>
      <w:ind w:left="720" w:right="0" w:hanging="720"/>
      <w:jc w:val="left"/>
    </w:pPr>
    <w:rPr>
      <w:rFonts w:ascii="Times New Roman" w:cs="Times New Roman" w:eastAsia="Times New Roman" w:hAnsi="Times New Roman"/>
      <w:b w:val="0"/>
      <w:i w:val="0"/>
      <w:color w:val="000000"/>
      <w:sz w:val="24"/>
    </w:rPr>
  </w:style>
  <w:style w:styleId="Heading1" w:type="paragraph">
    <w:name w:val="Heading 1"/>
    <w:basedOn w:val="Normal"/>
    <w:next w:val="BodyText"/>
    <w:uiPriority w:val="9"/>
    <w:qFormat/>
    <w:pPr>
      <w:keepNext/>
      <w:keepLines/>
      <w:widowControl/>
      <w:spacing w:after="0" w:before="240" w:line="480" w:lineRule="auto"/>
      <w:ind w:left="0" w:right="0" w:firstLine="0"/>
      <w:jc w:val="left"/>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widowControl/>
      <w:spacing w:after="0" w:before="240" w:line="480" w:lineRule="auto"/>
      <w:ind w:left="0" w:right="0" w:firstLine="0"/>
      <w:jc w:val="left"/>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widowControl/>
      <w:spacing w:after="0" w:before="240" w:line="480" w:lineRule="auto"/>
      <w:ind w:left="0" w:right="0" w:firstLine="0"/>
      <w:jc w:val="left"/>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widowControl/>
      <w:spacing w:after="0" w:before="240" w:line="480" w:lineRule="auto"/>
      <w:ind w:left="0" w:right="0" w:firstLine="0"/>
      <w:jc w:val="left"/>
      <w:outlineLvl w:val="3"/>
    </w:pPr>
    <w:rPr>
      <w:rFonts w:ascii="Times New Roman" w:cs="Times New Roman" w:eastAsia="Times New Roman" w:hAnsi="Times New Roman"/>
      <w:i/>
      <w:b w:val="0"/>
      <w:bCs/>
      <w:color w:val="000000"/>
      <w:sz w:val="24"/>
      <w:szCs w:val="24"/>
    </w:rPr>
  </w:style>
  <w:style w:styleId="Heading5" w:type="paragraph">
    <w:name w:val="Heading 5"/>
    <w:basedOn w:val="Normal"/>
    <w:next w:val="BodyText"/>
    <w:uiPriority w:val="9"/>
    <w:unhideWhenUsed/>
    <w:qFormat/>
    <w:pPr>
      <w:keepNext/>
      <w:keepLines/>
      <w:widowControl/>
      <w:spacing w:after="0" w:before="240" w:line="480" w:lineRule="auto"/>
      <w:ind w:left="0" w:right="0" w:firstLine="0"/>
      <w:jc w:val="left"/>
      <w:outlineLvl w:val="4"/>
    </w:pPr>
    <w:rPr>
      <w:rFonts w:ascii="Times New Roman" w:cs="Times New Roman" w:eastAsia="Times New Roman" w:hAnsi="Times New Roman"/>
      <w:b w:val="0"/>
      <w:i/>
      <w:iCs/>
      <w:color w:val="000000"/>
      <w:sz w:val="24"/>
      <w:szCs w:val="24"/>
    </w:rPr>
  </w:style>
  <w:style w:styleId="Heading6" w:type="paragraph">
    <w:name w:val="Heading 6"/>
    <w:basedOn w:val="Normal"/>
    <w:next w:val="BodyText"/>
    <w:uiPriority w:val="9"/>
    <w:unhideWhenUsed/>
    <w:qFormat/>
    <w:pPr>
      <w:keepNext/>
      <w:keepLines/>
      <w:widowControl/>
      <w:spacing w:after="0" w:before="240" w:line="480" w:lineRule="auto"/>
      <w:ind w:left="0" w:right="0" w:firstLine="0"/>
      <w:jc w:val="left"/>
      <w:outlineLvl w:val="5"/>
    </w:pPr>
    <w:rPr>
      <w:rFonts w:ascii="Times New Roman" w:cs="Times New Roman" w:eastAsia="Times New Roman" w:hAnsi="Times New Roman"/>
      <w:b w:val="0"/>
      <w:i/>
      <w:color w:val="000000"/>
      <w:sz w:val="24"/>
      <w:szCs w:val="24"/>
    </w:rPr>
  </w:style>
  <w:style w:styleId="Heading7" w:type="paragraph">
    <w:name w:val="Heading 7"/>
    <w:basedOn w:val="Normal"/>
    <w:next w:val="BodyText"/>
    <w:uiPriority w:val="9"/>
    <w:unhideWhenUsed/>
    <w:qFormat/>
    <w:pPr>
      <w:keepNext/>
      <w:keepLines/>
      <w:widowControl/>
      <w:spacing w:after="0" w:before="240" w:line="480" w:lineRule="auto"/>
      <w:ind w:left="0" w:right="0" w:firstLine="0"/>
      <w:jc w:val="left"/>
      <w:outlineLvl w:val="6"/>
    </w:pPr>
    <w:rPr>
      <w:rFonts w:ascii="Times New Roman" w:cs="Times New Roman" w:eastAsia="Times New Roman" w:hAnsi="Times New Roman"/>
      <w:b w:val="0"/>
      <w:i/>
      <w:color w:val="000000"/>
      <w:sz w:val="24"/>
      <w:szCs w:val="24"/>
    </w:rPr>
  </w:style>
  <w:style w:styleId="Heading8" w:type="paragraph">
    <w:name w:val="Heading 8"/>
    <w:basedOn w:val="Normal"/>
    <w:next w:val="BodyText"/>
    <w:uiPriority w:val="9"/>
    <w:unhideWhenUsed/>
    <w:qFormat/>
    <w:pPr>
      <w:keepNext/>
      <w:keepLines/>
      <w:widowControl/>
      <w:spacing w:after="0" w:before="240" w:line="480" w:lineRule="auto"/>
      <w:ind w:left="0" w:right="0" w:firstLine="0"/>
      <w:jc w:val="left"/>
      <w:outlineLvl w:val="7"/>
    </w:pPr>
    <w:rPr>
      <w:rFonts w:ascii="Times New Roman" w:cs="Times New Roman" w:eastAsia="Times New Roman" w:hAnsi="Times New Roman"/>
      <w:b w:val="0"/>
      <w:i/>
      <w:color w:val="000000"/>
      <w:sz w:val="24"/>
      <w:szCs w:val="24"/>
    </w:rPr>
  </w:style>
  <w:style w:styleId="Heading9" w:type="paragraph">
    <w:name w:val="Heading 9"/>
    <w:basedOn w:val="Normal"/>
    <w:next w:val="BodyText"/>
    <w:uiPriority w:val="9"/>
    <w:unhideWhenUsed/>
    <w:qFormat/>
    <w:pPr>
      <w:keepNext/>
      <w:keepLines/>
      <w:widowControl/>
      <w:spacing w:after="0" w:before="240" w:line="480" w:lineRule="auto"/>
      <w:ind w:left="0" w:right="0" w:firstLine="0"/>
      <w:jc w:val="left"/>
      <w:outlineLvl w:val="8"/>
    </w:pPr>
    <w:rPr>
      <w:rFonts w:ascii="Times New Roman" w:cs="Times New Roman" w:eastAsia="Times New Roman" w:hAnsi="Times New Roman"/>
      <w:b w:val="0"/>
      <w:i/>
      <w:color w:val="000000"/>
      <w:sz w:val="24"/>
      <w:szCs w:val="24"/>
    </w:rPr>
  </w:style>
  <w:style w:styleId="BlockText" w:type="paragraph">
    <w:name w:val="Block Text"/>
    <w:basedOn w:val="BodyText"/>
    <w:next w:val="BodyText"/>
    <w:uiPriority w:val="9"/>
    <w:unhideWhenUsed/>
    <w:qFormat/>
    <w:pPr>
      <w:keepNext w:val="0"/>
      <w:widowControl/>
      <w:spacing w:after="240" w:before="120" w:line="240" w:lineRule="auto"/>
      <w:ind w:left="720" w:right="720" w:firstLine="0"/>
      <w:jc w:val="left"/>
    </w:pPr>
    <w:rPr>
      <w:rFonts w:ascii="Times New Roman" w:cs="Times New Roman" w:eastAsia="Times New Roman" w:hAnsi="Times New Roman"/>
      <w:b w:val="0"/>
      <w:i w:val="0"/>
      <w:color w:val="000000"/>
      <w:sz w:val="24"/>
    </w:rPr>
  </w:style>
  <w:style w:styleId="FootnoteText" w:type="paragraph">
    <w:name w:val="Footnote Text"/>
    <w:basedOn w:val="Normal"/>
    <w:next w:val="FootnoteText"/>
    <w:uiPriority w:val="9"/>
    <w:unhideWhenUsed/>
    <w:qFormat/>
    <w:pPr>
      <w:keepNext w:val="0"/>
      <w:widowControl/>
      <w:spacing w:after="40" w:before="0" w:line="240" w:lineRule="auto"/>
      <w:ind w:left="0" w:right="0" w:firstLine="0"/>
      <w:jc w:val="left"/>
    </w:pPr>
    <w:rPr>
      <w:rFonts w:ascii="Times New Roman" w:cs="Times New Roman" w:eastAsia="Times New Roman" w:hAnsi="Times New Roman"/>
      <w:b w:val="0"/>
      <w:i w:val="0"/>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val="single" w:sz="12" w:space="0" w:color="000000"/>
        <w:left w:val="nil"/>
        <w:bottom w:val="single" w:sz="12" w:space="0" w:color="000000"/>
        <w:right w:val="nil"/>
        <w:insideH w:val="nil"/>
        <w:insideV w:val="nil"/>
      </w:tblBorders>
    </w:tblPr>
    <w:tblStylePr w:type="firstRow">
      <w:tcPr>
        <w:tcBorders>
          <w:bottom w:val="single" w:sz="6" w:space="0" w:color="000000"/>
        </w:tcBorders>
      </w:tcPr>
    </w:tblStylePr>
  </w:style>
  <w:style w:customStyle="1" w:styleId="DefinitionTerm" w:type="paragraph">
    <w:name w:val="Definition Term"/>
    <w:basedOn w:val="Normal"/>
    <w:next w:val="Definition"/>
    <w:pPr>
      <w:keepNext/>
      <w:keepLines/>
      <w:widowControl/>
      <w:spacing w:after="0" w:before="0" w:line="240" w:lineRule="auto"/>
      <w:ind w:left="0" w:right="0" w:firstLine="0"/>
      <w:jc w:val="left"/>
    </w:pPr>
    <w:rPr>
      <w:rFonts w:ascii="Times New Roman" w:cs="Times New Roman" w:eastAsia="Times New Roman" w:hAnsi="Times New Roman"/>
      <w:b/>
      <w:i w:val="0"/>
      <w:color w:val="000000"/>
      <w:sz w:val="24"/>
    </w:rPr>
  </w:style>
  <w:style w:customStyle="1" w:styleId="Definition" w:type="paragraph">
    <w:name w:val="Definition"/>
    <w:basedOn w:val="Normal"/>
    <w:pPr>
      <w:keepNext w:val="0"/>
      <w:widowControl/>
      <w:spacing w:after="120" w:before="0" w:line="240" w:lineRule="auto"/>
      <w:ind w:left="720" w:right="0" w:firstLine="0"/>
      <w:jc w:val="left"/>
    </w:pPr>
    <w:rPr>
      <w:rFonts w:ascii="Times New Roman" w:cs="Times New Roman" w:eastAsia="Times New Roman" w:hAnsi="Times New Roman"/>
      <w:b w:val="0"/>
      <w:i w:val="0"/>
      <w:color w:val="000000"/>
      <w:sz w:val="24"/>
    </w:rPr>
  </w:style>
  <w:style w:styleId="Caption" w:type="paragraph">
    <w:name w:val="Caption"/>
    <w:basedOn w:val="Normal"/>
    <w:link w:val="BodyTextChar"/>
    <w:pPr>
      <w:keepNext w:val="0"/>
      <w:widowControl/>
      <w:spacing w:after="240" w:before="120" w:line="240" w:lineRule="auto"/>
      <w:ind w:left="0" w:right="0" w:firstLine="0"/>
      <w:jc w:val="left"/>
    </w:pPr>
    <w:rPr>
      <w:rFonts w:ascii="Times New Roman" w:cs="Times New Roman" w:eastAsia="Times New Roman" w:hAnsi="Times New Roman"/>
      <w:b w:val="0"/>
      <w:i w:val="0"/>
      <w:color w:val="000000"/>
      <w:sz w:val="24"/>
    </w:rPr>
  </w:style>
  <w:style w:customStyle="1" w:styleId="TableCaption" w:type="paragraph">
    <w:name w:val="Table Caption"/>
    <w:basedOn w:val="Caption"/>
    <w:pPr>
      <w:keepNext/>
      <w:widowControl/>
      <w:spacing w:after="120" w:before="240" w:line="240" w:lineRule="auto"/>
      <w:ind w:left="0" w:right="0" w:firstLine="0"/>
      <w:jc w:val="left"/>
    </w:pPr>
    <w:rPr>
      <w:rFonts w:ascii="Times New Roman" w:cs="Times New Roman" w:eastAsia="Times New Roman" w:hAnsi="Times New Roman"/>
      <w:b w:val="0"/>
      <w:i w:val="0"/>
      <w:color w:val="000000"/>
      <w:sz w:val="24"/>
    </w:rPr>
  </w:style>
  <w:style w:customStyle="1" w:styleId="ImageCaption" w:type="paragraph">
    <w:name w:val="Image Caption"/>
    <w:basedOn w:val="Caption"/>
    <w:pPr>
      <w:keepNext w:val="0"/>
      <w:widowControl/>
      <w:spacing w:after="240" w:before="120" w:line="240" w:lineRule="auto"/>
      <w:ind w:left="0" w:right="0" w:firstLine="0"/>
      <w:jc w:val="left"/>
    </w:pPr>
    <w:rPr>
      <w:rFonts w:ascii="Times New Roman" w:cs="Times New Roman" w:eastAsia="Times New Roman" w:hAnsi="Times New Roman"/>
      <w:b w:val="0"/>
      <w:i w:val="0"/>
      <w:color w:val="000000"/>
      <w:sz w:val="24"/>
    </w:rPr>
  </w:style>
  <w:style w:customStyle="1" w:styleId="Figure" w:type="paragraph">
    <w:name w:val="Figure"/>
    <w:basedOn w:val="Normal"/>
    <w:pPr>
      <w:keepNext/>
      <w:widowControl/>
      <w:spacing w:after="0" w:before="240" w:line="240" w:lineRule="auto"/>
      <w:ind w:left="0" w:right="0" w:firstLine="0"/>
      <w:jc w:val="center"/>
    </w:pPr>
    <w:rPr>
      <w:rFonts w:ascii="Times New Roman" w:cs="Times New Roman" w:eastAsia="Times New Roman" w:hAnsi="Times New Roman"/>
      <w:b w:val="0"/>
      <w:i w:val="0"/>
      <w:color w:val="000000"/>
      <w:sz w:val="24"/>
    </w:rPr>
  </w:style>
  <w:style w:customStyle="1" w:styleId="CaptionedFigure" w:type="paragraph">
    <w:name w:val="Captioned Figure"/>
    <w:basedOn w:val="Figure"/>
    <w:pPr>
      <w:keepNext/>
      <w:widowControl/>
      <w:spacing w:after="0" w:before="240" w:line="240" w:lineRule="auto"/>
      <w:ind w:left="0" w:right="0" w:firstLine="0"/>
      <w:jc w:val="center"/>
    </w:pPr>
    <w:rPr>
      <w:rFonts w:ascii="Times New Roman" w:cs="Times New Roman" w:eastAsia="Times New Roman" w:hAnsi="Times New Roman"/>
      <w:b w:val="0"/>
      <w:i w:val="0"/>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b w:val="0"/>
      <w:i w:val="0"/>
      <w:color w:val="000000"/>
      <w:sz w:val="20"/>
      <w:u w:val="none"/>
    </w:rPr>
  </w:style>
  <w:style w:customStyle="1" w:styleId="SectionNumber" w:type="character">
    <w:name w:val="Section Number"/>
    <w:basedOn w:val="BodyTextChar"/>
  </w:style>
  <w:style w:styleId="FootnoteReference" w:type="character">
    <w:name w:val="Footnote Reference"/>
    <w:basedOn w:val="BodyTextChar"/>
    <w:rPr>
      <w:rFonts w:ascii="Times New Roman" w:cs="Times New Roman" w:eastAsia="Times New Roman" w:hAnsi="Times New Roman"/>
      <w:b w:val="0"/>
      <w:i w:val="0"/>
      <w:color w:val="000000"/>
      <w:sz w:val="24"/>
      <w:u w:val="none"/>
      <w:vertAlign w:val="superscript"/>
    </w:rPr>
  </w:style>
  <w:style w:styleId="Hyperlink" w:type="character">
    <w:name w:val="Hyperlink"/>
    <w:basedOn w:val="BodyTextChar"/>
    <w:rPr>
      <w:rFonts w:ascii="Times New Roman" w:cs="Times New Roman" w:eastAsia="Times New Roman" w:hAnsi="Times New Roman"/>
      <w:b w:val="0"/>
      <w:i w:val="0"/>
      <w:color w:val="000000"/>
      <w:sz w:val="24"/>
      <w:u w:val="none"/>
    </w:rPr>
  </w:style>
  <w:style w:styleId="TOCHeading" w:type="paragraph">
    <w:name w:val="TOC Heading"/>
    <w:basedOn w:val="Heading1"/>
    <w:next w:val="BodyText"/>
    <w:uiPriority w:val="39"/>
    <w:unhideWhenUsed/>
    <w:qFormat/>
    <w:pPr>
      <w:keepNext w:val="0"/>
      <w:widowControl/>
      <w:spacing w:after="120" w:before="240" w:line="240" w:lineRule="auto"/>
      <w:ind w:left="0" w:right="0" w:firstLine="0"/>
      <w:jc w:val="left"/>
      <w:outlineLvl w:val="9"/>
    </w:pPr>
    <w:rPr>
      <w:rFonts w:ascii="Times New Roman" w:cs="Times New Roman" w:eastAsia="Times New Roman" w:hAnsi="Times New Roman"/>
      <w:b/>
      <w:bCs w:val="0"/>
      <w:i w:val="0"/>
      <w:color w:val="000000"/>
      <w:sz w:val="24"/>
    </w:rPr>
  </w:style>
  <w:style w:customStyle="1" w:styleId="TableNote" w:type="paragraph">
    <w:name w:val="Table Note"/>
    <w:basedOn w:val="Normal"/>
    <w:pPr>
      <w:keepNext w:val="0"/>
      <w:widowControl/>
      <w:spacing w:after="80" w:before="0" w:line="240" w:lineRule="auto"/>
      <w:ind w:left="0" w:right="0" w:firstLine="0"/>
      <w:jc w:val="left"/>
    </w:pPr>
    <w:rPr>
      <w:rFonts w:ascii="Times New Roman" w:cs="Times New Roman" w:eastAsia="Times New Roman" w:hAnsi="Times New Roman"/>
      <w:b w:val="0"/>
      <w:i w:val="0"/>
      <w:color w:val="000000"/>
      <w:sz w:val="20"/>
    </w:rPr>
  </w:style>
  <w:style w:customStyle="1" w:styleId="FigureNote" w:type="paragraph">
    <w:name w:val="Figure Note"/>
    <w:basedOn w:val="Normal"/>
    <w:pPr>
      <w:keepNext w:val="0"/>
      <w:widowControl/>
      <w:spacing w:after="80" w:before="0" w:line="240" w:lineRule="auto"/>
      <w:ind w:left="0" w:right="0" w:firstLine="0"/>
      <w:jc w:val="left"/>
    </w:pPr>
    <w:rPr>
      <w:rFonts w:ascii="Times New Roman" w:cs="Times New Roman" w:eastAsia="Times New Roman" w:hAnsi="Times New Roman"/>
      <w:b w:val="0"/>
      <w:i w:val="0"/>
      <w:color w:val="00000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0000"/>
      <w:b/>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color w:val="000000"/>
      <w:b/>
    </w:rPr>
  </w:style>
  <w:style w:type="character" w:customStyle="1" w:styleId="CommentTok">
    <w:name w:val="CommentTok"/>
    <w:basedOn w:val="VerbatimChar"/>
    <w:rPr>
      <w:color w:val="000000"/>
      <w:i/>
    </w:rPr>
  </w:style>
  <w:style w:type="character" w:customStyle="1" w:styleId="DocumentationTok">
    <w:name w:val="DocumentationTok"/>
    <w:basedOn w:val="VerbatimChar"/>
    <w:rPr>
      <w:color w:val="000000"/>
      <w:i/>
    </w:rPr>
  </w:style>
  <w:style w:type="character" w:customStyle="1" w:styleId="AnnotationTok">
    <w:name w:val="AnnotationTok"/>
    <w:basedOn w:val="VerbatimChar"/>
    <w:rPr>
      <w:color w:val="000000"/>
      <w:b/>
      <w:i/>
    </w:rPr>
  </w:style>
  <w:style w:type="character" w:customStyle="1" w:styleId="CommentVarTok">
    <w:name w:val="CommentVarTok"/>
    <w:basedOn w:val="VerbatimChar"/>
    <w:rPr>
      <w:color w:val="000000"/>
      <w:b/>
      <w:i/>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color w:val="000000"/>
      <w:b/>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color w:val="000000"/>
      <w:b/>
      <w:i/>
    </w:rPr>
  </w:style>
  <w:style w:type="character" w:customStyle="1" w:styleId="WarningTok">
    <w:name w:val="WarningTok"/>
    <w:basedOn w:val="VerbatimChar"/>
    <w:rPr>
      <w:color w:val="000000"/>
      <w:b/>
      <w:i/>
    </w:rPr>
  </w:style>
  <w:style w:type="character" w:customStyle="1" w:styleId="AlertTok">
    <w:name w:val="AlertTok"/>
    <w:basedOn w:val="VerbatimChar"/>
    <w:rPr>
      <w:color w:val="000000"/>
      <w:b/>
    </w:rPr>
  </w:style>
  <w:style w:type="character" w:customStyle="1" w:styleId="ErrorTok">
    <w:name w:val="ErrorTok"/>
    <w:basedOn w:val="VerbatimChar"/>
    <w:rPr>
      <w:color w:val="00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77" Type="http://schemas.openxmlformats.org/officeDocument/2006/relationships/image" Target="media/rId77.png"/><Relationship Id="rId80" Type="http://schemas.openxmlformats.org/officeDocument/2006/relationships/image" Target="media/rId80.png"/><Relationship Id="rId83" Type="http://schemas.openxmlformats.org/officeDocument/2006/relationships/image" Target="media/rId83.png"/><Relationship Id="rId86" Type="http://schemas.openxmlformats.org/officeDocument/2006/relationships/image" Target="media/rId86.png"/><Relationship Id="rId89" Type="http://schemas.openxmlformats.org/officeDocument/2006/relationships/image" Target="media/rId89.png"/><Relationship Id="rId92" Type="http://schemas.openxmlformats.org/officeDocument/2006/relationships/image" Target="media/rId92.png"/><Relationship Id="rId95" Type="http://schemas.openxmlformats.org/officeDocument/2006/relationships/image" Target="media/rId95.png"/><Relationship Id="rId47" Type="http://schemas.openxmlformats.org/officeDocument/2006/relationships/hyperlink" Target="https://doi.org/10.1002/jae.1177" TargetMode="External"/><Relationship Id="rId49" Type="http://schemas.openxmlformats.org/officeDocument/2006/relationships/hyperlink" Target="https://doi.org/10.1002/jae.2910" TargetMode="External"/><Relationship Id="rId43" Type="http://schemas.openxmlformats.org/officeDocument/2006/relationships/hyperlink" Target="https://doi.org/10.1016/b978-0-444-53683-9.00001-3" TargetMode="External"/><Relationship Id="rId45" Type="http://schemas.openxmlformats.org/officeDocument/2006/relationships/hyperlink" Target="https://doi.org/10.1016/j.ijforecast.2017.02.002" TargetMode="External"/><Relationship Id="rId35" Type="http://schemas.openxmlformats.org/officeDocument/2006/relationships/hyperlink" Target="https://doi.org/10.1016/j.latcb.2023.100087" TargetMode="External"/><Relationship Id="rId53" Type="http://schemas.openxmlformats.org/officeDocument/2006/relationships/hyperlink" Target="https://doi.org/10.1016/s0169-2070(96)00719-4" TargetMode="External"/><Relationship Id="rId68" Type="http://schemas.openxmlformats.org/officeDocument/2006/relationships/hyperlink" Target="https://doi.org/10.1016/s1574-0706(05)01004-9" TargetMode="External"/><Relationship Id="rId39" Type="http://schemas.openxmlformats.org/officeDocument/2006/relationships/hyperlink" Target="https://doi.org/10.1023/a:1010933404324" TargetMode="External"/><Relationship Id="rId55" Type="http://schemas.openxmlformats.org/officeDocument/2006/relationships/hyperlink" Target="https://doi.org/10.1080/00401706.1970.10488634" TargetMode="External"/><Relationship Id="rId41" Type="http://schemas.openxmlformats.org/officeDocument/2006/relationships/hyperlink" Target="https://doi.org/10.1080/07350015.1995.10524599" TargetMode="External"/><Relationship Id="rId58" Type="http://schemas.openxmlformats.org/officeDocument/2006/relationships/hyperlink" Target="https://doi.org/10.1080/07350015.2015.1086655" TargetMode="External"/><Relationship Id="rId60" Type="http://schemas.openxmlformats.org/officeDocument/2006/relationships/hyperlink" Target="https://doi.org/10.1080/07350015.2019.1637745" TargetMode="External"/><Relationship Id="rId64" Type="http://schemas.openxmlformats.org/officeDocument/2006/relationships/hyperlink" Target="https://doi.org/10.1111/j.1538-4616.2007.00014.x" TargetMode="External"/><Relationship Id="rId66" Type="http://schemas.openxmlformats.org/officeDocument/2006/relationships/hyperlink" Target="https://doi.org/10.1111/j.2517-6161.1996.tb02080.x" TargetMode="External"/><Relationship Id="rId70" Type="http://schemas.openxmlformats.org/officeDocument/2006/relationships/hyperlink" Target="https://doi.org/10.1198/016214506000000735" TargetMode="External"/><Relationship Id="rId62" Type="http://schemas.openxmlformats.org/officeDocument/2006/relationships/hyperlink" Target="https://doi.org/10.1198/073500102317351921" TargetMode="External"/><Relationship Id="rId37" Type="http://schemas.openxmlformats.org/officeDocument/2006/relationships/hyperlink" Target="https://doi.org/10.21034/qr.2511" TargetMode="External"/><Relationship Id="rId51" Type="http://schemas.openxmlformats.org/officeDocument/2006/relationships/hyperlink" Target="https://doi.org/10.3982/ecta5771" TargetMode="External"/></Relationships>
</file>

<file path=word/_rels/footnotes.xml.rels><?xml version='1.0' encoding='UTF-8' standalone='yes'?>
<Relationships xmlns="http://schemas.openxmlformats.org/package/2006/relationships"><Relationship Id="rId47" Type="http://schemas.openxmlformats.org/officeDocument/2006/relationships/hyperlink" Target="https://doi.org/10.1002/jae.1177" TargetMode="External"/><Relationship Id="rId49" Type="http://schemas.openxmlformats.org/officeDocument/2006/relationships/hyperlink" Target="https://doi.org/10.1002/jae.2910" TargetMode="External"/><Relationship Id="rId43" Type="http://schemas.openxmlformats.org/officeDocument/2006/relationships/hyperlink" Target="https://doi.org/10.1016/b978-0-444-53683-9.00001-3" TargetMode="External"/><Relationship Id="rId45" Type="http://schemas.openxmlformats.org/officeDocument/2006/relationships/hyperlink" Target="https://doi.org/10.1016/j.ijforecast.2017.02.002" TargetMode="External"/><Relationship Id="rId35" Type="http://schemas.openxmlformats.org/officeDocument/2006/relationships/hyperlink" Target="https://doi.org/10.1016/j.latcb.2023.100087" TargetMode="External"/><Relationship Id="rId53" Type="http://schemas.openxmlformats.org/officeDocument/2006/relationships/hyperlink" Target="https://doi.org/10.1016/s0169-2070(96)00719-4" TargetMode="External"/><Relationship Id="rId68" Type="http://schemas.openxmlformats.org/officeDocument/2006/relationships/hyperlink" Target="https://doi.org/10.1016/s1574-0706(05)01004-9" TargetMode="External"/><Relationship Id="rId39" Type="http://schemas.openxmlformats.org/officeDocument/2006/relationships/hyperlink" Target="https://doi.org/10.1023/a:1010933404324" TargetMode="External"/><Relationship Id="rId55" Type="http://schemas.openxmlformats.org/officeDocument/2006/relationships/hyperlink" Target="https://doi.org/10.1080/00401706.1970.10488634" TargetMode="External"/><Relationship Id="rId41" Type="http://schemas.openxmlformats.org/officeDocument/2006/relationships/hyperlink" Target="https://doi.org/10.1080/07350015.1995.10524599" TargetMode="External"/><Relationship Id="rId58" Type="http://schemas.openxmlformats.org/officeDocument/2006/relationships/hyperlink" Target="https://doi.org/10.1080/07350015.2015.1086655" TargetMode="External"/><Relationship Id="rId60" Type="http://schemas.openxmlformats.org/officeDocument/2006/relationships/hyperlink" Target="https://doi.org/10.1080/07350015.2019.1637745" TargetMode="External"/><Relationship Id="rId64" Type="http://schemas.openxmlformats.org/officeDocument/2006/relationships/hyperlink" Target="https://doi.org/10.1111/j.1538-4616.2007.00014.x" TargetMode="External"/><Relationship Id="rId66" Type="http://schemas.openxmlformats.org/officeDocument/2006/relationships/hyperlink" Target="https://doi.org/10.1111/j.2517-6161.1996.tb02080.x" TargetMode="External"/><Relationship Id="rId70" Type="http://schemas.openxmlformats.org/officeDocument/2006/relationships/hyperlink" Target="https://doi.org/10.1198/016214506000000735" TargetMode="External"/><Relationship Id="rId62" Type="http://schemas.openxmlformats.org/officeDocument/2006/relationships/hyperlink" Target="https://doi.org/10.1198/073500102317351921" TargetMode="External"/><Relationship Id="rId37" Type="http://schemas.openxmlformats.org/officeDocument/2006/relationships/hyperlink" Target="https://doi.org/10.21034/qr.2511" TargetMode="External"/><Relationship Id="rId51" Type="http://schemas.openxmlformats.org/officeDocument/2006/relationships/hyperlink" Target="https://doi.org/10.3982/ecta57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Machine Learning Beat Simple Benchmarks in Forecasting Philippine Inflation? Evidence from a Pre-Registered Pseudo Out-of-Sample Evaluation, 2005–2026</dc:title>
  <dc:creator>Lian Cataytay</dc:creator>
  <cp:keywords/>
  <dcterms:created xsi:type="dcterms:W3CDTF">2026-10-16T08:04:25Z</dcterms:created>
  <dcterms:modified xsi:type="dcterms:W3CDTF">2026-10-16T08:04:25Z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Do machine-learning (ML) models that use many predictors forecast Philippine inflation better than simple benchmarks? We replicate the data-rich design of Medeiros et al. (2021) on official monthly data from the Philippine Statistics Authority, 1994–2026. We compare ridge, LASSO, adaptive LASSO, random forest and gradient boosting forecasts, their combination and a factor model with random-walk and autoregressive (AR) benchmarks over 260 out-of-sample months, using 86 predictors that include detailed food and energy prices, all 18 regional indices and world commodity prices. The design was pre-registered, and the code first had to reproduce the reference paper’s main result on US data, which it did. Every model beats the random walk by a wide margin, but none beats the AR. At the four pre-specified test cases, the best ML forecast, the equal-weight combination, has a root mean squared error between 0.98 and 1.03 times the AR’s. No difference is statistically significant, and the AR is never excluded from the 90% model confidence set. Only with an expanding estimation window do two ML forecasts become significantly more accurate one month ahead, and not after a correction for multiple testing. The gains are not larger in high-inflation months. Food and regional prices carry most of the random forest’s one-month-ahead predictive content. Yet no model, linear or nonlinear, anticipated the large inflation episodes of 2008, 2018, 2022–23 or 2026 a year ahead. For the Philippines, simple benchmarks remain very hard to beat; adding predictors and nonlinearity does little to change that.Keywords: inflation forecasting; machine learning; random forest; LASSO; forecast evaluation; PhilippinesJEL codes: C53, C55, E31, E37</vt:lpwstr>
  </property>
  <property fmtid="{D5CDD505-2E9C-101B-9397-08002B2CF9AE}" pid="3" name="bibliography">
    <vt:lpwstr>paper/references.bib</vt:lpwstr>
  </property>
  <property fmtid="{D5CDD505-2E9C-101B-9397-08002B2CF9AE}" pid="4" name="date">
    <vt:lpwstr>Submitted to the Journal of Asian Economics. Draft of 16 October 2026</vt:lpwstr>
  </property>
  <property fmtid="{D5CDD505-2E9C-101B-9397-08002B2CF9AE}" pid="5" name="link-citations">
    <vt:lpwstr>True</vt:lpwstr>
  </property>
</Properties>
</file>