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annex: presidents and the Philippine economy</w:t>
      </w:r>
    </w:p>
    <w:p>
      <w:pPr>
        <w:pStyle w:val="Date"/>
      </w:pPr>
      <w:r>
        <w:t xml:space="preserve">16 October 2026</w:t>
      </w:r>
    </w:p>
    <w:p>
      <w:pPr>
        <w:pStyle w:val="FirstParagraph"/>
      </w:pPr>
      <w:r>
        <w:t xml:space="preserve">This annex collects every table generated by the estimation, as rendered from</w:t>
      </w:r>
      <w:r>
        <w:t xml:space="preserve"> </w:t>
      </w:r>
      <w:r>
        <w:rPr>
          <w:rStyle w:val="VerbatimChar"/>
        </w:rPr>
        <w:t xml:space="preserve">output/tables/</w:t>
      </w:r>
      <w:r>
        <w:t xml:space="preserve">. The full machine-readable results, including the one-shock</w:t>
      </w:r>
      <w:r>
        <w:t xml:space="preserve"> </w:t>
      </w:r>
      <w:r>
        <w:t xml:space="preserve">models and the robustness checks for every administration, are the csv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output/tables/</w:t>
      </w:r>
      <w:r>
        <w:t xml:space="preserve"> </w:t>
      </w:r>
      <w:r>
        <w:t xml:space="preserve">listed at the end.</w:t>
      </w:r>
    </w:p>
    <w:bookmarkStart w:id="18" w:name="a.-validation"/>
    <w:p>
      <w:pPr>
        <w:pStyle w:val="Heading1"/>
      </w:pPr>
      <w:r>
        <w:t xml:space="preserve">A. Validation</w:t>
      </w:r>
    </w:p>
    <w:p>
      <w:pPr>
        <w:pStyle w:val="TableCaption"/>
      </w:pPr>
      <w:r>
        <w:t xml:space="preserve">Table 1. Replication of Blinder and Watson (2016) on US data, 1949Q2–2013Q1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1. Replication of Blinder and Watson (2016) on US data, 1949Q2–2013Q1"/>
      </w:tblPr>
      <w:tblGrid>
        <w:gridCol w:w="1160"/>
        <w:gridCol w:w="3345"/>
        <w:gridCol w:w="751"/>
        <w:gridCol w:w="751"/>
        <w:gridCol w:w="1160"/>
        <w:gridCol w:w="751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Criterion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Statistic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Paper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This study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Pass range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 mean growth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4.35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4.346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[4.25, 4.45]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 mean growth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2.54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2.543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[2.44, 2.64]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D–R gap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1.80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1.803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[1.7, 1.9]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Newey–West (6) s.e. of gap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0.64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0.637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[0.54, 0.74]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randomization p-value (16 blocks)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0.011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[0.0, 0.03]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oil-explained gap, adopted reading: lags 0–6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0.50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0.481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[0.4, 0.6]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corr. of term oil effects with Table 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≥ 0.90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0.996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[0.9, 1.0]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terms with the same sign (of 16)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≥ 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[14, 16]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Pass ranges were fixed before the gate was run. Growth is quarterly real GDP growth at a compounded annual rate, ALFRED vintage of 1 July 2014.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Blinder and Watson (2014, Tables 1, 6 and 7); author’s calculations from ALFRED and BLS data.</w:t>
      </w:r>
    </w:p>
    <w:bookmarkEnd w:id="18"/>
    <w:bookmarkStart w:id="19" w:name="b.-the-facts-rq1"/>
    <w:p>
      <w:pPr>
        <w:pStyle w:val="Heading1"/>
      </w:pPr>
      <w:r>
        <w:t xml:space="preserve">B. The facts (RQ1)</w:t>
      </w:r>
    </w:p>
    <w:p>
      <w:pPr>
        <w:pStyle w:val="TableCaption"/>
      </w:pPr>
      <w:r>
        <w:t xml:space="preserve">Table 2. Administration premiums in quarterly real GDP growth, 1981Q2–2026Q2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2. Administration premiums in quarterly real GDP growth, 1981Q2–2026Q2"/>
      </w:tblPr>
      <w:tblGrid>
        <w:gridCol w:w="1636"/>
        <w:gridCol w:w="1701"/>
        <w:gridCol w:w="850"/>
        <w:gridCol w:w="1505"/>
        <w:gridCol w:w="720"/>
        <w:gridCol w:w="1505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Quarters charged (n)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Mean growth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Premium (s.e.)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Holm p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Per-person premium (s.e.)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Sr. (1981–86)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1981Q2–1986Q2 (21)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−0.20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−4.22* (2.26)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−5.03** (2.30)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1986Q3–1992Q3 (25)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3.25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−0.77 (1.38)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−1.35 (1.37)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1992Q4–1998Q3 (24)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−0.24 (0.93)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−0.60 (0.98)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1998Q4–2001Q1 (10)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3.48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−0.54 (0.83)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−1.03 (0.86)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2001Q2–2010Q3 (38)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+1.07 (0.70)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0.76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+1.13 (0.76)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2010Q4–2016Q3 (24)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6.24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+2.22*** (0.72)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0.02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+2.43*** (0.79)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2016Q4–2022Q3 (24)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4.72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+0.70 (1.84)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+1.54 (1.87)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2022Q4–2026Q2 (15)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4.59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 (0.90)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+1.99** (0.88)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Growth at a compounded annual rate, percent; premium = administration mean minus the sample mean (4.02%). Newey–West standard errors (6 lags) in parentheses. * p &lt; 0.10, ** p &lt; 0.05, *** p &lt; 0.01 (unadjusted). Holm p corrects for the eight tests. Circular-shift test of no differences: p = 0.44 (raw), 0.28 (per person).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p>
      <w:pPr>
        <w:pStyle w:val="TableCaption"/>
      </w:pPr>
      <w:r>
        <w:t xml:space="preserve">Table 3. Annual premiums, raw and relative to regional peers, 1962–2025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3. Annual premiums, raw and relative to regional peers, 1962–2025"/>
      </w:tblPr>
      <w:tblGrid>
        <w:gridCol w:w="1917"/>
        <w:gridCol w:w="917"/>
        <w:gridCol w:w="1250"/>
        <w:gridCol w:w="1750"/>
        <w:gridCol w:w="20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Years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Premium, PSA growth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Premium relative to IDN–MYS–THA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Relative to IDN–MYS–THA–VNM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Macapagal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+0.86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+1.25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Sr.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−0.46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−1.73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−8.25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−0.84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−3.26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−2.82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−0.71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−0.21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+1.23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+0.64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+1.87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+2.90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+2.33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−0.55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+2.16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+1.26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+0.92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+2.37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+1.57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Percentage points. Years charged to the administration in office for most of the year after a one-quarter lag. Dispersion of premiums: 0.82 (raw), 1.99 (relative). Shift-test p: 1.00 (raw), 0.77 (relative). Vietnam data start in 1985, so the last column covers only 1985 for Marcos Sr.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bookmarkEnd w:id="19"/>
    <w:bookmarkStart w:id="20" w:name="c.-luck-rq2"/>
    <w:p>
      <w:pPr>
        <w:pStyle w:val="Heading1"/>
      </w:pPr>
      <w:r>
        <w:t xml:space="preserve">C. Luck (RQ2)</w:t>
      </w:r>
    </w:p>
    <w:p>
      <w:pPr>
        <w:pStyle w:val="TableCaption"/>
      </w:pPr>
      <w:r>
        <w:t xml:space="preserve">Table 4. How much of each premium is luck? Joint shock model, 1983Q4–2026Q2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4. How much of each premium is luck? Joint shock model, 1983Q4–2026Q2"/>
      </w:tblPr>
      <w:tblGrid>
        <w:gridCol w:w="1559"/>
        <w:gridCol w:w="873"/>
        <w:gridCol w:w="1060"/>
        <w:gridCol w:w="1184"/>
        <w:gridCol w:w="685"/>
        <w:gridCol w:w="810"/>
        <w:gridCol w:w="685"/>
        <w:gridCol w:w="106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Premium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Explained (s.e.)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Unexplained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Oil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US demand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El Niño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Financial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Sr. (1983–86)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−6.97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−2.03 (1.63)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−4.95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−2.67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+0.00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−0.85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−0.22 (0.48)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−0.13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+0.29 (0.24)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+0.28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−0.10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−1.90 (1.17)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+1.29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−1.03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−1.15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−0.02 (0.62)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+1.02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−0.76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+0.90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+1.04 (0.78)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+1.10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+0.19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+0.63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+0.45 (0.29)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+0.40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+0.33 (0.24)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−0.13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+0.40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Percentage points. Quarters as in Table 2 from 1983Q4 (Marcos Sr.: 11). Explained = the administration’s average of the fitted shock component minus its sample average; the last four columns split it by shock. Each shock enters with lags 0–6. Share of the dispersion of premiums explained, S = 0.48. Wald tests that a shock’s lags are all zero: oil p = 0.09, US demand p = 0.53, El Niño p = 0.84, financial conditions p = 0.005.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p>
      <w:pPr>
        <w:pStyle w:val="BodyText"/>
      </w:pPr>
      <w:r>
        <w:t xml:space="preserve">Joint model: 171 quarters, R² = 0.19. Sums of the lag</w:t>
      </w:r>
      <w:r>
        <w:t xml:space="preserve"> </w:t>
      </w:r>
      <w:r>
        <w:t xml:space="preserve">coefficients: oil −0.33, US demand −1.01, El Niño</w:t>
      </w:r>
      <w:r>
        <w:t xml:space="preserve"> </w:t>
      </w:r>
      <w:r>
        <w:t xml:space="preserve">−1.53, financial conditions −9.40. Wald test that all</w:t>
      </w:r>
      <w:r>
        <w:t xml:space="preserve"> </w:t>
      </w:r>
      <w:r>
        <w:t xml:space="preserve">shock coefficients are zero: p &lt; 0.001.</w:t>
      </w:r>
    </w:p>
    <w:bookmarkEnd w:id="20"/>
    <w:bookmarkStart w:id="21" w:name="Xccafd1732138d8a7f8aab2d15af23d90dc3ae25"/>
    <w:p>
      <w:pPr>
        <w:pStyle w:val="Heading1"/>
      </w:pPr>
      <w:r>
        <w:t xml:space="preserve">D. Inheritance (RQ3) and the same point in the term (RQ4)</w:t>
      </w:r>
    </w:p>
    <w:p>
      <w:pPr>
        <w:pStyle w:val="TableCaption"/>
      </w:pPr>
      <w:r>
        <w:t xml:space="preserve">Table 5. Was first-year growth inherited?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5. Was first-year growth inherited?"/>
      </w:tblPr>
      <w:tblGrid>
        <w:gridCol w:w="1702"/>
        <w:gridCol w:w="1110"/>
        <w:gridCol w:w="1332"/>
        <w:gridCol w:w="1110"/>
        <w:gridCol w:w="1406"/>
        <w:gridCol w:w="1258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Forecast made in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Actual first-year growth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AR forecast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Bounce-back forecast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Inherited (H3 rule)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1986Q2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4.51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4.31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4.64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1992Q3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2.34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1998Q3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3.53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2.40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2001Q1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3.34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2.91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2010Q3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3.16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2016Q3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7.14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4.81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2022Q3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5.75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4.88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Growth over the first four charged quarters, 100·ln(GDP_s+3 / GDP_s−1), percent. Sample mean 3.70%.</w:t>
      </w:r>
      <w:r>
        <w:t xml:space="preserve"> </w:t>
      </w:r>
      <w:r>
        <w:t xml:space="preserve">‘Inherited’</w:t>
      </w:r>
      <w:r>
        <w:t xml:space="preserve"> </w:t>
      </w:r>
      <w:r>
        <w:t xml:space="preserve">if the bounce-back forecast exceeds the mean by at least half of the actual excess.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p>
      <w:pPr>
        <w:pStyle w:val="TableCaption"/>
      </w:pPr>
      <w:r>
        <w:t xml:space="preserve">Table 6. The same point in the term: the first 15 quarters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6. The same point in the term: the first 15 quarters"/>
      </w:tblPr>
      <w:tblGrid>
        <w:gridCol w:w="1626"/>
        <w:gridCol w:w="1414"/>
        <w:gridCol w:w="777"/>
        <w:gridCol w:w="1272"/>
        <w:gridCol w:w="1555"/>
        <w:gridCol w:w="1272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First 15 quarters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Raw mean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Difference (s.e.)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Luck-adjusted mean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Difference (s.e.)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1986Q3–1990Q1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5.17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−0.58 (1.48)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−0.88 (2.16)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1992Q4–1996Q2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4.54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+0.05 (0.90)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3.64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+0.62 (1.38)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2001Q2–2004Q4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−0.50 (0.96)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4.60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−0.35 (1.41)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2010Q4–2014Q2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6.02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−1.43 (1.01)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−0.04 (1.42)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2016Q4–2020Q2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1.24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+3.35 (4.79)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1.21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+3.05 (4.54)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2022Q4–2026Q2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4.59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Percent, annual rate. Difference = Marcos Jr. minus the administration in the row. Luck-adjusted growth removes the fitted shock component of the joint model. Estrada (10 quarters) and Marcos Sr. (first quarters outside the sample) are not compared. Newey–West standard errors; the luck-adjusted ones ignore the estimation error of the shock component.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bookmarkEnd w:id="21"/>
    <w:bookmarkStart w:id="22" w:name="e.-robustness"/>
    <w:p>
      <w:pPr>
        <w:pStyle w:val="Heading1"/>
      </w:pPr>
      <w:r>
        <w:t xml:space="preserve">E. Robustness</w:t>
      </w:r>
    </w:p>
    <w:p>
      <w:pPr>
        <w:pStyle w:val="TableCaption"/>
      </w:pPr>
      <w:r>
        <w:t xml:space="preserve">Table 7. Robustness checks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7. Robustness checks"/>
      </w:tblPr>
      <w:tblGrid>
        <w:gridCol w:w="3265"/>
        <w:gridCol w:w="1469"/>
        <w:gridCol w:w="898"/>
        <w:gridCol w:w="1143"/>
        <w:gridCol w:w="1143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Specification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Shift-test p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Luck share S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Aquino III premium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Marcos Jr. premium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Main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+2.22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Timing lag 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0.27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0.33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+2.15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+0.79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Timing lag 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0.34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Timing lag 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0.26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0.39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+2.77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+0.83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Excluding 2020Q2–2021Q1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+2.15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+0.50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Excluding 1984Q1–1985Q4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0.86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0.12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+1.83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+0.18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Log growth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+2.35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+0.77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Lags 1–6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0.51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+2.22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Foreign demand US-JP-EA (from 1997)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0.11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+2.22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All checks were specified before estimation. Premiums are raw quarterly premiums (percentage points).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bookmarkEnd w:id="22"/>
    <w:bookmarkStart w:id="23" w:name="f.-scorecard-objective-1"/>
    <w:p>
      <w:pPr>
        <w:pStyle w:val="Heading1"/>
      </w:pPr>
      <w:r>
        <w:t xml:space="preserve">F. Scorecard (Objective 1)</w:t>
      </w:r>
    </w:p>
    <w:p>
      <w:pPr>
        <w:pStyle w:val="TableCaption"/>
      </w:pPr>
      <w:r>
        <w:t xml:space="preserve">Table 8. Scorecard, annual averages 1962–2025 (z-score in parentheses)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8. Scorecard, annual averages 1962–2025 (z-score in parentheses)"/>
      </w:tblPr>
      <w:tblGrid>
        <w:gridCol w:w="1597"/>
        <w:gridCol w:w="1181"/>
        <w:gridCol w:w="1181"/>
        <w:gridCol w:w="1250"/>
        <w:gridCol w:w="1250"/>
        <w:gridCol w:w="1458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GDP growth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Growth per person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Relative to peers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Inflation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Unemployment (1991–)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Macapagal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5.02 (+0.26)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1.92 (−0.04)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0.02 (+0.37)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5.54 (−0.34)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Sr.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3.70 (−0.14)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1.16 (−0.26)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−2.97 (−0.51)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14.32 (+0.74)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3.32 (−0.26)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0.81 (−0.36)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−4.50 (−0.95)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10.20 (+0.23)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3.79 (+0.79)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3.53 (−0.19)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1.24 (−0.24)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−0.84 (+0.12)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7.71 (−0.07)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3.70 (+0.64)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3.79 (−0.11)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1.33 (−0.21)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−1.09 (+0.04)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4.96 (−0.41)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3.76 (+0.74)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4.71 (+0.17)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2.85 (+0.24)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−0.00 (+0.36)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4.64 (−0.45)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3.69 (+0.62)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6.03 (+0.57)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4.43 (+0.70)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1.67 (+0.85)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2.64 (−0.70)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3.33 (+0.00)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3.61 (−0.17)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2.74 (+0.20)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0.93 (+0.63)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3.78 (−0.56)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2.61 (−1.23)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5.08 (+0.28)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4.36 (+0.68)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1.14 (+0.69)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3.62 (−0.58)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2.21 (−1.90)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Percent; z = (administration mean − 1962–2025 mean) / standard deviation of the annual values. For inflation and unemployment a negative z means a lower rate than usual. No composite index is formed and administrations are not ranked. Unemployment is the ILO modelled estimate (1991–).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bookmarkEnd w:id="23"/>
    <w:bookmarkStart w:id="24" w:name="g.-files"/>
    <w:p>
      <w:pPr>
        <w:pStyle w:val="Heading1"/>
      </w:pPr>
      <w:r>
        <w:t xml:space="preserve">G. Files</w:t>
      </w:r>
    </w:p>
    <w:p>
      <w:pPr>
        <w:pStyle w:val="FirstParagraph"/>
      </w:pPr>
      <w:r>
        <w:rPr>
          <w:rStyle w:val="VerbatimChar"/>
        </w:rPr>
        <w:t xml:space="preserve">replication_gate.csv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replication_term_effects.csv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sa_check.csv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admin_calendar.csv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rq1_premiums_q.csv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rq1_premiums_a.csv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rq1_tests.csv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rq2_single.csv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rq2_joint.csv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rq2_summary.csv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rq3_inheritance.csv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rq4_same_point.csv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scorecard.csv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paper_numbers.json</w:t>
      </w:r>
      <w:r>
        <w:t xml:space="preserve">.</w:t>
      </w:r>
    </w:p>
    <w:bookmarkEnd w:id="24"/>
    <w:sectPr>
      <w:footerReference r:id="rId9" w:type="default"/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r/>
    <w:r>
      <w:rPr>
        <w:rFonts w:ascii="Times New Roman" w:hAnsi="Times New Roman" w:eastAsia="Times New Roman" w:cs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480" w:lineRule="auto"/>
      <w:ind w:left="0" w:right="0" w:firstLine="72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pPr>
      <w:keepNext w:val="0"/>
      <w:widowControl/>
      <w:spacing w:after="0" w:before="0" w:line="480" w:lineRule="auto"/>
      <w:ind w:left="0" w:right="0" w:firstLine="720"/>
      <w:jc w:val="left"/>
    </w:pPr>
    <w:qFormat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48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widowControl/>
      <w:spacing w:after="24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widowControl/>
      <w:spacing w:after="24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widowControl/>
      <w:spacing w:after="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/>
      <w:keepLines/>
      <w:widowControl/>
      <w:spacing w:after="48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ind w:left="0" w:right="0" w:firstLine="0"/>
      <w:jc w:val="center"/>
      <w:widowControl/>
      <w:spacing w:after="120" w:before="240" w:line="240" w:lineRule="auto"/>
    </w:pPr>
    <w:rPr>
      <w:color w:val="000000"/>
      <w:sz w:val="24"/>
      <w:szCs w:val="20"/>
      <w:rFonts w:ascii="Times New Roman" w:cs="Times New Roman" w:eastAsia="Times New Roman" w:hAnsi="Times New Roman"/>
      <w:b/>
      <w:i w:val="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240" w:before="0" w:line="240" w:lineRule="auto"/>
      <w:ind w:left="720" w:right="720"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120" w:before="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1"/>
    </w:pPr>
    <w:rPr>
      <w:rFonts w:ascii="Times New Roman" w:cs="Times New Roman" w:eastAsia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2"/>
    </w:pPr>
    <w:rPr>
      <w:rFonts w:ascii="Times New Roman" w:cs="Times New Roman" w:eastAsia="Times New Roman" w:hAnsi="Times New Roman"/>
      <w:b w:val="0"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3"/>
    </w:pPr>
    <w:rPr>
      <w:rFonts w:ascii="Times New Roman" w:cs="Times New Roman" w:eastAsia="Times New Roman" w:hAnsi="Times New Roman"/>
      <w:i/>
      <w:b w:val="0"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4"/>
    </w:pPr>
    <w:rPr>
      <w:rFonts w:ascii="Times New Roman" w:cs="Times New Roman" w:eastAsia="Times New Roman" w:hAnsi="Times New Roman"/>
      <w:b w:val="0"/>
      <w:i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5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6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7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8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240" w:before="120" w:line="240" w:lineRule="auto"/>
      <w:ind w:left="720" w:right="72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keepNext w:val="0"/>
      <w:widowControl/>
      <w:spacing w:after="4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val="single" w:sz="12" w:space="0" w:color="000000"/>
        <w:left w:val="nil"/>
        <w:bottom w:val="single" w:sz="12" w:space="0" w:color="000000"/>
        <w:right w:val="nil"/>
        <w:insideH w:val="nil"/>
        <w:insideV w:val="nil"/>
      </w:tblBorders>
    </w:tblPr>
    <w:tblStylePr w:type="firstRow">
      <w:tcPr>
        <w:tcBorders>
          <w:bottom w:val="single" w:sz="6" w:space="0" w:color="000000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Definition" w:type="paragraph">
    <w:name w:val="Definition"/>
    <w:basedOn w:val="Normal"/>
    <w:pPr>
      <w:keepNext w:val="0"/>
      <w:widowControl/>
      <w:spacing w:after="120" w:before="0" w:line="240" w:lineRule="auto"/>
      <w:ind w:left="72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1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  <w:widowControl/>
      <w:spacing w:after="12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pPr>
      <w:keepNext w:val="0"/>
      <w:widowControl/>
      <w:spacing w:after="240" w:before="1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  <w:pPr>
      <w:keepNext/>
      <w:widowControl/>
      <w:spacing w:after="0" w:before="24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aptionedFigure" w:type="paragraph">
    <w:name w:val="Captioned Figure"/>
    <w:basedOn w:val="Figure"/>
    <w:pPr>
      <w:keepNext/>
      <w:widowControl/>
      <w:spacing w:after="0" w:before="24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b w:val="0"/>
      <w:i w:val="0"/>
      <w:color w:val="000000"/>
      <w:sz w:val="20"/>
      <w:u w:val="none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  <w:u w:val="none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120" w:before="240" w:line="240" w:lineRule="auto"/>
      <w:ind w:left="0" w:right="0" w:firstLine="0"/>
      <w:jc w:val="left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4"/>
    </w:rPr>
  </w:style>
  <w:style w:customStyle="1" w:styleId="TableNote" w:type="paragraph">
    <w:name w:val="Table Note"/>
    <w:basedOn w:val="Normal"/>
    <w:pPr>
      <w:keepNext w:val="0"/>
      <w:widowControl/>
      <w:spacing w:after="8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customStyle="1" w:styleId="FigureNote" w:type="paragraph">
    <w:name w:val="Figure Note"/>
    <w:basedOn w:val="Normal"/>
    <w:pPr>
      <w:keepNext w:val="0"/>
      <w:widowControl/>
      <w:spacing w:after="8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annex: presidents and the Philippine economy</dc:title>
  <dc:creator/>
  <cp:keywords/>
  <dcterms:created xsi:type="dcterms:W3CDTF">2026-10-16T02:58:44Z</dcterms:created>
  <dcterms:modified xsi:type="dcterms:W3CDTF">2026-10-16T02:58:44Z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 October 2026</vt:lpwstr>
  </property>
</Properties>
</file>