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annex: presidents and the Philippine economy</w:t>
      </w:r>
    </w:p>
    <w:p>
      <w:pPr>
        <w:pStyle w:val="Date"/>
      </w:pPr>
      <w:r>
        <w:t xml:space="preserve">16 October 2026</w:t>
      </w:r>
    </w:p>
    <w:p>
      <w:pPr>
        <w:pStyle w:val="FirstParagraph"/>
      </w:pPr>
      <w:r>
        <w:t xml:space="preserve">This annex collects every table generated by the estimation, as rendered from</w:t>
      </w:r>
      <w:r>
        <w:t xml:space="preserve"> </w:t>
      </w:r>
      <w:r>
        <w:rPr>
          <w:rStyle w:val="VerbatimChar"/>
        </w:rPr>
        <w:t xml:space="preserve">output/tables/</w:t>
      </w:r>
      <w:r>
        <w:t xml:space="preserve">. The full machine-readable results, including the one-shock</w:t>
      </w:r>
      <w:r>
        <w:t xml:space="preserve"> </w:t>
      </w:r>
      <w:r>
        <w:t xml:space="preserve">models and the robustness checks for every administration, are the csv files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output/tables/</w:t>
      </w:r>
      <w:r>
        <w:t xml:space="preserve"> </w:t>
      </w:r>
      <w:r>
        <w:t xml:space="preserve">listed at the end.</w:t>
      </w:r>
    </w:p>
    <w:bookmarkStart w:id="18" w:name="a.-validation"/>
    <w:p>
      <w:pPr>
        <w:pStyle w:val="Heading1"/>
      </w:pPr>
      <w:r>
        <w:t xml:space="preserve">A. Validation</w:t>
      </w:r>
    </w:p>
    <w:p>
      <w:pPr>
        <w:pStyle w:val="TableCaption"/>
      </w:pPr>
      <w:r>
        <w:t xml:space="preserve">Table 1. Replication of Blinder and Watson (2016) on US data, 1949Q2–2013Q1</w:t>
      </w:r>
    </w:p>
    <w:tbl>
      <w:tblPr>
        <w:tblStyle w:val="Table"/>
        <w:tblW w:type="pct" w:w="5000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Layout w:type="fixed"/>
        <w:tblLook w:firstRow="1" w:lastRow="0" w:firstColumn="0" w:lastColumn="0" w:noHBand="0" w:noVBand="0" w:val="0020"/>
        <w:tblCaption w:val="Table 1. Replication of Blinder and Watson (2016) on US data, 1949Q2–2013Q1"/>
      </w:tblPr>
      <w:tblGrid>
        <w:gridCol w:w="1160"/>
        <w:gridCol w:w="3345"/>
        <w:gridCol w:w="751"/>
        <w:gridCol w:w="751"/>
        <w:gridCol w:w="1160"/>
        <w:gridCol w:w="751"/>
      </w:tblGrid>
      <w:tr>
        <w:trPr>
          <w:tblHeader w:val="on"/>
        </w:trPr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Criterion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Statistic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Paper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This study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Pass range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G1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D mean growth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4.35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4.346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[4.25, 4.45]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G1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R mean growth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2.54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2.543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[2.44, 2.64]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G1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D–R gap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1.80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1.803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[1.7, 1.9]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G2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Newey–West (6) s.e. of gap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0.64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0.637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[0.54, 0.74]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G2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randomization p-value (16 blocks)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0.01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0.011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[0.0, 0.03]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G3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oil-explained gap, adopted reading: lags 0–6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0.50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0.481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[0.4, 0.6]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G4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corr. of term oil effects with Table 7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≥ 0.90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0.996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[0.9, 1.0]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G4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terms with the same sign (of 16)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≥ 14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16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[14, 16]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yes</w:t>
            </w:r>
          </w:p>
        </w:tc>
      </w:tr>
    </w:tbl>
    <w:p>
      <w:pPr>
        <w:pStyle w:val="TableNote"/>
      </w:pPr>
      <w:r>
        <w:rPr>
          <w:i/>
          <w:iCs/>
        </w:rPr>
        <w:t xml:space="preserve">Notes:</w:t>
      </w:r>
      <w:r>
        <w:t xml:space="preserve"> </w:t>
      </w:r>
      <w:r>
        <w:t xml:space="preserve">Pass ranges were fixed before the gate was run. Growth is quarterly real GDP growth at a compounded annual rate, ALFRED vintage of 1 July 2014.</w:t>
      </w:r>
    </w:p>
    <w:p>
      <w:pPr>
        <w:pStyle w:val="TableNote"/>
      </w:pPr>
      <w:r>
        <w:rPr>
          <w:i/>
          <w:iCs/>
        </w:rPr>
        <w:t xml:space="preserve">Source:</w:t>
      </w:r>
      <w:r>
        <w:t xml:space="preserve"> </w:t>
      </w:r>
      <w:r>
        <w:t xml:space="preserve">Blinder and Watson (2014, Tables 1, 6 and 7); author’s calculations from ALFRED and BLS data.</w:t>
      </w:r>
    </w:p>
    <w:bookmarkEnd w:id="18"/>
    <w:bookmarkStart w:id="19" w:name="b.-the-facts-rq1"/>
    <w:p>
      <w:pPr>
        <w:pStyle w:val="Heading1"/>
      </w:pPr>
      <w:r>
        <w:t xml:space="preserve">B. The facts (RQ1)</w:t>
      </w:r>
    </w:p>
    <w:p>
      <w:pPr>
        <w:pStyle w:val="TableCaption"/>
      </w:pPr>
      <w:r>
        <w:t xml:space="preserve">Table 2. Administration premiums in quarterly real GDP growth, 1981Q2–2026Q2</w:t>
      </w:r>
    </w:p>
    <w:tbl>
      <w:tblPr>
        <w:tblStyle w:val="Table"/>
        <w:tblW w:type="pct" w:w="5000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Layout w:type="fixed"/>
        <w:tblLook w:firstRow="1" w:lastRow="0" w:firstColumn="0" w:lastColumn="0" w:noHBand="0" w:noVBand="0" w:val="0020"/>
        <w:tblCaption w:val="Table 2. Administration premiums in quarterly real GDP growth, 1981Q2–2026Q2"/>
      </w:tblPr>
      <w:tblGrid>
        <w:gridCol w:w="1636"/>
        <w:gridCol w:w="1701"/>
        <w:gridCol w:w="850"/>
        <w:gridCol w:w="1505"/>
        <w:gridCol w:w="720"/>
        <w:gridCol w:w="1505"/>
      </w:tblGrid>
      <w:tr>
        <w:trPr>
          <w:tblHeader w:val="on"/>
        </w:trPr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Administration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Quarters charged (n)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Mean growth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Premium (s.e.)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Holm p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Per-person premium (s.e.)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Marcos Sr. (1981–86)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1981Q2–1986Q2 (21)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−0.20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−4.22* (2.26)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0.44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−5.03** (2.30)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C. Aquino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1986Q3–1992Q3 (25)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3.25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−0.77 (1.38)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1.00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−1.35 (1.37)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Ramos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1992Q4–1998Q3 (24)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3.78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−0.24 (0.93)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1.00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−0.60 (0.98)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Estrada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1998Q4–2001Q1 (10)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3.48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−0.54 (0.83)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1.00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−1.03 (0.86)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Arroyo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2001Q2–2010Q3 (38)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5.09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+1.07 (0.70)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0.76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+1.13 (0.76)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Aquino III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2010Q4–2016Q3 (24)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6.24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+2.22*** (0.72)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0.02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+2.43*** (0.79)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Duterte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2016Q4–2022Q3 (24)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4.72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+0.70 (1.84)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1.00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+1.54 (1.87)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Marcos Jr.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2022Q4–2026Q2 (15)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4.59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+0.56 (0.90)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1.00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+1.99** (0.88)</w:t>
            </w:r>
          </w:p>
        </w:tc>
      </w:tr>
    </w:tbl>
    <w:p>
      <w:pPr>
        <w:pStyle w:val="TableNote"/>
      </w:pPr>
      <w:r>
        <w:rPr>
          <w:i/>
          <w:iCs/>
        </w:rPr>
        <w:t xml:space="preserve">Notes:</w:t>
      </w:r>
      <w:r>
        <w:t xml:space="preserve"> </w:t>
      </w:r>
      <w:r>
        <w:t xml:space="preserve">Growth at a compounded annual rate, percent; premium = administration mean minus the sample mean (4.02%). Newey–West standard errors (6 lags) in parentheses. * p &lt; 0.10, ** p &lt; 0.05, *** p &lt; 0.01 (unadjusted). Holm p corrects for the eight tests. Circular-shift test of no differences: p = 0.44 (raw), 0.28 (per person).</w:t>
      </w:r>
    </w:p>
    <w:p>
      <w:pPr>
        <w:pStyle w:val="TableNote"/>
      </w:pPr>
      <w:r>
        <w:rPr>
          <w:i/>
          <w:iCs/>
        </w:rPr>
        <w:t xml:space="preserve">Source:</w:t>
      </w:r>
      <w:r>
        <w:t xml:space="preserve"> </w:t>
      </w:r>
      <w:r>
        <w:t xml:space="preserve">Author’s calculations from Philippine Statistics Authority, World Bank, FRED/ALFRED, NOAA and Federal Reserve Board data.</w:t>
      </w:r>
    </w:p>
    <w:p>
      <w:pPr>
        <w:pStyle w:val="TableCaption"/>
      </w:pPr>
      <w:r>
        <w:t xml:space="preserve">Table 3. Annual premiums, raw and relative to regional peers, 1962–2025</w:t>
      </w:r>
    </w:p>
    <w:tbl>
      <w:tblPr>
        <w:tblStyle w:val="Table"/>
        <w:tblW w:type="pct" w:w="5000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Layout w:type="fixed"/>
        <w:tblLook w:firstRow="1" w:lastRow="0" w:firstColumn="0" w:lastColumn="0" w:noHBand="0" w:noVBand="0" w:val="0020"/>
        <w:tblCaption w:val="Table 3. Annual premiums, raw and relative to regional peers, 1962–2025"/>
      </w:tblPr>
      <w:tblGrid>
        <w:gridCol w:w="1917"/>
        <w:gridCol w:w="917"/>
        <w:gridCol w:w="1250"/>
        <w:gridCol w:w="1750"/>
        <w:gridCol w:w="2084"/>
      </w:tblGrid>
      <w:tr>
        <w:trPr>
          <w:tblHeader w:val="on"/>
        </w:trPr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Administration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Years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Premium, PSA growth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Premium relative to IDN–MYS–THA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Relative to IDN–MYS–THA–VNM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Macapagal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4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+0.86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+1.25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</w:pPr>
          </w:p>
        </w:tc>
      </w:tr>
      <w:tr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Marcos Sr.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20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−0.46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−1.73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−8.25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C. Aquino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7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−0.84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−3.26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−2.82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Ramos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6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−0.63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+0.40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−0.71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Estrada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−0.37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+0.14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−0.21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Arroyo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10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+0.55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+1.23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+0.64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Aquino III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6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+1.87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+2.90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+2.33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Duterte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6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−0.55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+2.16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+1.26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Marcos Jr.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+0.92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+2.37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+1.57</w:t>
            </w:r>
          </w:p>
        </w:tc>
      </w:tr>
    </w:tbl>
    <w:p>
      <w:pPr>
        <w:pStyle w:val="TableNote"/>
      </w:pPr>
      <w:r>
        <w:rPr>
          <w:i/>
          <w:iCs/>
        </w:rPr>
        <w:t xml:space="preserve">Notes:</w:t>
      </w:r>
      <w:r>
        <w:t xml:space="preserve"> </w:t>
      </w:r>
      <w:r>
        <w:t xml:space="preserve">Percentage points. Years charged to the administration in office for most of the year after a one-quarter lag. Dispersion of premiums: 0.82 (raw), 1.99 (relative). Shift-test p: 1.00 (raw), 0.77 (relative). Vietnam data start in 1985, so the last column covers only 1985 for Marcos Sr.</w:t>
      </w:r>
    </w:p>
    <w:p>
      <w:pPr>
        <w:pStyle w:val="TableNote"/>
      </w:pPr>
      <w:r>
        <w:rPr>
          <w:i/>
          <w:iCs/>
        </w:rPr>
        <w:t xml:space="preserve">Source:</w:t>
      </w:r>
      <w:r>
        <w:t xml:space="preserve"> </w:t>
      </w:r>
      <w:r>
        <w:t xml:space="preserve">Author’s calculations from Philippine Statistics Authority, World Bank, FRED/ALFRED, NOAA and Federal Reserve Board data.</w:t>
      </w:r>
    </w:p>
    <w:bookmarkEnd w:id="19"/>
    <w:bookmarkStart w:id="20" w:name="c.-luck-rq2"/>
    <w:p>
      <w:pPr>
        <w:pStyle w:val="Heading1"/>
      </w:pPr>
      <w:r>
        <w:t xml:space="preserve">C. Luck (RQ2)</w:t>
      </w:r>
    </w:p>
    <w:p>
      <w:pPr>
        <w:pStyle w:val="TableCaption"/>
      </w:pPr>
      <w:r>
        <w:t xml:space="preserve">Table 4. How much of each premium is luck? Joint shock model, 1983Q4–2026Q2</w:t>
      </w:r>
    </w:p>
    <w:tbl>
      <w:tblPr>
        <w:tblStyle w:val="Table"/>
        <w:tblW w:type="pct" w:w="5000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Layout w:type="fixed"/>
        <w:tblLook w:firstRow="1" w:lastRow="0" w:firstColumn="0" w:lastColumn="0" w:noHBand="0" w:noVBand="0" w:val="0020"/>
        <w:tblCaption w:val="Table 4. How much of each premium is luck? Joint shock model, 1983Q4–2026Q2"/>
      </w:tblPr>
      <w:tblGrid>
        <w:gridCol w:w="1559"/>
        <w:gridCol w:w="873"/>
        <w:gridCol w:w="1060"/>
        <w:gridCol w:w="1184"/>
        <w:gridCol w:w="685"/>
        <w:gridCol w:w="810"/>
        <w:gridCol w:w="685"/>
        <w:gridCol w:w="1060"/>
      </w:tblGrid>
      <w:tr>
        <w:trPr>
          <w:tblHeader w:val="on"/>
        </w:trPr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Administration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Premium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Explained (s.e.)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Unexplained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Oil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US demand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El Niño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Financial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Marcos Sr. (1983–86)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−6.97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−2.03 (1.63)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−4.95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+0.59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−2.67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+0.04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+0.00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C. Aquino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−0.85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−0.22 (0.48)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−0.62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−0.06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+0.32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−0.13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−0.36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Ramos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−0.32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+0.29 (0.24)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−0.61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+0.28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−0.45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−0.10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+0.56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Estrada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−0.61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−1.90 (1.17)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+1.29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+0.32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−1.03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−0.05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−1.15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Arroyo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+1.00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−0.02 (0.62)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+1.02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−0.76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+0.90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+0.18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−0.35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Aquino III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+2.14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+1.04 (0.78)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+1.10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+0.54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+0.32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−0.01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+0.19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Duterte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+0.63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+0.45 (0.29)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+0.17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+0.11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+0.01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−0.07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+0.40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Marcos Jr.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+0.49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+0.33 (0.24)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+0.16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−0.13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+0.03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+0.04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+0.40</w:t>
            </w:r>
          </w:p>
        </w:tc>
      </w:tr>
    </w:tbl>
    <w:p>
      <w:pPr>
        <w:pStyle w:val="TableNote"/>
      </w:pPr>
      <w:r>
        <w:rPr>
          <w:i/>
          <w:iCs/>
        </w:rPr>
        <w:t xml:space="preserve">Notes:</w:t>
      </w:r>
      <w:r>
        <w:t xml:space="preserve"> </w:t>
      </w:r>
      <w:r>
        <w:t xml:space="preserve">Percentage points. Quarters as in Table 2 from 1983Q4 (Marcos Sr.: 11). Explained = the administration’s average of the fitted shock component minus its sample average; the last four columns split it by shock. Each shock enters with lags 0–6. Share of the dispersion of premiums explained, S = 0.48. Wald tests that a shock’s lags are all zero: oil p = 0.09, US demand p = 0.53, El Niño p = 0.84, financial conditions p = 0.005.</w:t>
      </w:r>
    </w:p>
    <w:p>
      <w:pPr>
        <w:pStyle w:val="TableNote"/>
      </w:pPr>
      <w:r>
        <w:rPr>
          <w:i/>
          <w:iCs/>
        </w:rPr>
        <w:t xml:space="preserve">Source:</w:t>
      </w:r>
      <w:r>
        <w:t xml:space="preserve"> </w:t>
      </w:r>
      <w:r>
        <w:t xml:space="preserve">Author’s calculations from Philippine Statistics Authority, World Bank, FRED/ALFRED, NOAA and Federal Reserve Board data.</w:t>
      </w:r>
    </w:p>
    <w:p>
      <w:pPr>
        <w:pStyle w:val="BodyText"/>
      </w:pPr>
      <w:r>
        <w:t xml:space="preserve">Joint model: 171 quarters, R² = 0.19. Sums of the lag</w:t>
      </w:r>
      <w:r>
        <w:t xml:space="preserve"> </w:t>
      </w:r>
      <w:r>
        <w:t xml:space="preserve">coefficients: oil −0.33, US demand −1.01, El Niño</w:t>
      </w:r>
      <w:r>
        <w:t xml:space="preserve"> </w:t>
      </w:r>
      <w:r>
        <w:t xml:space="preserve">−1.53, financial conditions −9.40. Wald test that all</w:t>
      </w:r>
      <w:r>
        <w:t xml:space="preserve"> </w:t>
      </w:r>
      <w:r>
        <w:t xml:space="preserve">shock coefficients are zero: p &lt; 0.001.</w:t>
      </w:r>
    </w:p>
    <w:bookmarkEnd w:id="20"/>
    <w:bookmarkStart w:id="21" w:name="Xccafd1732138d8a7f8aab2d15af23d90dc3ae25"/>
    <w:p>
      <w:pPr>
        <w:pStyle w:val="Heading1"/>
      </w:pPr>
      <w:r>
        <w:t xml:space="preserve">D. Inheritance (RQ3) and the same point in the term (RQ4)</w:t>
      </w:r>
    </w:p>
    <w:p>
      <w:pPr>
        <w:pStyle w:val="TableCaption"/>
      </w:pPr>
      <w:r>
        <w:t xml:space="preserve">Table 5. Was first-year growth inherited?</w:t>
      </w:r>
    </w:p>
    <w:tbl>
      <w:tblPr>
        <w:tblStyle w:val="Table"/>
        <w:tblW w:type="pct" w:w="5000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Layout w:type="fixed"/>
        <w:tblLook w:firstRow="1" w:lastRow="0" w:firstColumn="0" w:lastColumn="0" w:noHBand="0" w:noVBand="0" w:val="0020"/>
        <w:tblCaption w:val="Table 5. Was first-year growth inherited?"/>
      </w:tblPr>
      <w:tblGrid>
        <w:gridCol w:w="1702"/>
        <w:gridCol w:w="1110"/>
        <w:gridCol w:w="1332"/>
        <w:gridCol w:w="1110"/>
        <w:gridCol w:w="1406"/>
        <w:gridCol w:w="1258"/>
      </w:tblGrid>
      <w:tr>
        <w:trPr>
          <w:tblHeader w:val="on"/>
        </w:trPr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Administration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Forecast made in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Actual first-year growth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AR forecast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Bounce-back forecast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Inherited (H3 rule)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C. Aquino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1986Q2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4.51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4.31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4.64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Ramos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1992Q3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2.34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3.01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1.05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no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Estrada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1998Q3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3.53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3.01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2.40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no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Arroyo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2001Q1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3.78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3.34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2.91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no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Aquino III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2010Q3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3.16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4.24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5.02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no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Duterte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2016Q3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7.14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4.24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4.81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no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Marcos Jr.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2022Q3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5.75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4.20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4.88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yes</w:t>
            </w:r>
          </w:p>
        </w:tc>
      </w:tr>
    </w:tbl>
    <w:p>
      <w:pPr>
        <w:pStyle w:val="TableNote"/>
      </w:pPr>
      <w:r>
        <w:rPr>
          <w:i/>
          <w:iCs/>
        </w:rPr>
        <w:t xml:space="preserve">Notes:</w:t>
      </w:r>
      <w:r>
        <w:t xml:space="preserve"> </w:t>
      </w:r>
      <w:r>
        <w:t xml:space="preserve">Growth over the first four charged quarters, 100·ln(GDP_s+3 / GDP_s−1), percent. Sample mean 3.70%.</w:t>
      </w:r>
      <w:r>
        <w:t xml:space="preserve"> </w:t>
      </w:r>
      <w:r>
        <w:t xml:space="preserve">‘Inherited’</w:t>
      </w:r>
      <w:r>
        <w:t xml:space="preserve"> </w:t>
      </w:r>
      <w:r>
        <w:t xml:space="preserve">if the bounce-back forecast exceeds the mean by at least half of the actual excess.</w:t>
      </w:r>
    </w:p>
    <w:p>
      <w:pPr>
        <w:pStyle w:val="TableNote"/>
      </w:pPr>
      <w:r>
        <w:rPr>
          <w:i/>
          <w:iCs/>
        </w:rPr>
        <w:t xml:space="preserve">Source:</w:t>
      </w:r>
      <w:r>
        <w:t xml:space="preserve"> </w:t>
      </w:r>
      <w:r>
        <w:t xml:space="preserve">Author’s calculations from Philippine Statistics Authority, World Bank, FRED/ALFRED, NOAA and Federal Reserve Board data.</w:t>
      </w:r>
    </w:p>
    <w:p>
      <w:pPr>
        <w:pStyle w:val="TableCaption"/>
      </w:pPr>
      <w:r>
        <w:t xml:space="preserve">Table 6. The same point in the term: the first 15 quarters</w:t>
      </w:r>
    </w:p>
    <w:tbl>
      <w:tblPr>
        <w:tblStyle w:val="Table"/>
        <w:tblW w:type="pct" w:w="5000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Layout w:type="fixed"/>
        <w:tblLook w:firstRow="1" w:lastRow="0" w:firstColumn="0" w:lastColumn="0" w:noHBand="0" w:noVBand="0" w:val="0020"/>
        <w:tblCaption w:val="Table 6. The same point in the term: the first 15 quarters"/>
      </w:tblPr>
      <w:tblGrid>
        <w:gridCol w:w="1626"/>
        <w:gridCol w:w="1414"/>
        <w:gridCol w:w="777"/>
        <w:gridCol w:w="1272"/>
        <w:gridCol w:w="1555"/>
        <w:gridCol w:w="1272"/>
      </w:tblGrid>
      <w:tr>
        <w:trPr>
          <w:tblHeader w:val="on"/>
        </w:trPr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Administration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First 15 quarters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Raw mean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Difference (s.e.)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Luck-adjusted mean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Difference (s.e.)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C. Aquino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1986Q3–1990Q1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5.17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−0.58 (1.48)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5.14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−0.88 (2.16)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Ramos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1992Q4–1996Q2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4.54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+0.05 (0.90)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3.64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+0.62 (1.38)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Arroyo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2001Q2–2004Q4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5.09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−0.50 (0.96)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4.60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−0.35 (1.41)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Aquino III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2010Q4–2014Q2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6.02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−1.43 (1.01)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4.29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−0.04 (1.42)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Duterte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2016Q4–2020Q2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1.24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+3.35 (4.79)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1.21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+3.05 (4.54)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Marcos Jr.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2022Q4–2026Q2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4.59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</w:pP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4.26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</w:pPr>
          </w:p>
        </w:tc>
      </w:tr>
    </w:tbl>
    <w:p>
      <w:pPr>
        <w:pStyle w:val="TableNote"/>
      </w:pPr>
      <w:r>
        <w:rPr>
          <w:i/>
          <w:iCs/>
        </w:rPr>
        <w:t xml:space="preserve">Notes:</w:t>
      </w:r>
      <w:r>
        <w:t xml:space="preserve"> </w:t>
      </w:r>
      <w:r>
        <w:t xml:space="preserve">Percent, annual rate. Difference = Marcos Jr. minus the administration in the row. Luck-adjusted growth removes the fitted shock component of the joint model. Estrada (10 quarters) and Marcos Sr. (first quarters outside the sample) are not compared. Newey–West standard errors; the luck-adjusted ones ignore the estimation error of the shock component.</w:t>
      </w:r>
    </w:p>
    <w:p>
      <w:pPr>
        <w:pStyle w:val="TableNote"/>
      </w:pPr>
      <w:r>
        <w:rPr>
          <w:i/>
          <w:iCs/>
        </w:rPr>
        <w:t xml:space="preserve">Source:</w:t>
      </w:r>
      <w:r>
        <w:t xml:space="preserve"> </w:t>
      </w:r>
      <w:r>
        <w:t xml:space="preserve">Author’s calculations from Philippine Statistics Authority, World Bank, FRED/ALFRED, NOAA and Federal Reserve Board data.</w:t>
      </w:r>
    </w:p>
    <w:bookmarkEnd w:id="21"/>
    <w:bookmarkStart w:id="22" w:name="e.-robustness"/>
    <w:p>
      <w:pPr>
        <w:pStyle w:val="Heading1"/>
      </w:pPr>
      <w:r>
        <w:t xml:space="preserve">E. Robustness</w:t>
      </w:r>
    </w:p>
    <w:p>
      <w:pPr>
        <w:pStyle w:val="TableCaption"/>
      </w:pPr>
      <w:r>
        <w:t xml:space="preserve">Table 7. Robustness checks</w:t>
      </w:r>
    </w:p>
    <w:tbl>
      <w:tblPr>
        <w:tblStyle w:val="Table"/>
        <w:tblW w:type="pct" w:w="5000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Layout w:type="fixed"/>
        <w:tblLook w:firstRow="1" w:lastRow="0" w:firstColumn="0" w:lastColumn="0" w:noHBand="0" w:noVBand="0" w:val="0020"/>
        <w:tblCaption w:val="Table 7. Robustness checks"/>
      </w:tblPr>
      <w:tblGrid>
        <w:gridCol w:w="3265"/>
        <w:gridCol w:w="1469"/>
        <w:gridCol w:w="898"/>
        <w:gridCol w:w="1143"/>
        <w:gridCol w:w="1143"/>
      </w:tblGrid>
      <w:tr>
        <w:trPr>
          <w:tblHeader w:val="on"/>
        </w:trPr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Specification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Shift-test p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Luck share S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Aquino III premium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Marcos Jr. premium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Main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0.44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0.48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+2.22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+0.56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Timing lag 0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0.27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0.33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+2.15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+0.79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Timing lag 2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0.34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0.40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+2.32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+0.35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Timing lag 4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0.26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0.39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+2.77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+0.83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Excluding 2020Q2–2021Q1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0.42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0.47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+2.15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+0.50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Excluding 1984Q1–1985Q4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0.86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0.12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+1.83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+0.18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Log growth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0.43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0.43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+2.35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+0.77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Lags 1–6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0.44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0.51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+2.22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+0.56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Foreign demand US-JP-EA (from 1997)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0.44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0.11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+2.22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+0.56</w:t>
            </w:r>
          </w:p>
        </w:tc>
      </w:tr>
    </w:tbl>
    <w:p>
      <w:pPr>
        <w:pStyle w:val="TableNote"/>
      </w:pPr>
      <w:r>
        <w:rPr>
          <w:i/>
          <w:iCs/>
        </w:rPr>
        <w:t xml:space="preserve">Notes:</w:t>
      </w:r>
      <w:r>
        <w:t xml:space="preserve"> </w:t>
      </w:r>
      <w:r>
        <w:t xml:space="preserve">All checks were specified before estimation. Premiums are raw quarterly premiums (percentage points).</w:t>
      </w:r>
    </w:p>
    <w:p>
      <w:pPr>
        <w:pStyle w:val="TableNote"/>
      </w:pPr>
      <w:r>
        <w:rPr>
          <w:i/>
          <w:iCs/>
        </w:rPr>
        <w:t xml:space="preserve">Source:</w:t>
      </w:r>
      <w:r>
        <w:t xml:space="preserve"> </w:t>
      </w:r>
      <w:r>
        <w:t xml:space="preserve">Author’s calculations from Philippine Statistics Authority, World Bank, FRED/ALFRED, NOAA and Federal Reserve Board data.</w:t>
      </w:r>
    </w:p>
    <w:bookmarkEnd w:id="22"/>
    <w:bookmarkStart w:id="23" w:name="f.-scorecard-objective-1"/>
    <w:p>
      <w:pPr>
        <w:pStyle w:val="Heading1"/>
      </w:pPr>
      <w:r>
        <w:t xml:space="preserve">F. Scorecard (Objective 1)</w:t>
      </w:r>
    </w:p>
    <w:p>
      <w:pPr>
        <w:pStyle w:val="TableCaption"/>
      </w:pPr>
      <w:r>
        <w:t xml:space="preserve">Table 8. Scorecard, annual averages 1962–2025 (z-score in parentheses)</w:t>
      </w:r>
    </w:p>
    <w:tbl>
      <w:tblPr>
        <w:tblStyle w:val="Table"/>
        <w:tblW w:type="pct" w:w="5000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Layout w:type="fixed"/>
        <w:tblLook w:firstRow="1" w:lastRow="0" w:firstColumn="0" w:lastColumn="0" w:noHBand="0" w:noVBand="0" w:val="0020"/>
        <w:tblCaption w:val="Table 8. Scorecard, annual averages 1962–2025 (z-score in parentheses)"/>
      </w:tblPr>
      <w:tblGrid>
        <w:gridCol w:w="1597"/>
        <w:gridCol w:w="1181"/>
        <w:gridCol w:w="1181"/>
        <w:gridCol w:w="1250"/>
        <w:gridCol w:w="1250"/>
        <w:gridCol w:w="1458"/>
      </w:tblGrid>
      <w:tr>
        <w:trPr>
          <w:tblHeader w:val="on"/>
        </w:trPr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Administration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GDP growth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Growth per person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Relative to peers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Inflation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Unemployment (1991–)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Macapagal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5.02 (+0.26)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1.92 (−0.04)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0.02 (+0.37)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5.54 (−0.34)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</w:pPr>
          </w:p>
        </w:tc>
      </w:tr>
      <w:tr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Marcos Sr.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3.70 (−0.14)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1.16 (−0.26)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−2.97 (−0.51)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14.32 (+0.74)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</w:pPr>
          </w:p>
        </w:tc>
      </w:tr>
      <w:tr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C. Aquino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3.32 (−0.26)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0.81 (−0.36)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−4.50 (−0.95)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10.20 (+0.23)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3.79 (+0.79)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Ramos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3.53 (−0.19)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1.24 (−0.24)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−0.84 (+0.12)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7.71 (−0.07)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3.70 (+0.64)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Estrada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3.79 (−0.11)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1.33 (−0.21)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−1.09 (+0.04)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4.96 (−0.41)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3.76 (+0.74)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Arroyo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4.71 (+0.17)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2.85 (+0.24)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−0.00 (+0.36)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4.64 (−0.45)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3.69 (+0.62)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Aquino III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6.03 (+0.57)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4.43 (+0.70)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1.67 (+0.85)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2.64 (−0.70)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3.33 (+0.00)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Duterte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3.61 (−0.17)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2.74 (+0.20)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0.93 (+0.63)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3.78 (−0.56)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2.61 (−1.23)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ind w:firstLine="0" w:left="0"/>
              <w:jc w:val="left"/>
            </w:pPr>
            <w:r>
              <w:rPr>
                <w:sz w:val="20"/>
                <w:szCs w:val="20"/>
              </w:rPr>
              <w:t xml:space="preserve">Marcos Jr.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5.08 (+0.28)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4.36 (+0.68)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1.14 (+0.69)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3.62 (−0.58)</w:t>
            </w:r>
          </w:p>
        </w:tc>
        <w:tc>
          <w:tcPr/>
          <w:p>
            <w:pPr>
              <w:pStyle w:val="Compact"/>
              <w:spacing w:before="0" w:after="0" w:line="240" w:lineRule="auto"/>
              <w:ind w:firstLine="0" w:left="0"/>
              <w:jc w:val="right"/>
            </w:pPr>
            <w:r>
              <w:rPr>
                <w:sz w:val="20"/>
                <w:szCs w:val="20"/>
              </w:rPr>
              <w:t xml:space="preserve">2.21 (−1.90)</w:t>
            </w:r>
          </w:p>
        </w:tc>
      </w:tr>
    </w:tbl>
    <w:p>
      <w:pPr>
        <w:pStyle w:val="TableNote"/>
      </w:pPr>
      <w:r>
        <w:rPr>
          <w:i/>
          <w:iCs/>
        </w:rPr>
        <w:t xml:space="preserve">Notes:</w:t>
      </w:r>
      <w:r>
        <w:t xml:space="preserve"> </w:t>
      </w:r>
      <w:r>
        <w:t xml:space="preserve">Percent; z = (administration mean − 1962–2025 mean) / standard deviation of the annual values. For inflation and unemployment a negative z means a lower rate than usual. No composite index is formed and administrations are not ranked. Unemployment is the ILO modelled estimate (1991–).</w:t>
      </w:r>
    </w:p>
    <w:p>
      <w:pPr>
        <w:pStyle w:val="TableNote"/>
      </w:pPr>
      <w:r>
        <w:rPr>
          <w:i/>
          <w:iCs/>
        </w:rPr>
        <w:t xml:space="preserve">Source:</w:t>
      </w:r>
      <w:r>
        <w:t xml:space="preserve"> </w:t>
      </w:r>
      <w:r>
        <w:t xml:space="preserve">Author’s calculations from Philippine Statistics Authority, World Bank, FRED/ALFRED, NOAA and Federal Reserve Board data.</w:t>
      </w:r>
    </w:p>
    <w:bookmarkEnd w:id="23"/>
    <w:bookmarkStart w:id="24" w:name="g.-files"/>
    <w:p>
      <w:pPr>
        <w:pStyle w:val="Heading1"/>
      </w:pPr>
      <w:r>
        <w:t xml:space="preserve">G. Files</w:t>
      </w:r>
    </w:p>
    <w:p>
      <w:pPr>
        <w:pStyle w:val="FirstParagraph"/>
      </w:pPr>
      <w:r>
        <w:rPr>
          <w:rStyle w:val="VerbatimChar"/>
        </w:rPr>
        <w:t xml:space="preserve">replication_gate.csv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replication_term_effects.csv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sa_check.csv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admin_calendar.csv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rq1_premiums_q.csv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rq1_premiums_a.csv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rq1_tests.csv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rq2_single.csv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rq2_joint.csv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rq2_summary.csv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rq3_inheritance.csv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rq4_same_point.csv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scorecard.csv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robustness.csv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paper_numbers.json</w:t>
      </w:r>
      <w:r>
        <w:t xml:space="preserve">.</w:t>
      </w:r>
    </w:p>
    <w:bookmarkEnd w:id="24"/>
    <w:sectPr>
      <w:footerReference r:id="rId9" w:type="default"/>
      <w:pgSz w:h="15840" w:w="12240"/>
      <w:pgMar w:bottom="1440" w:footer="720" w:gutter="0" w:header="72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 w:after="0"/>
      <w:ind w:firstLine="0"/>
      <w:jc w:val="center"/>
    </w:pPr>
    <w:r/>
    <w:r>
      <w:rPr>
        <w:rFonts w:ascii="Times New Roman" w:hAnsi="Times New Roman" w:eastAsia="Times New Roman" w:cs="Times New Roman"/>
        <w:sz w:val="24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keepNext w:val="0"/>
      <w:widowControl/>
      <w:spacing w:after="0" w:before="0" w:line="480" w:lineRule="auto"/>
      <w:ind w:left="0" w:right="0" w:firstLine="720"/>
      <w:jc w:val="left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styleId="BodyText" w:type="paragraph">
    <w:name w:val="Body Text"/>
    <w:basedOn w:val="Normal"/>
    <w:link w:val="BodyTextChar"/>
    <w:pPr>
      <w:keepNext w:val="0"/>
      <w:widowControl/>
      <w:spacing w:after="0" w:before="0" w:line="480" w:lineRule="auto"/>
      <w:ind w:left="0" w:right="0" w:firstLine="720"/>
      <w:jc w:val="left"/>
    </w:pPr>
    <w:qFormat/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FirstParagraph" w:type="paragraph">
    <w:name w:val="First Paragraph"/>
    <w:basedOn w:val="BodyText"/>
    <w:next w:val="BodyText"/>
    <w:qFormat/>
    <w:pPr>
      <w:keepNext w:val="0"/>
      <w:widowControl/>
      <w:spacing w:after="0" w:before="0" w:line="48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Compact" w:type="paragraph">
    <w:name w:val="Compact"/>
    <w:basedOn w:val="BodyText"/>
    <w:qFormat/>
    <w:pPr>
      <w:keepNext w:val="0"/>
      <w:widowControl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styleId="Title" w:type="paragraph">
    <w:name w:val="Title"/>
    <w:basedOn w:val="Normal"/>
    <w:next w:val="BodyText"/>
    <w:qFormat/>
    <w:pPr>
      <w:keepNext/>
      <w:keepLines/>
      <w:widowControl/>
      <w:spacing w:after="240" w:before="0" w:line="240" w:lineRule="auto"/>
      <w:ind w:left="0" w:right="0" w:firstLine="0"/>
      <w:jc w:val="center"/>
    </w:pPr>
    <w:rPr>
      <w:rFonts w:ascii="Times New Roman" w:cs="Times New Roman" w:eastAsia="Times New Roman" w:hAnsi="Times New Roman"/>
      <w:b/>
      <w:bCs/>
      <w:i w:val="0"/>
      <w:color w:val="000000"/>
      <w:sz w:val="2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widowControl/>
      <w:spacing w:after="240" w:before="0" w:line="240" w:lineRule="auto"/>
      <w:ind w:left="0" w:right="0" w:firstLine="0"/>
      <w:jc w:val="center"/>
    </w:pPr>
    <w:rPr>
      <w:rFonts w:ascii="Times New Roman" w:cs="Times New Roman" w:eastAsia="Times New Roman" w:hAnsi="Times New Roman"/>
      <w:b w:val="0"/>
      <w:i w:val="0"/>
      <w:color w:val="000000"/>
      <w:sz w:val="24"/>
      <w:szCs w:val="30"/>
    </w:rPr>
  </w:style>
  <w:style w:customStyle="1" w:styleId="Author" w:type="paragraph">
    <w:name w:val="Author"/>
    <w:next w:val="BodyText"/>
    <w:qFormat/>
    <w:pPr>
      <w:keepNext/>
      <w:keepLines/>
      <w:widowControl/>
      <w:spacing w:after="0" w:before="0" w:line="240" w:lineRule="auto"/>
      <w:ind w:left="0" w:right="0" w:firstLine="0"/>
      <w:jc w:val="center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styleId="Date" w:type="paragraph">
    <w:name w:val="Date"/>
    <w:next w:val="BodyText"/>
    <w:qFormat/>
    <w:pPr>
      <w:keepNext/>
      <w:keepLines/>
      <w:widowControl/>
      <w:spacing w:after="480" w:before="0" w:line="240" w:lineRule="auto"/>
      <w:ind w:left="0" w:right="0" w:firstLine="0"/>
      <w:jc w:val="center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ind w:left="0" w:right="0" w:firstLine="0"/>
      <w:jc w:val="center"/>
      <w:widowControl/>
      <w:spacing w:after="120" w:before="240" w:line="240" w:lineRule="auto"/>
    </w:pPr>
    <w:rPr>
      <w:color w:val="000000"/>
      <w:sz w:val="24"/>
      <w:szCs w:val="20"/>
      <w:rFonts w:ascii="Times New Roman" w:cs="Times New Roman" w:eastAsia="Times New Roman" w:hAnsi="Times New Roman"/>
      <w:b/>
      <w:i w:val="0"/>
    </w:rPr>
  </w:style>
  <w:style w:customStyle="1" w:styleId="Abstract" w:type="paragraph">
    <w:name w:val="Abstract"/>
    <w:basedOn w:val="Normal"/>
    <w:next w:val="BodyText"/>
    <w:qFormat/>
    <w:pPr>
      <w:keepNext w:val="0"/>
      <w:keepLines/>
      <w:widowControl/>
      <w:spacing w:after="240" w:before="0" w:line="240" w:lineRule="auto"/>
      <w:ind w:left="720" w:right="720" w:firstLine="0"/>
      <w:jc w:val="both"/>
    </w:pPr>
    <w:rPr>
      <w:rFonts w:ascii="Times New Roman" w:cs="Times New Roman" w:eastAsia="Times New Roman" w:hAnsi="Times New Roman"/>
      <w:b w:val="0"/>
      <w:i w:val="0"/>
      <w:color w:val="000000"/>
      <w:sz w:val="24"/>
      <w:szCs w:val="20"/>
    </w:rPr>
  </w:style>
  <w:style w:styleId="Bibliography" w:type="paragraph">
    <w:name w:val="Bibliography"/>
    <w:basedOn w:val="Normal"/>
    <w:next w:val="Bibliography"/>
    <w:qFormat/>
    <w:pPr>
      <w:keepNext w:val="0"/>
      <w:widowControl/>
      <w:spacing w:after="120" w:before="0" w:line="240" w:lineRule="auto"/>
      <w:ind w:left="720" w:right="0" w:hanging="720"/>
      <w:jc w:val="left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widowControl/>
      <w:spacing w:after="0" w:before="240" w:line="480" w:lineRule="auto"/>
      <w:ind w:left="0" w:right="0" w:firstLine="0"/>
      <w:jc w:val="left"/>
      <w:outlineLvl w:val="0"/>
    </w:pPr>
    <w:rPr>
      <w:rFonts w:ascii="Times New Roman" w:cs="Times New Roman" w:eastAsia="Times New Roman" w:hAnsi="Times New Roman"/>
      <w:b/>
      <w:bCs/>
      <w:i w:val="0"/>
      <w:color w:val="000000"/>
      <w:sz w:val="24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widowControl/>
      <w:spacing w:after="0" w:before="240" w:line="480" w:lineRule="auto"/>
      <w:ind w:left="0" w:right="0" w:firstLine="0"/>
      <w:jc w:val="left"/>
      <w:outlineLvl w:val="1"/>
    </w:pPr>
    <w:rPr>
      <w:rFonts w:ascii="Times New Roman" w:cs="Times New Roman" w:eastAsia="Times New Roman" w:hAnsi="Times New Roman"/>
      <w:b/>
      <w:bCs/>
      <w:i/>
      <w:color w:val="000000"/>
      <w:sz w:val="24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widowControl/>
      <w:spacing w:after="0" w:before="240" w:line="480" w:lineRule="auto"/>
      <w:ind w:left="0" w:right="0" w:firstLine="0"/>
      <w:jc w:val="left"/>
      <w:outlineLvl w:val="2"/>
    </w:pPr>
    <w:rPr>
      <w:rFonts w:ascii="Times New Roman" w:cs="Times New Roman" w:eastAsia="Times New Roman" w:hAnsi="Times New Roman"/>
      <w:b w:val="0"/>
      <w:bCs/>
      <w:i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widowControl/>
      <w:spacing w:after="0" w:before="240" w:line="480" w:lineRule="auto"/>
      <w:ind w:left="0" w:right="0" w:firstLine="0"/>
      <w:jc w:val="left"/>
      <w:outlineLvl w:val="3"/>
    </w:pPr>
    <w:rPr>
      <w:rFonts w:ascii="Times New Roman" w:cs="Times New Roman" w:eastAsia="Times New Roman" w:hAnsi="Times New Roman"/>
      <w:i/>
      <w:b w:val="0"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widowControl/>
      <w:spacing w:after="0" w:before="240" w:line="480" w:lineRule="auto"/>
      <w:ind w:left="0" w:right="0" w:firstLine="0"/>
      <w:jc w:val="left"/>
      <w:outlineLvl w:val="4"/>
    </w:pPr>
    <w:rPr>
      <w:rFonts w:ascii="Times New Roman" w:cs="Times New Roman" w:eastAsia="Times New Roman" w:hAnsi="Times New Roman"/>
      <w:b w:val="0"/>
      <w:i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widowControl/>
      <w:spacing w:after="0" w:before="240" w:line="480" w:lineRule="auto"/>
      <w:ind w:left="0" w:right="0" w:firstLine="0"/>
      <w:jc w:val="left"/>
      <w:outlineLvl w:val="5"/>
    </w:pPr>
    <w:rPr>
      <w:rFonts w:ascii="Times New Roman" w:cs="Times New Roman" w:eastAsia="Times New Roman" w:hAnsi="Times New Roman"/>
      <w:b w:val="0"/>
      <w:i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widowControl/>
      <w:spacing w:after="0" w:before="240" w:line="480" w:lineRule="auto"/>
      <w:ind w:left="0" w:right="0" w:firstLine="0"/>
      <w:jc w:val="left"/>
      <w:outlineLvl w:val="6"/>
    </w:pPr>
    <w:rPr>
      <w:rFonts w:ascii="Times New Roman" w:cs="Times New Roman" w:eastAsia="Times New Roman" w:hAnsi="Times New Roman"/>
      <w:b w:val="0"/>
      <w:i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widowControl/>
      <w:spacing w:after="0" w:before="240" w:line="480" w:lineRule="auto"/>
      <w:ind w:left="0" w:right="0" w:firstLine="0"/>
      <w:jc w:val="left"/>
      <w:outlineLvl w:val="7"/>
    </w:pPr>
    <w:rPr>
      <w:rFonts w:ascii="Times New Roman" w:cs="Times New Roman" w:eastAsia="Times New Roman" w:hAnsi="Times New Roman"/>
      <w:b w:val="0"/>
      <w:i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widowControl/>
      <w:spacing w:after="0" w:before="240" w:line="480" w:lineRule="auto"/>
      <w:ind w:left="0" w:right="0" w:firstLine="0"/>
      <w:jc w:val="left"/>
      <w:outlineLvl w:val="8"/>
    </w:pPr>
    <w:rPr>
      <w:rFonts w:ascii="Times New Roman" w:cs="Times New Roman" w:eastAsia="Times New Roman" w:hAnsi="Times New Roman"/>
      <w:b w:val="0"/>
      <w:i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keepNext w:val="0"/>
      <w:widowControl/>
      <w:spacing w:after="240" w:before="120" w:line="240" w:lineRule="auto"/>
      <w:ind w:left="720" w:right="720" w:firstLine="0"/>
      <w:jc w:val="left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keepNext w:val="0"/>
      <w:widowControl/>
      <w:spacing w:after="4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i w:val="0"/>
      <w:color w:val="000000"/>
      <w:sz w:val="20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val="single" w:sz="12" w:space="0" w:color="000000"/>
        <w:left w:val="nil"/>
        <w:bottom w:val="single" w:sz="12" w:space="0" w:color="000000"/>
        <w:right w:val="nil"/>
        <w:insideH w:val="nil"/>
        <w:insideV w:val="nil"/>
      </w:tblBorders>
    </w:tblPr>
    <w:tblStylePr w:type="firstRow">
      <w:tcPr>
        <w:tcBorders>
          <w:bottom w:val="single" w:sz="6" w:space="0" w:color="000000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widowControl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/>
      <w:i w:val="0"/>
      <w:color w:val="000000"/>
      <w:sz w:val="24"/>
    </w:rPr>
  </w:style>
  <w:style w:customStyle="1" w:styleId="Definition" w:type="paragraph">
    <w:name w:val="Definition"/>
    <w:basedOn w:val="Normal"/>
    <w:pPr>
      <w:keepNext w:val="0"/>
      <w:widowControl/>
      <w:spacing w:after="120" w:before="0" w:line="240" w:lineRule="auto"/>
      <w:ind w:left="720" w:right="0" w:firstLine="0"/>
      <w:jc w:val="left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styleId="Caption" w:type="paragraph">
    <w:name w:val="Caption"/>
    <w:basedOn w:val="Normal"/>
    <w:link w:val="BodyTextChar"/>
    <w:pPr>
      <w:keepNext w:val="0"/>
      <w:widowControl/>
      <w:spacing w:after="240" w:before="12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TableCaption" w:type="paragraph">
    <w:name w:val="Table Caption"/>
    <w:basedOn w:val="Caption"/>
    <w:pPr>
      <w:keepNext/>
      <w:widowControl/>
      <w:spacing w:after="120" w:before="24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ImageCaption" w:type="paragraph">
    <w:name w:val="Image Caption"/>
    <w:basedOn w:val="Caption"/>
    <w:pPr>
      <w:keepNext w:val="0"/>
      <w:widowControl/>
      <w:spacing w:after="240" w:before="12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Figure" w:type="paragraph">
    <w:name w:val="Figure"/>
    <w:basedOn w:val="Normal"/>
    <w:pPr>
      <w:keepNext/>
      <w:widowControl/>
      <w:spacing w:after="0" w:before="240" w:line="240" w:lineRule="auto"/>
      <w:ind w:left="0" w:right="0" w:firstLine="0"/>
      <w:jc w:val="center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CaptionedFigure" w:type="paragraph">
    <w:name w:val="Captioned Figure"/>
    <w:basedOn w:val="Figure"/>
    <w:pPr>
      <w:keepNext/>
      <w:widowControl/>
      <w:spacing w:after="0" w:before="240" w:line="240" w:lineRule="auto"/>
      <w:ind w:left="0" w:right="0" w:firstLine="0"/>
      <w:jc w:val="center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eastAsia="Courier New" w:hAnsi="Courier New"/>
      <w:b w:val="0"/>
      <w:i w:val="0"/>
      <w:color w:val="000000"/>
      <w:sz w:val="20"/>
      <w:u w:val="none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rFonts w:ascii="Times New Roman" w:cs="Times New Roman" w:eastAsia="Times New Roman" w:hAnsi="Times New Roman"/>
      <w:b w:val="0"/>
      <w:i w:val="0"/>
      <w:color w:val="000000"/>
      <w:sz w:val="24"/>
      <w:u w:val="none"/>
      <w:vertAlign w:val="superscript"/>
    </w:rPr>
  </w:style>
  <w:style w:styleId="Hyperlink" w:type="character">
    <w:name w:val="Hyperlink"/>
    <w:basedOn w:val="BodyTextChar"/>
    <w:rPr>
      <w:rFonts w:ascii="Times New Roman" w:cs="Times New Roman" w:eastAsia="Times New Roman" w:hAnsi="Times New Roman"/>
      <w:b w:val="0"/>
      <w:i w:val="0"/>
      <w:color w:val="000000"/>
      <w:sz w:val="24"/>
      <w:u w:val="none"/>
    </w:rPr>
  </w:style>
  <w:style w:styleId="TOCHeading" w:type="paragraph">
    <w:name w:val="TOC Heading"/>
    <w:basedOn w:val="Heading1"/>
    <w:next w:val="BodyText"/>
    <w:uiPriority w:val="39"/>
    <w:unhideWhenUsed/>
    <w:qFormat/>
    <w:pPr>
      <w:keepNext w:val="0"/>
      <w:widowControl/>
      <w:spacing w:after="120" w:before="240" w:line="240" w:lineRule="auto"/>
      <w:ind w:left="0" w:right="0" w:firstLine="0"/>
      <w:jc w:val="left"/>
      <w:outlineLvl w:val="9"/>
    </w:pPr>
    <w:rPr>
      <w:rFonts w:ascii="Times New Roman" w:cs="Times New Roman" w:eastAsia="Times New Roman" w:hAnsi="Times New Roman"/>
      <w:b/>
      <w:bCs w:val="0"/>
      <w:i w:val="0"/>
      <w:color w:val="000000"/>
      <w:sz w:val="24"/>
    </w:rPr>
  </w:style>
  <w:style w:customStyle="1" w:styleId="TableNote" w:type="paragraph">
    <w:name w:val="Table Note"/>
    <w:basedOn w:val="Normal"/>
    <w:pPr>
      <w:keepNext w:val="0"/>
      <w:widowControl/>
      <w:spacing w:after="8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i w:val="0"/>
      <w:color w:val="000000"/>
      <w:sz w:val="20"/>
    </w:rPr>
  </w:style>
  <w:style w:customStyle="1" w:styleId="FigureNote" w:type="paragraph">
    <w:name w:val="Figure Note"/>
    <w:basedOn w:val="Normal"/>
    <w:pPr>
      <w:keepNext w:val="0"/>
      <w:widowControl/>
      <w:spacing w:after="8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i w:val="0"/>
      <w:color w:val="00000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0000"/>
    </w:rPr>
  </w:style>
  <w:style w:type="character" w:customStyle="1" w:styleId="DataTypeTok">
    <w:name w:val="DataTypeTok"/>
    <w:basedOn w:val="VerbatimChar"/>
    <w:rPr>
      <w:color w:val="000000"/>
    </w:rPr>
  </w:style>
  <w:style w:type="character" w:customStyle="1" w:styleId="DecValTok">
    <w:name w:val="DecValTok"/>
    <w:basedOn w:val="VerbatimChar"/>
    <w:rPr>
      <w:color w:val="000000"/>
    </w:rPr>
  </w:style>
  <w:style w:type="character" w:customStyle="1" w:styleId="BaseNTok">
    <w:name w:val="BaseNTok"/>
    <w:basedOn w:val="VerbatimChar"/>
    <w:rPr>
      <w:color w:val="000000"/>
    </w:rPr>
  </w:style>
  <w:style w:type="character" w:customStyle="1" w:styleId="FloatTok">
    <w:name w:val="FloatTok"/>
    <w:basedOn w:val="VerbatimChar"/>
    <w:rPr>
      <w:color w:val="000000"/>
    </w:rPr>
  </w:style>
  <w:style w:type="character" w:customStyle="1" w:styleId="ConstantTok">
    <w:name w:val="ConstantTok"/>
    <w:basedOn w:val="VerbatimChar"/>
    <w:rPr>
      <w:color w:val="000000"/>
    </w:rPr>
  </w:style>
  <w:style w:type="character" w:customStyle="1" w:styleId="CharTok">
    <w:name w:val="CharTok"/>
    <w:basedOn w:val="VerbatimChar"/>
    <w:rPr>
      <w:color w:val="000000"/>
    </w:rPr>
  </w:style>
  <w:style w:type="character" w:customStyle="1" w:styleId="SpecialCharTok">
    <w:name w:val="SpecialCharTok"/>
    <w:basedOn w:val="VerbatimChar"/>
    <w:rPr>
      <w:color w:val="000000"/>
    </w:rPr>
  </w:style>
  <w:style w:type="character" w:customStyle="1" w:styleId="StringTok">
    <w:name w:val="StringTok"/>
    <w:basedOn w:val="VerbatimChar"/>
    <w:rPr>
      <w:color w:val="000000"/>
    </w:rPr>
  </w:style>
  <w:style w:type="character" w:customStyle="1" w:styleId="VerbatimStringTok">
    <w:name w:val="VerbatimStringTok"/>
    <w:basedOn w:val="VerbatimChar"/>
    <w:rPr>
      <w:color w:val="000000"/>
    </w:rPr>
  </w:style>
  <w:style w:type="character" w:customStyle="1" w:styleId="SpecialStringTok">
    <w:name w:val="SpecialStringTok"/>
    <w:basedOn w:val="VerbatimChar"/>
    <w:rPr>
      <w:color w:val="000000"/>
    </w:rPr>
  </w:style>
  <w:style w:type="character" w:customStyle="1" w:styleId="ImportTok">
    <w:name w:val="ImportTok"/>
    <w:basedOn w:val="VerbatimChar"/>
    <w:rPr>
      <w:b/>
      <w:color w:val="000000"/>
    </w:rPr>
  </w:style>
  <w:style w:type="character" w:customStyle="1" w:styleId="CommentTok">
    <w:name w:val="CommentTok"/>
    <w:basedOn w:val="VerbatimChar"/>
    <w:rPr>
      <w:i/>
      <w:color w:val="000000"/>
    </w:rPr>
  </w:style>
  <w:style w:type="character" w:customStyle="1" w:styleId="DocumentationTok">
    <w:name w:val="DocumentationTok"/>
    <w:basedOn w:val="VerbatimChar"/>
    <w:rPr>
      <w:i/>
      <w:color w:val="000000"/>
    </w:rPr>
  </w:style>
  <w:style w:type="character" w:customStyle="1" w:styleId="AnnotationTok">
    <w:name w:val="AnnotationTok"/>
    <w:basedOn w:val="VerbatimChar"/>
    <w:rPr>
      <w:b/>
      <w:i/>
      <w:color w:val="000000"/>
    </w:rPr>
  </w:style>
  <w:style w:type="character" w:customStyle="1" w:styleId="CommentVarTok">
    <w:name w:val="CommentVarTok"/>
    <w:basedOn w:val="VerbatimChar"/>
    <w:rPr>
      <w:b/>
      <w:i/>
      <w:color w:val="000000"/>
    </w:rPr>
  </w:style>
  <w:style w:type="character" w:customStyle="1" w:styleId="OtherTok">
    <w:name w:val="OtherTok"/>
    <w:basedOn w:val="VerbatimChar"/>
    <w:rPr>
      <w:color w:val="000000"/>
    </w:rPr>
  </w:style>
  <w:style w:type="character" w:customStyle="1" w:styleId="FunctionTok">
    <w:name w:val="FunctionTok"/>
    <w:basedOn w:val="VerbatimChar"/>
    <w:rPr>
      <w:color w:val="000000"/>
    </w:rPr>
  </w:style>
  <w:style w:type="character" w:customStyle="1" w:styleId="VariableTok">
    <w:name w:val="VariableTok"/>
    <w:basedOn w:val="VerbatimChar"/>
    <w:rPr>
      <w:color w:val="000000"/>
    </w:rPr>
  </w:style>
  <w:style w:type="character" w:customStyle="1" w:styleId="ControlFlowTok">
    <w:name w:val="ControlFlowTok"/>
    <w:basedOn w:val="VerbatimChar"/>
    <w:rPr>
      <w:b/>
      <w:color w:val="000000"/>
    </w:rPr>
  </w:style>
  <w:style w:type="character" w:customStyle="1" w:styleId="OperatorTok">
    <w:name w:val="OperatorTok"/>
    <w:basedOn w:val="VerbatimChar"/>
    <w:rPr>
      <w:color w:val="000000"/>
    </w:rPr>
  </w:style>
  <w:style w:type="character" w:customStyle="1" w:styleId="BuiltInTok">
    <w:name w:val="BuiltInTok"/>
    <w:basedOn w:val="VerbatimChar"/>
    <w:rPr>
      <w:color w:val="000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000000"/>
    </w:rPr>
  </w:style>
  <w:style w:type="character" w:customStyle="1" w:styleId="AttributeTok">
    <w:name w:val="AttributeTok"/>
    <w:basedOn w:val="VerbatimChar"/>
    <w:rPr>
      <w:color w:val="000000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000000"/>
    </w:rPr>
  </w:style>
  <w:style w:type="character" w:customStyle="1" w:styleId="WarningTok">
    <w:name w:val="WarningTok"/>
    <w:basedOn w:val="VerbatimChar"/>
    <w:rPr>
      <w:b/>
      <w:i/>
      <w:color w:val="000000"/>
    </w:rPr>
  </w:style>
  <w:style w:type="character" w:customStyle="1" w:styleId="AlertTok">
    <w:name w:val="AlertTok"/>
    <w:basedOn w:val="VerbatimChar"/>
    <w:rPr>
      <w:b/>
      <w:color w:val="000000"/>
    </w:rPr>
  </w:style>
  <w:style w:type="character" w:customStyle="1" w:styleId="ErrorTok">
    <w:name w:val="ErrorTok"/>
    <w:basedOn w:val="VerbatimChar"/>
    <w:rPr>
      <w:b/>
      <w:color w:val="00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7" Type="http://schemas.openxmlformats.org/officeDocument/2006/relationships/numbering" Target="numbering.xml"/><Relationship Id="rId16" Type="http://schemas.openxmlformats.org/officeDocument/2006/relationships/styles" Target="styles.xml"/><Relationship Id="rId15" Type="http://schemas.openxmlformats.org/officeDocument/2006/relationships/settings" Target="settings.xml"/><Relationship Id="rId14" Type="http://schemas.openxmlformats.org/officeDocument/2006/relationships/webSettings" Target="webSettings.xml"/><Relationship Id="rId13" Type="http://schemas.openxmlformats.org/officeDocument/2006/relationships/fontTable" Target="fontTable.xml"/><Relationship Id="rId12" Type="http://schemas.openxmlformats.org/officeDocument/2006/relationships/theme" Target="theme/theme1.xml"/><Relationship Id="rId11" Type="http://schemas.openxmlformats.org/officeDocument/2006/relationships/footnotes" Target="footnotes.xml"/><Relationship Id="rId10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annex: presidents and the Philippine economy</dc:title>
  <dc:creator/>
  <cp:keywords/>
  <dcterms:created xsi:type="dcterms:W3CDTF">2026-10-16T03:03:03Z</dcterms:created>
  <dcterms:modified xsi:type="dcterms:W3CDTF">2026-10-16T03:03:03Z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16 October 2026</vt:lpwstr>
  </property>
</Properties>
</file>