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annex: presidents and the Philippine economy</w:t>
      </w:r>
    </w:p>
    <w:p>
      <w:pPr>
        <w:pStyle w:val="Date"/>
      </w:pPr>
      <w:r>
        <w:t xml:space="preserve">16 October 2026</w:t>
      </w:r>
    </w:p>
    <w:p>
      <w:pPr>
        <w:pStyle w:val="FirstParagraph"/>
      </w:pPr>
      <w:r>
        <w:t xml:space="preserve">This annex collects every table generated by the estimation, as rendered from</w:t>
      </w:r>
      <w:r>
        <w:t xml:space="preserve"> </w:t>
      </w:r>
      <w:r>
        <w:rPr>
          <w:rStyle w:val="VerbatimChar"/>
        </w:rPr>
        <w:t xml:space="preserve">output/tables/</w:t>
      </w:r>
      <w:r>
        <w:t xml:space="preserve">. The full machine-readable results, including the one-shock</w:t>
      </w:r>
      <w:r>
        <w:t xml:space="preserve"> </w:t>
      </w:r>
      <w:r>
        <w:t xml:space="preserve">models and the robustness checks for every administration, are the csv files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output/tables/</w:t>
      </w:r>
      <w:r>
        <w:t xml:space="preserve"> </w:t>
      </w:r>
      <w:r>
        <w:t xml:space="preserve">listed at the end.</w:t>
      </w:r>
    </w:p>
    <w:bookmarkStart w:id="9" w:name="a.-validation"/>
    <w:p>
      <w:pPr>
        <w:pStyle w:val="Heading1"/>
      </w:pPr>
      <w:r>
        <w:t xml:space="preserve">A. Validation</w:t>
      </w:r>
    </w:p>
    <w:p>
      <w:pPr>
        <w:pStyle w:val="FirstParagraph"/>
      </w:pPr>
      <w:r>
        <w:rPr>
          <w:b/>
          <w:bCs/>
        </w:rPr>
        <w:t xml:space="preserve">Table 1. Replication of Blinder and Watson (2016) on US data, 1949Q2–2013Q1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This study</w:t>
            </w:r>
          </w:p>
        </w:tc>
        <w:tc>
          <w:tcPr/>
          <w:p>
            <w:pPr>
              <w:pStyle w:val="Compact"/>
            </w:pPr>
            <w:r>
              <w:t xml:space="preserve">Pass range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D mean growth</w:t>
            </w:r>
          </w:p>
        </w:tc>
        <w:tc>
          <w:tcPr/>
          <w:p>
            <w:pPr>
              <w:pStyle w:val="Compact"/>
            </w:pPr>
            <w:r>
              <w:t xml:space="preserve">4.35</w:t>
            </w:r>
          </w:p>
        </w:tc>
        <w:tc>
          <w:tcPr/>
          <w:p>
            <w:pPr>
              <w:pStyle w:val="Compact"/>
            </w:pPr>
            <w:r>
              <w:t xml:space="preserve">4.346</w:t>
            </w:r>
          </w:p>
        </w:tc>
        <w:tc>
          <w:tcPr/>
          <w:p>
            <w:pPr>
              <w:pStyle w:val="Compact"/>
            </w:pPr>
            <w:r>
              <w:t xml:space="preserve">[4.25, 4.45]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R mean growth</w:t>
            </w:r>
          </w:p>
        </w:tc>
        <w:tc>
          <w:tcPr/>
          <w:p>
            <w:pPr>
              <w:pStyle w:val="Compact"/>
            </w:pPr>
            <w:r>
              <w:t xml:space="preserve">2.54</w:t>
            </w:r>
          </w:p>
        </w:tc>
        <w:tc>
          <w:tcPr/>
          <w:p>
            <w:pPr>
              <w:pStyle w:val="Compact"/>
            </w:pPr>
            <w:r>
              <w:t xml:space="preserve">2.543</w:t>
            </w:r>
          </w:p>
        </w:tc>
        <w:tc>
          <w:tcPr/>
          <w:p>
            <w:pPr>
              <w:pStyle w:val="Compact"/>
            </w:pPr>
            <w:r>
              <w:t xml:space="preserve">[2.44, 2.64]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D-R gap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1.803</w:t>
            </w:r>
          </w:p>
        </w:tc>
        <w:tc>
          <w:tcPr/>
          <w:p>
            <w:pPr>
              <w:pStyle w:val="Compact"/>
            </w:pPr>
            <w:r>
              <w:t xml:space="preserve">[1.7, 1.9]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Newey-West (6) s.e. of gap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[0.54, 0.74]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randomization p-value (16 blocks)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[0.0, 0.03]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oil-explained gap, adopted reading: lags 0-6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  <w:tc>
          <w:tcPr/>
          <w:p>
            <w:pPr>
              <w:pStyle w:val="Compact"/>
            </w:pPr>
            <w:r>
              <w:t xml:space="preserve">[0.4, 0.6]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corr. of term oil effects with Table 7</w:t>
            </w:r>
          </w:p>
        </w:tc>
        <w:tc>
          <w:tcPr/>
          <w:p>
            <w:pPr>
              <w:pStyle w:val="Compact"/>
            </w:pPr>
            <w:r>
              <w:t xml:space="preserve">&gt;=0.90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[0.9, 1.0]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terms with the same sign (of 16)</w:t>
            </w:r>
          </w:p>
        </w:tc>
        <w:tc>
          <w:tcPr/>
          <w:p>
            <w:pPr>
              <w:pStyle w:val="Compact"/>
            </w:pPr>
            <w:r>
              <w:t xml:space="preserve">&gt;=14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[14, 16]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Pass ranges were fixed before the gate was run. Growth is quarterly real GDP growth at a compounded annual rate, ALFRED vintage of 1 July 2014.</w:t>
      </w:r>
    </w:p>
    <w:bookmarkEnd w:id="9"/>
    <w:bookmarkStart w:id="10" w:name="b.-the-facts-rq1"/>
    <w:p>
      <w:pPr>
        <w:pStyle w:val="Heading1"/>
      </w:pPr>
      <w:r>
        <w:t xml:space="preserve">B. The facts (RQ1)</w:t>
      </w:r>
    </w:p>
    <w:p>
      <w:pPr>
        <w:pStyle w:val="FirstParagraph"/>
      </w:pPr>
      <w:r>
        <w:rPr>
          <w:b/>
          <w:bCs/>
        </w:rPr>
        <w:t xml:space="preserve">Table 2. Administration premiums in quarterly real GDP growth, 1981Q2–2026Q2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Quarters charged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 growth</w:t>
            </w:r>
          </w:p>
        </w:tc>
        <w:tc>
          <w:tcPr/>
          <w:p>
            <w:pPr>
              <w:pStyle w:val="Compact"/>
            </w:pPr>
            <w:r>
              <w:t xml:space="preserve">Premium (s.e.)</w:t>
            </w:r>
          </w:p>
        </w:tc>
        <w:tc>
          <w:tcPr/>
          <w:p>
            <w:pPr>
              <w:pStyle w:val="Compact"/>
            </w:pPr>
            <w:r>
              <w:t xml:space="preserve">Holm p</w:t>
            </w:r>
          </w:p>
        </w:tc>
        <w:tc>
          <w:tcPr/>
          <w:p>
            <w:pPr>
              <w:pStyle w:val="Compact"/>
            </w:pPr>
            <w:r>
              <w:t xml:space="preserve">Per-person premium (s.e.)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Sr. (1981–86)</w:t>
            </w:r>
          </w:p>
        </w:tc>
        <w:tc>
          <w:tcPr/>
          <w:p>
            <w:pPr>
              <w:pStyle w:val="Compact"/>
            </w:pPr>
            <w:r>
              <w:t xml:space="preserve">1981Q2–1986Q2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-0.20</w:t>
            </w:r>
          </w:p>
        </w:tc>
        <w:tc>
          <w:tcPr/>
          <w:p>
            <w:pPr>
              <w:pStyle w:val="Compact"/>
            </w:pPr>
            <w:r>
              <w:t xml:space="preserve">-4.22* (2.26)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-5.03** (2.30)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Aquino</w:t>
            </w:r>
          </w:p>
        </w:tc>
        <w:tc>
          <w:tcPr/>
          <w:p>
            <w:pPr>
              <w:pStyle w:val="Compact"/>
            </w:pPr>
            <w:r>
              <w:t xml:space="preserve">1986Q3–1992Q3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3.25</w:t>
            </w:r>
          </w:p>
        </w:tc>
        <w:tc>
          <w:tcPr/>
          <w:p>
            <w:pPr>
              <w:pStyle w:val="Compact"/>
            </w:pPr>
            <w:r>
              <w:t xml:space="preserve">-0.77 (1.38)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-1.35 (1.37)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Ramos</w:t>
            </w:r>
          </w:p>
        </w:tc>
        <w:tc>
          <w:tcPr/>
          <w:p>
            <w:pPr>
              <w:pStyle w:val="Compact"/>
            </w:pPr>
            <w:r>
              <w:t xml:space="preserve">1992Q4–1998Q3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3.78</w:t>
            </w:r>
          </w:p>
        </w:tc>
        <w:tc>
          <w:tcPr/>
          <w:p>
            <w:pPr>
              <w:pStyle w:val="Compact"/>
            </w:pPr>
            <w:r>
              <w:t xml:space="preserve">-0.24 (0.93)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-0.60 (0.98)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Estrada</w:t>
            </w:r>
          </w:p>
        </w:tc>
        <w:tc>
          <w:tcPr/>
          <w:p>
            <w:pPr>
              <w:pStyle w:val="Compact"/>
            </w:pPr>
            <w:r>
              <w:t xml:space="preserve">1998Q4–2001Q1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3.48</w:t>
            </w:r>
          </w:p>
        </w:tc>
        <w:tc>
          <w:tcPr/>
          <w:p>
            <w:pPr>
              <w:pStyle w:val="Compact"/>
            </w:pPr>
            <w:r>
              <w:t xml:space="preserve">-0.54 (0.83)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-1.03 (0.86)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Arroyo</w:t>
            </w:r>
          </w:p>
        </w:tc>
        <w:tc>
          <w:tcPr/>
          <w:p>
            <w:pPr>
              <w:pStyle w:val="Compact"/>
            </w:pPr>
            <w:r>
              <w:t xml:space="preserve">2001Q2–2010Q3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5.09</w:t>
            </w:r>
          </w:p>
        </w:tc>
        <w:tc>
          <w:tcPr/>
          <w:p>
            <w:pPr>
              <w:pStyle w:val="Compact"/>
            </w:pPr>
            <w:r>
              <w:t xml:space="preserve">+1.07 (0.70)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+1.13 (0.76)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Aquino III</w:t>
            </w:r>
          </w:p>
        </w:tc>
        <w:tc>
          <w:tcPr/>
          <w:p>
            <w:pPr>
              <w:pStyle w:val="Compact"/>
            </w:pPr>
            <w:r>
              <w:t xml:space="preserve">2010Q4–2016Q3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6.24</w:t>
            </w:r>
          </w:p>
        </w:tc>
        <w:tc>
          <w:tcPr/>
          <w:p>
            <w:pPr>
              <w:pStyle w:val="Compact"/>
            </w:pPr>
            <w:r>
              <w:t xml:space="preserve">+2.22*** (0.72)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+2.43*** (0.79)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Duterte</w:t>
            </w:r>
          </w:p>
        </w:tc>
        <w:tc>
          <w:tcPr/>
          <w:p>
            <w:pPr>
              <w:pStyle w:val="Compact"/>
            </w:pPr>
            <w:r>
              <w:t xml:space="preserve">2016Q4–2022Q3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4.72</w:t>
            </w:r>
          </w:p>
        </w:tc>
        <w:tc>
          <w:tcPr/>
          <w:p>
            <w:pPr>
              <w:pStyle w:val="Compact"/>
            </w:pPr>
            <w:r>
              <w:t xml:space="preserve">+0.70 (1.84)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+1.54 (1.87)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Jr.</w:t>
            </w:r>
          </w:p>
        </w:tc>
        <w:tc>
          <w:tcPr/>
          <w:p>
            <w:pPr>
              <w:pStyle w:val="Compact"/>
            </w:pPr>
            <w:r>
              <w:t xml:space="preserve">2022Q4–2026Q2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4.59</w:t>
            </w:r>
          </w:p>
        </w:tc>
        <w:tc>
          <w:tcPr/>
          <w:p>
            <w:pPr>
              <w:pStyle w:val="Compact"/>
            </w:pPr>
            <w:r>
              <w:t xml:space="preserve">+0.56 (0.90)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+1.99** (0.88)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Growth at a compounded annual rate, percent; premium = administration mean minus the sample mean (4.02%). Newey–West standard errors (6 lags) in parentheses. * p &lt; 0.10, ** p &lt; 0.05, *** p &lt; 0.01 (unadjusted). Holm p corrects for the eight tests. Circular-shift test of no differences: p = 0.44 (raw), 0.28 (per person).</w:t>
      </w:r>
    </w:p>
    <w:p>
      <w:pPr>
        <w:pStyle w:val="BodyText"/>
      </w:pPr>
      <w:r>
        <w:rPr>
          <w:b/>
          <w:bCs/>
        </w:rPr>
        <w:t xml:space="preserve">Table 3. Annual premiums, raw and relative to regional peers, 1962–2025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Premium, PSA growth</w:t>
            </w:r>
          </w:p>
        </w:tc>
        <w:tc>
          <w:tcPr/>
          <w:p>
            <w:pPr>
              <w:pStyle w:val="Compact"/>
            </w:pPr>
            <w:r>
              <w:t xml:space="preserve">Premium relative to IDN–MYS–THA</w:t>
            </w:r>
          </w:p>
        </w:tc>
        <w:tc>
          <w:tcPr/>
          <w:p>
            <w:pPr>
              <w:pStyle w:val="Compact"/>
            </w:pPr>
            <w:r>
              <w:t xml:space="preserve">Relative to IDN–MYS–THA–VNM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Macapagal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+0.86</w:t>
            </w:r>
          </w:p>
        </w:tc>
        <w:tc>
          <w:tcPr/>
          <w:p>
            <w:pPr>
              <w:pStyle w:val="Compact"/>
            </w:pPr>
            <w:r>
              <w:t xml:space="preserve">+1.25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Marcos Sr.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-0.46</w:t>
            </w:r>
          </w:p>
        </w:tc>
        <w:tc>
          <w:tcPr/>
          <w:p>
            <w:pPr>
              <w:pStyle w:val="Compact"/>
            </w:pPr>
            <w:r>
              <w:t xml:space="preserve">-1.73</w:t>
            </w:r>
          </w:p>
        </w:tc>
        <w:tc>
          <w:tcPr/>
          <w:p>
            <w:pPr>
              <w:pStyle w:val="Compact"/>
            </w:pPr>
            <w:r>
              <w:t xml:space="preserve">-8.25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Aquino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-0.84</w:t>
            </w:r>
          </w:p>
        </w:tc>
        <w:tc>
          <w:tcPr/>
          <w:p>
            <w:pPr>
              <w:pStyle w:val="Compact"/>
            </w:pPr>
            <w:r>
              <w:t xml:space="preserve">-3.26</w:t>
            </w:r>
          </w:p>
        </w:tc>
        <w:tc>
          <w:tcPr/>
          <w:p>
            <w:pPr>
              <w:pStyle w:val="Compact"/>
            </w:pPr>
            <w:r>
              <w:t xml:space="preserve">-2.82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Ramos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-0.63</w:t>
            </w:r>
          </w:p>
        </w:tc>
        <w:tc>
          <w:tcPr/>
          <w:p>
            <w:pPr>
              <w:pStyle w:val="Compact"/>
            </w:pPr>
            <w:r>
              <w:t xml:space="preserve">+0.40</w:t>
            </w:r>
          </w:p>
        </w:tc>
        <w:tc>
          <w:tcPr/>
          <w:p>
            <w:pPr>
              <w:pStyle w:val="Compact"/>
            </w:pPr>
            <w:r>
              <w:t xml:space="preserve">-0.71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Estrada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-0.37</w:t>
            </w:r>
          </w:p>
        </w:tc>
        <w:tc>
          <w:tcPr/>
          <w:p>
            <w:pPr>
              <w:pStyle w:val="Compact"/>
            </w:pPr>
            <w:r>
              <w:t xml:space="preserve">+0.14</w:t>
            </w:r>
          </w:p>
        </w:tc>
        <w:tc>
          <w:tcPr/>
          <w:p>
            <w:pPr>
              <w:pStyle w:val="Compact"/>
            </w:pPr>
            <w:r>
              <w:t xml:space="preserve">-0.21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Arroyo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+0.55</w:t>
            </w:r>
          </w:p>
        </w:tc>
        <w:tc>
          <w:tcPr/>
          <w:p>
            <w:pPr>
              <w:pStyle w:val="Compact"/>
            </w:pPr>
            <w:r>
              <w:t xml:space="preserve">+1.23</w:t>
            </w:r>
          </w:p>
        </w:tc>
        <w:tc>
          <w:tcPr/>
          <w:p>
            <w:pPr>
              <w:pStyle w:val="Compact"/>
            </w:pPr>
            <w:r>
              <w:t xml:space="preserve">+0.64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Aquino III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+1.87</w:t>
            </w:r>
          </w:p>
        </w:tc>
        <w:tc>
          <w:tcPr/>
          <w:p>
            <w:pPr>
              <w:pStyle w:val="Compact"/>
            </w:pPr>
            <w:r>
              <w:t xml:space="preserve">+2.90</w:t>
            </w:r>
          </w:p>
        </w:tc>
        <w:tc>
          <w:tcPr/>
          <w:p>
            <w:pPr>
              <w:pStyle w:val="Compact"/>
            </w:pPr>
            <w:r>
              <w:t xml:space="preserve">+2.33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Duterte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-0.55</w:t>
            </w:r>
          </w:p>
        </w:tc>
        <w:tc>
          <w:tcPr/>
          <w:p>
            <w:pPr>
              <w:pStyle w:val="Compact"/>
            </w:pPr>
            <w:r>
              <w:t xml:space="preserve">+2.16</w:t>
            </w:r>
          </w:p>
        </w:tc>
        <w:tc>
          <w:tcPr/>
          <w:p>
            <w:pPr>
              <w:pStyle w:val="Compact"/>
            </w:pPr>
            <w:r>
              <w:t xml:space="preserve">+1.26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Jr.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+0.92</w:t>
            </w:r>
          </w:p>
        </w:tc>
        <w:tc>
          <w:tcPr/>
          <w:p>
            <w:pPr>
              <w:pStyle w:val="Compact"/>
            </w:pPr>
            <w:r>
              <w:t xml:space="preserve">+2.37</w:t>
            </w:r>
          </w:p>
        </w:tc>
        <w:tc>
          <w:tcPr/>
          <w:p>
            <w:pPr>
              <w:pStyle w:val="Compact"/>
            </w:pPr>
            <w:r>
              <w:t xml:space="preserve">+1.57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Percentage points. Years charged to the administration in office for most of the year after a one-quarter lag. Dispersion of premiums: 0.82 (raw), 1.99 (relative). Shift-test p: 1.00 (raw), 0.77 (relative). Vietnam data start in 1985, so the last column covers only 1985 for Marcos Sr.</w:t>
      </w:r>
    </w:p>
    <w:bookmarkEnd w:id="10"/>
    <w:bookmarkStart w:id="11" w:name="c.-luck-rq2"/>
    <w:p>
      <w:pPr>
        <w:pStyle w:val="Heading1"/>
      </w:pPr>
      <w:r>
        <w:t xml:space="preserve">C. Luck (RQ2)</w:t>
      </w:r>
    </w:p>
    <w:p>
      <w:pPr>
        <w:pStyle w:val="FirstParagraph"/>
      </w:pPr>
      <w:r>
        <w:rPr>
          <w:b/>
          <w:bCs/>
        </w:rPr>
        <w:t xml:space="preserve">Table 4. How much of each premium is luck? Joint shock model, 1983Q4-2026Q2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Explained (s.e.)</w:t>
            </w:r>
          </w:p>
        </w:tc>
        <w:tc>
          <w:tcPr/>
          <w:p>
            <w:pPr>
              <w:pStyle w:val="Compact"/>
            </w:pPr>
            <w:r>
              <w:t xml:space="preserve">Unexplained</w:t>
            </w:r>
          </w:p>
        </w:tc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US demand</w:t>
            </w:r>
          </w:p>
        </w:tc>
        <w:tc>
          <w:tcPr/>
          <w:p>
            <w:pPr>
              <w:pStyle w:val="Compact"/>
            </w:pPr>
            <w:r>
              <w:t xml:space="preserve">El Niño</w:t>
            </w:r>
          </w:p>
        </w:tc>
        <w:tc>
          <w:tcPr/>
          <w:p>
            <w:pPr>
              <w:pStyle w:val="Compact"/>
            </w:pPr>
            <w:r>
              <w:t xml:space="preserve">Financial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Sr. (1983–86)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-6.97</w:t>
            </w:r>
          </w:p>
        </w:tc>
        <w:tc>
          <w:tcPr/>
          <w:p>
            <w:pPr>
              <w:pStyle w:val="Compact"/>
            </w:pPr>
            <w:r>
              <w:t xml:space="preserve">-2.03 (1.63)</w:t>
            </w:r>
          </w:p>
        </w:tc>
        <w:tc>
          <w:tcPr/>
          <w:p>
            <w:pPr>
              <w:pStyle w:val="Compact"/>
            </w:pPr>
            <w:r>
              <w:t xml:space="preserve">-4.95</w:t>
            </w:r>
          </w:p>
        </w:tc>
        <w:tc>
          <w:tcPr/>
          <w:p>
            <w:pPr>
              <w:pStyle w:val="Compact"/>
            </w:pPr>
            <w:r>
              <w:t xml:space="preserve">+0.59</w:t>
            </w:r>
          </w:p>
        </w:tc>
        <w:tc>
          <w:tcPr/>
          <w:p>
            <w:pPr>
              <w:pStyle w:val="Compact"/>
            </w:pPr>
            <w:r>
              <w:t xml:space="preserve">-2.67</w:t>
            </w:r>
          </w:p>
        </w:tc>
        <w:tc>
          <w:tcPr/>
          <w:p>
            <w:pPr>
              <w:pStyle w:val="Compact"/>
            </w:pPr>
            <w:r>
              <w:t xml:space="preserve">+0.04</w:t>
            </w:r>
          </w:p>
        </w:tc>
        <w:tc>
          <w:tcPr/>
          <w:p>
            <w:pPr>
              <w:pStyle w:val="Compact"/>
            </w:pPr>
            <w:r>
              <w:t xml:space="preserve">+0.00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Aquino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-0.85</w:t>
            </w:r>
          </w:p>
        </w:tc>
        <w:tc>
          <w:tcPr/>
          <w:p>
            <w:pPr>
              <w:pStyle w:val="Compact"/>
            </w:pPr>
            <w:r>
              <w:t xml:space="preserve">-0.22 (0.48)</w:t>
            </w:r>
          </w:p>
        </w:tc>
        <w:tc>
          <w:tcPr/>
          <w:p>
            <w:pPr>
              <w:pStyle w:val="Compact"/>
            </w:pPr>
            <w:r>
              <w:t xml:space="preserve">-0.62</w:t>
            </w:r>
          </w:p>
        </w:tc>
        <w:tc>
          <w:tcPr/>
          <w:p>
            <w:pPr>
              <w:pStyle w:val="Compact"/>
            </w:pPr>
            <w:r>
              <w:t xml:space="preserve">-0.06</w:t>
            </w:r>
          </w:p>
        </w:tc>
        <w:tc>
          <w:tcPr/>
          <w:p>
            <w:pPr>
              <w:pStyle w:val="Compact"/>
            </w:pPr>
            <w:r>
              <w:t xml:space="preserve">+0.32</w:t>
            </w:r>
          </w:p>
        </w:tc>
        <w:tc>
          <w:tcPr/>
          <w:p>
            <w:pPr>
              <w:pStyle w:val="Compact"/>
            </w:pPr>
            <w:r>
              <w:t xml:space="preserve">-0.13</w:t>
            </w:r>
          </w:p>
        </w:tc>
        <w:tc>
          <w:tcPr/>
          <w:p>
            <w:pPr>
              <w:pStyle w:val="Compact"/>
            </w:pPr>
            <w:r>
              <w:t xml:space="preserve">-0.36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Ramos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-0.32</w:t>
            </w:r>
          </w:p>
        </w:tc>
        <w:tc>
          <w:tcPr/>
          <w:p>
            <w:pPr>
              <w:pStyle w:val="Compact"/>
            </w:pPr>
            <w:r>
              <w:t xml:space="preserve">+0.29 (0.24)</w:t>
            </w:r>
          </w:p>
        </w:tc>
        <w:tc>
          <w:tcPr/>
          <w:p>
            <w:pPr>
              <w:pStyle w:val="Compact"/>
            </w:pPr>
            <w:r>
              <w:t xml:space="preserve">-0.61</w:t>
            </w:r>
          </w:p>
        </w:tc>
        <w:tc>
          <w:tcPr/>
          <w:p>
            <w:pPr>
              <w:pStyle w:val="Compact"/>
            </w:pPr>
            <w:r>
              <w:t xml:space="preserve">+0.28</w:t>
            </w:r>
          </w:p>
        </w:tc>
        <w:tc>
          <w:tcPr/>
          <w:p>
            <w:pPr>
              <w:pStyle w:val="Compact"/>
            </w:pPr>
            <w:r>
              <w:t xml:space="preserve">-0.45</w:t>
            </w:r>
          </w:p>
        </w:tc>
        <w:tc>
          <w:tcPr/>
          <w:p>
            <w:pPr>
              <w:pStyle w:val="Compact"/>
            </w:pPr>
            <w:r>
              <w:t xml:space="preserve">-0.10</w:t>
            </w:r>
          </w:p>
        </w:tc>
        <w:tc>
          <w:tcPr/>
          <w:p>
            <w:pPr>
              <w:pStyle w:val="Compact"/>
            </w:pPr>
            <w:r>
              <w:t xml:space="preserve">+0.56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Estrada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-0.61</w:t>
            </w:r>
          </w:p>
        </w:tc>
        <w:tc>
          <w:tcPr/>
          <w:p>
            <w:pPr>
              <w:pStyle w:val="Compact"/>
            </w:pPr>
            <w:r>
              <w:t xml:space="preserve">-1.90 (1.17)</w:t>
            </w:r>
          </w:p>
        </w:tc>
        <w:tc>
          <w:tcPr/>
          <w:p>
            <w:pPr>
              <w:pStyle w:val="Compact"/>
            </w:pPr>
            <w:r>
              <w:t xml:space="preserve">+1.29</w:t>
            </w:r>
          </w:p>
        </w:tc>
        <w:tc>
          <w:tcPr/>
          <w:p>
            <w:pPr>
              <w:pStyle w:val="Compact"/>
            </w:pPr>
            <w:r>
              <w:t xml:space="preserve">+0.32</w:t>
            </w:r>
          </w:p>
        </w:tc>
        <w:tc>
          <w:tcPr/>
          <w:p>
            <w:pPr>
              <w:pStyle w:val="Compact"/>
            </w:pPr>
            <w:r>
              <w:t xml:space="preserve">-1.03</w:t>
            </w:r>
          </w:p>
        </w:tc>
        <w:tc>
          <w:tcPr/>
          <w:p>
            <w:pPr>
              <w:pStyle w:val="Compact"/>
            </w:pPr>
            <w:r>
              <w:t xml:space="preserve">-0.05</w:t>
            </w:r>
          </w:p>
        </w:tc>
        <w:tc>
          <w:tcPr/>
          <w:p>
            <w:pPr>
              <w:pStyle w:val="Compact"/>
            </w:pPr>
            <w:r>
              <w:t xml:space="preserve">-1.15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Arroyo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+1.00</w:t>
            </w:r>
          </w:p>
        </w:tc>
        <w:tc>
          <w:tcPr/>
          <w:p>
            <w:pPr>
              <w:pStyle w:val="Compact"/>
            </w:pPr>
            <w:r>
              <w:t xml:space="preserve">-0.02 (0.62)</w:t>
            </w:r>
          </w:p>
        </w:tc>
        <w:tc>
          <w:tcPr/>
          <w:p>
            <w:pPr>
              <w:pStyle w:val="Compact"/>
            </w:pPr>
            <w:r>
              <w:t xml:space="preserve">+1.02</w:t>
            </w:r>
          </w:p>
        </w:tc>
        <w:tc>
          <w:tcPr/>
          <w:p>
            <w:pPr>
              <w:pStyle w:val="Compact"/>
            </w:pPr>
            <w:r>
              <w:t xml:space="preserve">-0.76</w:t>
            </w:r>
          </w:p>
        </w:tc>
        <w:tc>
          <w:tcPr/>
          <w:p>
            <w:pPr>
              <w:pStyle w:val="Compact"/>
            </w:pPr>
            <w:r>
              <w:t xml:space="preserve">+0.90</w:t>
            </w:r>
          </w:p>
        </w:tc>
        <w:tc>
          <w:tcPr/>
          <w:p>
            <w:pPr>
              <w:pStyle w:val="Compact"/>
            </w:pPr>
            <w:r>
              <w:t xml:space="preserve">+0.18</w:t>
            </w:r>
          </w:p>
        </w:tc>
        <w:tc>
          <w:tcPr/>
          <w:p>
            <w:pPr>
              <w:pStyle w:val="Compact"/>
            </w:pPr>
            <w:r>
              <w:t xml:space="preserve">-0.35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Aquino III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+2.14</w:t>
            </w:r>
          </w:p>
        </w:tc>
        <w:tc>
          <w:tcPr/>
          <w:p>
            <w:pPr>
              <w:pStyle w:val="Compact"/>
            </w:pPr>
            <w:r>
              <w:t xml:space="preserve">+1.04 (0.78)</w:t>
            </w:r>
          </w:p>
        </w:tc>
        <w:tc>
          <w:tcPr/>
          <w:p>
            <w:pPr>
              <w:pStyle w:val="Compact"/>
            </w:pPr>
            <w:r>
              <w:t xml:space="preserve">+1.10</w:t>
            </w:r>
          </w:p>
        </w:tc>
        <w:tc>
          <w:tcPr/>
          <w:p>
            <w:pPr>
              <w:pStyle w:val="Compact"/>
            </w:pPr>
            <w:r>
              <w:t xml:space="preserve">+0.54</w:t>
            </w:r>
          </w:p>
        </w:tc>
        <w:tc>
          <w:tcPr/>
          <w:p>
            <w:pPr>
              <w:pStyle w:val="Compact"/>
            </w:pPr>
            <w:r>
              <w:t xml:space="preserve">+0.32</w:t>
            </w:r>
          </w:p>
        </w:tc>
        <w:tc>
          <w:tcPr/>
          <w:p>
            <w:pPr>
              <w:pStyle w:val="Compact"/>
            </w:pPr>
            <w:r>
              <w:t xml:space="preserve">-0.01</w:t>
            </w:r>
          </w:p>
        </w:tc>
        <w:tc>
          <w:tcPr/>
          <w:p>
            <w:pPr>
              <w:pStyle w:val="Compact"/>
            </w:pPr>
            <w:r>
              <w:t xml:space="preserve">+0.19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Duterte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+0.63</w:t>
            </w:r>
          </w:p>
        </w:tc>
        <w:tc>
          <w:tcPr/>
          <w:p>
            <w:pPr>
              <w:pStyle w:val="Compact"/>
            </w:pPr>
            <w:r>
              <w:t xml:space="preserve">+0.45 (0.29)</w:t>
            </w:r>
          </w:p>
        </w:tc>
        <w:tc>
          <w:tcPr/>
          <w:p>
            <w:pPr>
              <w:pStyle w:val="Compact"/>
            </w:pPr>
            <w:r>
              <w:t xml:space="preserve">+0.17</w:t>
            </w:r>
          </w:p>
        </w:tc>
        <w:tc>
          <w:tcPr/>
          <w:p>
            <w:pPr>
              <w:pStyle w:val="Compact"/>
            </w:pPr>
            <w:r>
              <w:t xml:space="preserve">+0.11</w:t>
            </w:r>
          </w:p>
        </w:tc>
        <w:tc>
          <w:tcPr/>
          <w:p>
            <w:pPr>
              <w:pStyle w:val="Compact"/>
            </w:pPr>
            <w:r>
              <w:t xml:space="preserve">+0.01</w:t>
            </w:r>
          </w:p>
        </w:tc>
        <w:tc>
          <w:tcPr/>
          <w:p>
            <w:pPr>
              <w:pStyle w:val="Compact"/>
            </w:pPr>
            <w:r>
              <w:t xml:space="preserve">-0.07</w:t>
            </w:r>
          </w:p>
        </w:tc>
        <w:tc>
          <w:tcPr/>
          <w:p>
            <w:pPr>
              <w:pStyle w:val="Compact"/>
            </w:pPr>
            <w:r>
              <w:t xml:space="preserve">+0.40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Jr.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+0.49</w:t>
            </w:r>
          </w:p>
        </w:tc>
        <w:tc>
          <w:tcPr/>
          <w:p>
            <w:pPr>
              <w:pStyle w:val="Compact"/>
            </w:pPr>
            <w:r>
              <w:t xml:space="preserve">+0.33 (0.24)</w:t>
            </w:r>
          </w:p>
        </w:tc>
        <w:tc>
          <w:tcPr/>
          <w:p>
            <w:pPr>
              <w:pStyle w:val="Compact"/>
            </w:pPr>
            <w:r>
              <w:t xml:space="preserve">+0.16</w:t>
            </w:r>
          </w:p>
        </w:tc>
        <w:tc>
          <w:tcPr/>
          <w:p>
            <w:pPr>
              <w:pStyle w:val="Compact"/>
            </w:pPr>
            <w:r>
              <w:t xml:space="preserve">-0.13</w:t>
            </w:r>
          </w:p>
        </w:tc>
        <w:tc>
          <w:tcPr/>
          <w:p>
            <w:pPr>
              <w:pStyle w:val="Compact"/>
            </w:pPr>
            <w:r>
              <w:t xml:space="preserve">+0.03</w:t>
            </w:r>
          </w:p>
        </w:tc>
        <w:tc>
          <w:tcPr/>
          <w:p>
            <w:pPr>
              <w:pStyle w:val="Compact"/>
            </w:pPr>
            <w:r>
              <w:t xml:space="preserve">+0.04</w:t>
            </w:r>
          </w:p>
        </w:tc>
        <w:tc>
          <w:tcPr/>
          <w:p>
            <w:pPr>
              <w:pStyle w:val="Compact"/>
            </w:pPr>
            <w:r>
              <w:t xml:space="preserve">+0.40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Percentage points. Explained = the administration’s average of the fitted shock component minus its sample average; the last four columns split it by shock. Each shock enters with lags 0–6. Share of the dispersion of premiums explained, S = 0.48. Wald tests that a shock’s lags are all zero: oil p = 0.09, US demand p = 0.53, El Niño p = 0.84, financial conditions p = 0.005.</w:t>
      </w:r>
    </w:p>
    <w:p>
      <w:pPr>
        <w:pStyle w:val="BodyText"/>
      </w:pPr>
      <w:r>
        <w:t xml:space="preserve">Joint model: 171 quarters, R² = 0.19. Sums of the lag</w:t>
      </w:r>
      <w:r>
        <w:t xml:space="preserve"> </w:t>
      </w:r>
      <w:r>
        <w:t xml:space="preserve">coefficients: oil -0.33, US demand -1.01, El Niño</w:t>
      </w:r>
      <w:r>
        <w:t xml:space="preserve"> </w:t>
      </w:r>
      <w:r>
        <w:t xml:space="preserve">-1.53, financial conditions -9.40. Wald test that all</w:t>
      </w:r>
      <w:r>
        <w:t xml:space="preserve"> </w:t>
      </w:r>
      <w:r>
        <w:t xml:space="preserve">shock coefficients are zero: p &lt; 0.001.</w:t>
      </w:r>
    </w:p>
    <w:bookmarkEnd w:id="11"/>
    <w:bookmarkStart w:id="12" w:name="Xccafd1732138d8a7f8aab2d15af23d90dc3ae25"/>
    <w:p>
      <w:pPr>
        <w:pStyle w:val="Heading1"/>
      </w:pPr>
      <w:r>
        <w:t xml:space="preserve">D. Inheritance (RQ3) and the same point in the term (RQ4)</w:t>
      </w:r>
    </w:p>
    <w:p>
      <w:pPr>
        <w:pStyle w:val="FirstParagraph"/>
      </w:pPr>
      <w:r>
        <w:rPr>
          <w:b/>
          <w:bCs/>
        </w:rPr>
        <w:t xml:space="preserve">Table 5. Was first-year growth inherited?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Forecast made in</w:t>
            </w:r>
          </w:p>
        </w:tc>
        <w:tc>
          <w:tcPr/>
          <w:p>
            <w:pPr>
              <w:pStyle w:val="Compact"/>
            </w:pPr>
            <w:r>
              <w:t xml:space="preserve">Actual first-year growth</w:t>
            </w:r>
          </w:p>
        </w:tc>
        <w:tc>
          <w:tcPr/>
          <w:p>
            <w:pPr>
              <w:pStyle w:val="Compact"/>
            </w:pPr>
            <w:r>
              <w:t xml:space="preserve">AR forecast</w:t>
            </w:r>
          </w:p>
        </w:tc>
        <w:tc>
          <w:tcPr/>
          <w:p>
            <w:pPr>
              <w:pStyle w:val="Compact"/>
            </w:pPr>
            <w:r>
              <w:t xml:space="preserve">Bounce-back forecast</w:t>
            </w:r>
          </w:p>
        </w:tc>
        <w:tc>
          <w:tcPr/>
          <w:p>
            <w:pPr>
              <w:pStyle w:val="Compact"/>
            </w:pPr>
            <w:r>
              <w:t xml:space="preserve">Inherited (H3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Aquino</w:t>
            </w:r>
          </w:p>
        </w:tc>
        <w:tc>
          <w:tcPr/>
          <w:p>
            <w:pPr>
              <w:pStyle w:val="Compact"/>
            </w:pPr>
            <w:r>
              <w:t xml:space="preserve">1986Q2</w:t>
            </w:r>
          </w:p>
        </w:tc>
        <w:tc>
          <w:tcPr/>
          <w:p>
            <w:pPr>
              <w:pStyle w:val="Compact"/>
            </w:pPr>
            <w:r>
              <w:t xml:space="preserve">4.51</w:t>
            </w:r>
          </w:p>
        </w:tc>
        <w:tc>
          <w:tcPr/>
          <w:p>
            <w:pPr>
              <w:pStyle w:val="Compact"/>
            </w:pPr>
            <w:r>
              <w:t xml:space="preserve">4.31</w:t>
            </w:r>
          </w:p>
        </w:tc>
        <w:tc>
          <w:tcPr/>
          <w:p>
            <w:pPr>
              <w:pStyle w:val="Compact"/>
            </w:pPr>
            <w:r>
              <w:t xml:space="preserve">4.64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Ramos</w:t>
            </w:r>
          </w:p>
        </w:tc>
        <w:tc>
          <w:tcPr/>
          <w:p>
            <w:pPr>
              <w:pStyle w:val="Compact"/>
            </w:pPr>
            <w:r>
              <w:t xml:space="preserve">1992Q3</w:t>
            </w:r>
          </w:p>
        </w:tc>
        <w:tc>
          <w:tcPr/>
          <w:p>
            <w:pPr>
              <w:pStyle w:val="Compact"/>
            </w:pPr>
            <w:r>
              <w:t xml:space="preserve">2.34</w:t>
            </w:r>
          </w:p>
        </w:tc>
        <w:tc>
          <w:tcPr/>
          <w:p>
            <w:pPr>
              <w:pStyle w:val="Compact"/>
            </w:pPr>
            <w:r>
              <w:t xml:space="preserve">3.01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Estrada</w:t>
            </w:r>
          </w:p>
        </w:tc>
        <w:tc>
          <w:tcPr/>
          <w:p>
            <w:pPr>
              <w:pStyle w:val="Compact"/>
            </w:pPr>
            <w:r>
              <w:t xml:space="preserve">1998Q3</w:t>
            </w:r>
          </w:p>
        </w:tc>
        <w:tc>
          <w:tcPr/>
          <w:p>
            <w:pPr>
              <w:pStyle w:val="Compact"/>
            </w:pPr>
            <w:r>
              <w:t xml:space="preserve">3.53</w:t>
            </w:r>
          </w:p>
        </w:tc>
        <w:tc>
          <w:tcPr/>
          <w:p>
            <w:pPr>
              <w:pStyle w:val="Compact"/>
            </w:pPr>
            <w:r>
              <w:t xml:space="preserve">3.01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Arroyo</w:t>
            </w:r>
          </w:p>
        </w:tc>
        <w:tc>
          <w:tcPr/>
          <w:p>
            <w:pPr>
              <w:pStyle w:val="Compact"/>
            </w:pPr>
            <w:r>
              <w:t xml:space="preserve">2001Q1</w:t>
            </w:r>
          </w:p>
        </w:tc>
        <w:tc>
          <w:tcPr/>
          <w:p>
            <w:pPr>
              <w:pStyle w:val="Compact"/>
            </w:pPr>
            <w:r>
              <w:t xml:space="preserve">3.78</w:t>
            </w:r>
          </w:p>
        </w:tc>
        <w:tc>
          <w:tcPr/>
          <w:p>
            <w:pPr>
              <w:pStyle w:val="Compact"/>
            </w:pPr>
            <w:r>
              <w:t xml:space="preserve">3.34</w:t>
            </w:r>
          </w:p>
        </w:tc>
        <w:tc>
          <w:tcPr/>
          <w:p>
            <w:pPr>
              <w:pStyle w:val="Compact"/>
            </w:pPr>
            <w:r>
              <w:t xml:space="preserve">2.91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Aquino III</w:t>
            </w:r>
          </w:p>
        </w:tc>
        <w:tc>
          <w:tcPr/>
          <w:p>
            <w:pPr>
              <w:pStyle w:val="Compact"/>
            </w:pPr>
            <w:r>
              <w:t xml:space="preserve">2010Q3</w:t>
            </w:r>
          </w:p>
        </w:tc>
        <w:tc>
          <w:tcPr/>
          <w:p>
            <w:pPr>
              <w:pStyle w:val="Compact"/>
            </w:pPr>
            <w:r>
              <w:t xml:space="preserve">3.16</w:t>
            </w:r>
          </w:p>
        </w:tc>
        <w:tc>
          <w:tcPr/>
          <w:p>
            <w:pPr>
              <w:pStyle w:val="Compact"/>
            </w:pPr>
            <w:r>
              <w:t xml:space="preserve">4.24</w:t>
            </w:r>
          </w:p>
        </w:tc>
        <w:tc>
          <w:tcPr/>
          <w:p>
            <w:pPr>
              <w:pStyle w:val="Compact"/>
            </w:pPr>
            <w:r>
              <w:t xml:space="preserve">5.02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Duterte</w:t>
            </w:r>
          </w:p>
        </w:tc>
        <w:tc>
          <w:tcPr/>
          <w:p>
            <w:pPr>
              <w:pStyle w:val="Compact"/>
            </w:pPr>
            <w:r>
              <w:t xml:space="preserve">2016Q3</w:t>
            </w:r>
          </w:p>
        </w:tc>
        <w:tc>
          <w:tcPr/>
          <w:p>
            <w:pPr>
              <w:pStyle w:val="Compact"/>
            </w:pPr>
            <w:r>
              <w:t xml:space="preserve">7.14</w:t>
            </w:r>
          </w:p>
        </w:tc>
        <w:tc>
          <w:tcPr/>
          <w:p>
            <w:pPr>
              <w:pStyle w:val="Compact"/>
            </w:pPr>
            <w:r>
              <w:t xml:space="preserve">4.24</w:t>
            </w:r>
          </w:p>
        </w:tc>
        <w:tc>
          <w:tcPr/>
          <w:p>
            <w:pPr>
              <w:pStyle w:val="Compact"/>
            </w:pPr>
            <w:r>
              <w:t xml:space="preserve">4.81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Jr.</w:t>
            </w:r>
          </w:p>
        </w:tc>
        <w:tc>
          <w:tcPr/>
          <w:p>
            <w:pPr>
              <w:pStyle w:val="Compact"/>
            </w:pPr>
            <w:r>
              <w:t xml:space="preserve">2022Q3</w:t>
            </w:r>
          </w:p>
        </w:tc>
        <w:tc>
          <w:tcPr/>
          <w:p>
            <w:pPr>
              <w:pStyle w:val="Compact"/>
            </w:pPr>
            <w:r>
              <w:t xml:space="preserve">5.75</w:t>
            </w:r>
          </w:p>
        </w:tc>
        <w:tc>
          <w:tcPr/>
          <w:p>
            <w:pPr>
              <w:pStyle w:val="Compact"/>
            </w:pPr>
            <w:r>
              <w:t xml:space="preserve">4.20</w:t>
            </w:r>
          </w:p>
        </w:tc>
        <w:tc>
          <w:tcPr/>
          <w:p>
            <w:pPr>
              <w:pStyle w:val="Compact"/>
            </w:pPr>
            <w:r>
              <w:t xml:space="preserve">4.88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Growth over the first four charged quarters, 100·ln(GDP_s+3 / GDP_s−1), percent. Sample mean 3.70%.</w:t>
      </w:r>
      <w:r>
        <w:t xml:space="preserve"> </w:t>
      </w:r>
      <w:r>
        <w:t xml:space="preserve">‘Inherited’</w:t>
      </w:r>
      <w:r>
        <w:t xml:space="preserve"> </w:t>
      </w:r>
      <w:r>
        <w:t xml:space="preserve">if the bounce-back forecast exceeds the mean by at least half of the actual excess.</w:t>
      </w:r>
    </w:p>
    <w:p>
      <w:pPr>
        <w:pStyle w:val="BodyText"/>
      </w:pPr>
      <w:r>
        <w:rPr>
          <w:b/>
          <w:bCs/>
        </w:rPr>
        <w:t xml:space="preserve">Table 6. The same point in the term: the first 15 quarters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First 15 quarters</w:t>
            </w:r>
          </w:p>
        </w:tc>
        <w:tc>
          <w:tcPr/>
          <w:p>
            <w:pPr>
              <w:pStyle w:val="Compact"/>
            </w:pPr>
            <w:r>
              <w:t xml:space="preserve">Raw mean</w:t>
            </w:r>
          </w:p>
        </w:tc>
        <w:tc>
          <w:tcPr/>
          <w:p>
            <w:pPr>
              <w:pStyle w:val="Compact"/>
            </w:pPr>
            <w:r>
              <w:t xml:space="preserve">Marcos Jr. minus this (s.e.)</w:t>
            </w:r>
          </w:p>
        </w:tc>
        <w:tc>
          <w:tcPr/>
          <w:p>
            <w:pPr>
              <w:pStyle w:val="Compact"/>
            </w:pPr>
            <w:r>
              <w:t xml:space="preserve">Luck-adjusted mean</w:t>
            </w:r>
          </w:p>
        </w:tc>
        <w:tc>
          <w:tcPr/>
          <w:p>
            <w:pPr>
              <w:pStyle w:val="Compact"/>
            </w:pPr>
            <w:r>
              <w:t xml:space="preserve">Marcos Jr. minus this (s.e.)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Aquino</w:t>
            </w:r>
          </w:p>
        </w:tc>
        <w:tc>
          <w:tcPr/>
          <w:p>
            <w:pPr>
              <w:pStyle w:val="Compact"/>
            </w:pPr>
            <w:r>
              <w:t xml:space="preserve">1986Q3–1990Q1</w:t>
            </w:r>
          </w:p>
        </w:tc>
        <w:tc>
          <w:tcPr/>
          <w:p>
            <w:pPr>
              <w:pStyle w:val="Compact"/>
            </w:pPr>
            <w:r>
              <w:t xml:space="preserve">5.17</w:t>
            </w:r>
          </w:p>
        </w:tc>
        <w:tc>
          <w:tcPr/>
          <w:p>
            <w:pPr>
              <w:pStyle w:val="Compact"/>
            </w:pPr>
            <w:r>
              <w:t xml:space="preserve">-0.58 (1.48)</w:t>
            </w:r>
          </w:p>
        </w:tc>
        <w:tc>
          <w:tcPr/>
          <w:p>
            <w:pPr>
              <w:pStyle w:val="Compact"/>
            </w:pPr>
            <w:r>
              <w:t xml:space="preserve">5.14</w:t>
            </w:r>
          </w:p>
        </w:tc>
        <w:tc>
          <w:tcPr/>
          <w:p>
            <w:pPr>
              <w:pStyle w:val="Compact"/>
            </w:pPr>
            <w:r>
              <w:t xml:space="preserve">-0.88 (2.16)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Ramos</w:t>
            </w:r>
          </w:p>
        </w:tc>
        <w:tc>
          <w:tcPr/>
          <w:p>
            <w:pPr>
              <w:pStyle w:val="Compact"/>
            </w:pPr>
            <w:r>
              <w:t xml:space="preserve">1992Q4–1996Q2</w:t>
            </w:r>
          </w:p>
        </w:tc>
        <w:tc>
          <w:tcPr/>
          <w:p>
            <w:pPr>
              <w:pStyle w:val="Compact"/>
            </w:pPr>
            <w:r>
              <w:t xml:space="preserve">4.54</w:t>
            </w:r>
          </w:p>
        </w:tc>
        <w:tc>
          <w:tcPr/>
          <w:p>
            <w:pPr>
              <w:pStyle w:val="Compact"/>
            </w:pPr>
            <w:r>
              <w:t xml:space="preserve">+0.05 (0.90)</w:t>
            </w:r>
          </w:p>
        </w:tc>
        <w:tc>
          <w:tcPr/>
          <w:p>
            <w:pPr>
              <w:pStyle w:val="Compact"/>
            </w:pPr>
            <w:r>
              <w:t xml:space="preserve">3.64</w:t>
            </w:r>
          </w:p>
        </w:tc>
        <w:tc>
          <w:tcPr/>
          <w:p>
            <w:pPr>
              <w:pStyle w:val="Compact"/>
            </w:pPr>
            <w:r>
              <w:t xml:space="preserve">+0.62 (1.38)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Arroyo</w:t>
            </w:r>
          </w:p>
        </w:tc>
        <w:tc>
          <w:tcPr/>
          <w:p>
            <w:pPr>
              <w:pStyle w:val="Compact"/>
            </w:pPr>
            <w:r>
              <w:t xml:space="preserve">2001Q2–2004Q4</w:t>
            </w:r>
          </w:p>
        </w:tc>
        <w:tc>
          <w:tcPr/>
          <w:p>
            <w:pPr>
              <w:pStyle w:val="Compact"/>
            </w:pPr>
            <w:r>
              <w:t xml:space="preserve">5.09</w:t>
            </w:r>
          </w:p>
        </w:tc>
        <w:tc>
          <w:tcPr/>
          <w:p>
            <w:pPr>
              <w:pStyle w:val="Compact"/>
            </w:pPr>
            <w:r>
              <w:t xml:space="preserve">-0.50 (0.96)</w:t>
            </w:r>
          </w:p>
        </w:tc>
        <w:tc>
          <w:tcPr/>
          <w:p>
            <w:pPr>
              <w:pStyle w:val="Compact"/>
            </w:pPr>
            <w:r>
              <w:t xml:space="preserve">4.60</w:t>
            </w:r>
          </w:p>
        </w:tc>
        <w:tc>
          <w:tcPr/>
          <w:p>
            <w:pPr>
              <w:pStyle w:val="Compact"/>
            </w:pPr>
            <w:r>
              <w:t xml:space="preserve">-0.35 (1.41)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Aquino III</w:t>
            </w:r>
          </w:p>
        </w:tc>
        <w:tc>
          <w:tcPr/>
          <w:p>
            <w:pPr>
              <w:pStyle w:val="Compact"/>
            </w:pPr>
            <w:r>
              <w:t xml:space="preserve">2010Q4–2014Q2</w:t>
            </w:r>
          </w:p>
        </w:tc>
        <w:tc>
          <w:tcPr/>
          <w:p>
            <w:pPr>
              <w:pStyle w:val="Compact"/>
            </w:pPr>
            <w:r>
              <w:t xml:space="preserve">6.02</w:t>
            </w:r>
          </w:p>
        </w:tc>
        <w:tc>
          <w:tcPr/>
          <w:p>
            <w:pPr>
              <w:pStyle w:val="Compact"/>
            </w:pPr>
            <w:r>
              <w:t xml:space="preserve">-1.43 (1.01)</w:t>
            </w:r>
          </w:p>
        </w:tc>
        <w:tc>
          <w:tcPr/>
          <w:p>
            <w:pPr>
              <w:pStyle w:val="Compact"/>
            </w:pPr>
            <w:r>
              <w:t xml:space="preserve">4.29</w:t>
            </w:r>
          </w:p>
        </w:tc>
        <w:tc>
          <w:tcPr/>
          <w:p>
            <w:pPr>
              <w:pStyle w:val="Compact"/>
            </w:pPr>
            <w:r>
              <w:t xml:space="preserve">-0.04 (1.42)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Duterte</w:t>
            </w:r>
          </w:p>
        </w:tc>
        <w:tc>
          <w:tcPr/>
          <w:p>
            <w:pPr>
              <w:pStyle w:val="Compact"/>
            </w:pPr>
            <w:r>
              <w:t xml:space="preserve">2016Q4–2020Q2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  <w:tc>
          <w:tcPr/>
          <w:p>
            <w:pPr>
              <w:pStyle w:val="Compact"/>
            </w:pPr>
            <w:r>
              <w:t xml:space="preserve">+3.35 (4.79)</w:t>
            </w:r>
          </w:p>
        </w:tc>
        <w:tc>
          <w:tcPr/>
          <w:p>
            <w:pPr>
              <w:pStyle w:val="Compact"/>
            </w:pPr>
            <w:r>
              <w:t xml:space="preserve">1.21</w:t>
            </w:r>
          </w:p>
        </w:tc>
        <w:tc>
          <w:tcPr/>
          <w:p>
            <w:pPr>
              <w:pStyle w:val="Compact"/>
            </w:pPr>
            <w:r>
              <w:t xml:space="preserve">+3.05 (4.54)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Jr.</w:t>
            </w:r>
          </w:p>
        </w:tc>
        <w:tc>
          <w:tcPr/>
          <w:p>
            <w:pPr>
              <w:pStyle w:val="Compact"/>
            </w:pPr>
            <w:r>
              <w:t xml:space="preserve">2022Q4–2026Q2</w:t>
            </w:r>
          </w:p>
        </w:tc>
        <w:tc>
          <w:tcPr/>
          <w:p>
            <w:pPr>
              <w:pStyle w:val="Compact"/>
            </w:pPr>
            <w:r>
              <w:t xml:space="preserve">4.59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4.26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Percent, annual rate. Luck-adjusted growth removes the fitted shock component of the joint model. Estrada (10 quarters) and Marcos Sr. (first quarters outside the sample) are not compared. Newey–West standard errors; the luck-adjusted ones ignore the estimation error of the shock component.</w:t>
      </w:r>
    </w:p>
    <w:bookmarkEnd w:id="12"/>
    <w:bookmarkStart w:id="13" w:name="e.-robustness"/>
    <w:p>
      <w:pPr>
        <w:pStyle w:val="Heading1"/>
      </w:pPr>
      <w:r>
        <w:t xml:space="preserve">E. Robustness</w:t>
      </w:r>
    </w:p>
    <w:p>
      <w:pPr>
        <w:pStyle w:val="FirstParagraph"/>
      </w:pPr>
      <w:r>
        <w:rPr>
          <w:b/>
          <w:bCs/>
        </w:rPr>
        <w:t xml:space="preserve">Table 7. Robustness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Shift-test p</w:t>
            </w:r>
          </w:p>
        </w:tc>
        <w:tc>
          <w:tcPr/>
          <w:p>
            <w:pPr>
              <w:pStyle w:val="Compact"/>
            </w:pPr>
            <w:r>
              <w:t xml:space="preserve">Luck share S</w:t>
            </w:r>
          </w:p>
        </w:tc>
        <w:tc>
          <w:tcPr/>
          <w:p>
            <w:pPr>
              <w:pStyle w:val="Compact"/>
            </w:pPr>
            <w:r>
              <w:t xml:space="preserve">Aquino III premium</w:t>
            </w:r>
          </w:p>
        </w:tc>
        <w:tc>
          <w:tcPr/>
          <w:p>
            <w:pPr>
              <w:pStyle w:val="Compact"/>
            </w:pPr>
            <w:r>
              <w:t xml:space="preserve">Marcos Jr. 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+2.22</w:t>
            </w:r>
          </w:p>
        </w:tc>
        <w:tc>
          <w:tcPr/>
          <w:p>
            <w:pPr>
              <w:pStyle w:val="Compact"/>
            </w:pPr>
            <w:r>
              <w:t xml:space="preserve">+0.56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lag 0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+2.15</w:t>
            </w:r>
          </w:p>
        </w:tc>
        <w:tc>
          <w:tcPr/>
          <w:p>
            <w:pPr>
              <w:pStyle w:val="Compact"/>
            </w:pPr>
            <w:r>
              <w:t xml:space="preserve">+0.79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lag 2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+2.32</w:t>
            </w:r>
          </w:p>
        </w:tc>
        <w:tc>
          <w:tcPr/>
          <w:p>
            <w:pPr>
              <w:pStyle w:val="Compact"/>
            </w:pPr>
            <w:r>
              <w:t xml:space="preserve">+0.35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lag 4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+2.77</w:t>
            </w:r>
          </w:p>
        </w:tc>
        <w:tc>
          <w:tcPr/>
          <w:p>
            <w:pPr>
              <w:pStyle w:val="Compact"/>
            </w:pPr>
            <w:r>
              <w:t xml:space="preserve">+0.83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Excluding 2020Q2-2021Q1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+2.15</w:t>
            </w:r>
          </w:p>
        </w:tc>
        <w:tc>
          <w:tcPr/>
          <w:p>
            <w:pPr>
              <w:pStyle w:val="Compact"/>
            </w:pPr>
            <w:r>
              <w:t xml:space="preserve">+0.50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Excluding 1984Q1-1985Q4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+1.83</w:t>
            </w:r>
          </w:p>
        </w:tc>
        <w:tc>
          <w:tcPr/>
          <w:p>
            <w:pPr>
              <w:pStyle w:val="Compact"/>
            </w:pPr>
            <w:r>
              <w:t xml:space="preserve">+0.18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growth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+2.35</w:t>
            </w:r>
          </w:p>
        </w:tc>
        <w:tc>
          <w:tcPr/>
          <w:p>
            <w:pPr>
              <w:pStyle w:val="Compact"/>
            </w:pPr>
            <w:r>
              <w:t xml:space="preserve">+0.77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Lags 1-6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+2.22</w:t>
            </w:r>
          </w:p>
        </w:tc>
        <w:tc>
          <w:tcPr/>
          <w:p>
            <w:pPr>
              <w:pStyle w:val="Compact"/>
            </w:pPr>
            <w:r>
              <w:t xml:space="preserve">+0.56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demand US-JP-EA (from 1997)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+2.22</w:t>
            </w:r>
          </w:p>
        </w:tc>
        <w:tc>
          <w:tcPr/>
          <w:p>
            <w:pPr>
              <w:pStyle w:val="Compact"/>
            </w:pPr>
            <w:r>
              <w:t xml:space="preserve">+0.56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All checks were specified before estimation. Premiums are raw quarterly premiums (percentage points).</w:t>
      </w:r>
    </w:p>
    <w:bookmarkEnd w:id="13"/>
    <w:bookmarkStart w:id="14" w:name="f.-scorecard-objective-1"/>
    <w:p>
      <w:pPr>
        <w:pStyle w:val="Heading1"/>
      </w:pPr>
      <w:r>
        <w:t xml:space="preserve">F. Scorecard (Objective 1)</w:t>
      </w:r>
    </w:p>
    <w:p>
      <w:pPr>
        <w:pStyle w:val="FirstParagraph"/>
      </w:pPr>
      <w:r>
        <w:rPr>
          <w:b/>
          <w:bCs/>
        </w:rPr>
        <w:t xml:space="preserve">Table 8. Scorecard, annual averages 1962–2025 (z-score in parentheses)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GDP growth</w:t>
            </w:r>
          </w:p>
        </w:tc>
        <w:tc>
          <w:tcPr/>
          <w:p>
            <w:pPr>
              <w:pStyle w:val="Compact"/>
            </w:pPr>
            <w:r>
              <w:t xml:space="preserve">Growth per person</w:t>
            </w:r>
          </w:p>
        </w:tc>
        <w:tc>
          <w:tcPr/>
          <w:p>
            <w:pPr>
              <w:pStyle w:val="Compact"/>
            </w:pPr>
            <w:r>
              <w:t xml:space="preserve">Relative to peers</w:t>
            </w:r>
          </w:p>
        </w:tc>
        <w:tc>
          <w:tcPr/>
          <w:p>
            <w:pPr>
              <w:pStyle w:val="Compact"/>
            </w:pPr>
            <w:r>
              <w:t xml:space="preserve">Inflation</w:t>
            </w:r>
          </w:p>
        </w:tc>
        <w:tc>
          <w:tcPr/>
          <w:p>
            <w:pPr>
              <w:pStyle w:val="Compact"/>
            </w:pPr>
            <w:r>
              <w:t xml:space="preserve">Unemployment (1991–)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Macapagal</w:t>
            </w:r>
          </w:p>
        </w:tc>
        <w:tc>
          <w:tcPr/>
          <w:p>
            <w:pPr>
              <w:pStyle w:val="Compact"/>
            </w:pPr>
            <w:r>
              <w:t xml:space="preserve">5.02 (+0.26)</w:t>
            </w:r>
          </w:p>
        </w:tc>
        <w:tc>
          <w:tcPr/>
          <w:p>
            <w:pPr>
              <w:pStyle w:val="Compact"/>
            </w:pPr>
            <w:r>
              <w:t xml:space="preserve">1.92 (-0.04)</w:t>
            </w:r>
          </w:p>
        </w:tc>
        <w:tc>
          <w:tcPr/>
          <w:p>
            <w:pPr>
              <w:pStyle w:val="Compact"/>
            </w:pPr>
            <w:r>
              <w:t xml:space="preserve">0.02 (+0.37)</w:t>
            </w:r>
          </w:p>
        </w:tc>
        <w:tc>
          <w:tcPr/>
          <w:p>
            <w:pPr>
              <w:pStyle w:val="Compact"/>
            </w:pPr>
            <w:r>
              <w:t xml:space="preserve">5.54 (-0.34)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Marcos Sr.</w:t>
            </w:r>
          </w:p>
        </w:tc>
        <w:tc>
          <w:tcPr/>
          <w:p>
            <w:pPr>
              <w:pStyle w:val="Compact"/>
            </w:pPr>
            <w:r>
              <w:t xml:space="preserve">3.70 (-0.14)</w:t>
            </w:r>
          </w:p>
        </w:tc>
        <w:tc>
          <w:tcPr/>
          <w:p>
            <w:pPr>
              <w:pStyle w:val="Compact"/>
            </w:pPr>
            <w:r>
              <w:t xml:space="preserve">1.16 (-0.26)</w:t>
            </w:r>
          </w:p>
        </w:tc>
        <w:tc>
          <w:tcPr/>
          <w:p>
            <w:pPr>
              <w:pStyle w:val="Compact"/>
            </w:pPr>
            <w:r>
              <w:t xml:space="preserve">-2.97 (-0.51)</w:t>
            </w:r>
          </w:p>
        </w:tc>
        <w:tc>
          <w:tcPr/>
          <w:p>
            <w:pPr>
              <w:pStyle w:val="Compact"/>
            </w:pPr>
            <w:r>
              <w:t xml:space="preserve">14.32 (+0.74)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Aquino</w:t>
            </w:r>
          </w:p>
        </w:tc>
        <w:tc>
          <w:tcPr/>
          <w:p>
            <w:pPr>
              <w:pStyle w:val="Compact"/>
            </w:pPr>
            <w:r>
              <w:t xml:space="preserve">3.32 (-0.26)</w:t>
            </w:r>
          </w:p>
        </w:tc>
        <w:tc>
          <w:tcPr/>
          <w:p>
            <w:pPr>
              <w:pStyle w:val="Compact"/>
            </w:pPr>
            <w:r>
              <w:t xml:space="preserve">0.81 (-0.36)</w:t>
            </w:r>
          </w:p>
        </w:tc>
        <w:tc>
          <w:tcPr/>
          <w:p>
            <w:pPr>
              <w:pStyle w:val="Compact"/>
            </w:pPr>
            <w:r>
              <w:t xml:space="preserve">-4.50 (-0.95)</w:t>
            </w:r>
          </w:p>
        </w:tc>
        <w:tc>
          <w:tcPr/>
          <w:p>
            <w:pPr>
              <w:pStyle w:val="Compact"/>
            </w:pPr>
            <w:r>
              <w:t xml:space="preserve">10.20 (+0.23)</w:t>
            </w:r>
          </w:p>
        </w:tc>
        <w:tc>
          <w:tcPr/>
          <w:p>
            <w:pPr>
              <w:pStyle w:val="Compact"/>
            </w:pPr>
            <w:r>
              <w:t xml:space="preserve">3.79 (+0.79)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Ramos</w:t>
            </w:r>
          </w:p>
        </w:tc>
        <w:tc>
          <w:tcPr/>
          <w:p>
            <w:pPr>
              <w:pStyle w:val="Compact"/>
            </w:pPr>
            <w:r>
              <w:t xml:space="preserve">3.53 (-0.19)</w:t>
            </w:r>
          </w:p>
        </w:tc>
        <w:tc>
          <w:tcPr/>
          <w:p>
            <w:pPr>
              <w:pStyle w:val="Compact"/>
            </w:pPr>
            <w:r>
              <w:t xml:space="preserve">1.24 (-0.24)</w:t>
            </w:r>
          </w:p>
        </w:tc>
        <w:tc>
          <w:tcPr/>
          <w:p>
            <w:pPr>
              <w:pStyle w:val="Compact"/>
            </w:pPr>
            <w:r>
              <w:t xml:space="preserve">-0.84 (+0.12)</w:t>
            </w:r>
          </w:p>
        </w:tc>
        <w:tc>
          <w:tcPr/>
          <w:p>
            <w:pPr>
              <w:pStyle w:val="Compact"/>
            </w:pPr>
            <w:r>
              <w:t xml:space="preserve">7.71 (-0.07)</w:t>
            </w:r>
          </w:p>
        </w:tc>
        <w:tc>
          <w:tcPr/>
          <w:p>
            <w:pPr>
              <w:pStyle w:val="Compact"/>
            </w:pPr>
            <w:r>
              <w:t xml:space="preserve">3.70 (+0.64)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Estrada</w:t>
            </w:r>
          </w:p>
        </w:tc>
        <w:tc>
          <w:tcPr/>
          <w:p>
            <w:pPr>
              <w:pStyle w:val="Compact"/>
            </w:pPr>
            <w:r>
              <w:t xml:space="preserve">3.79 (-0.11)</w:t>
            </w:r>
          </w:p>
        </w:tc>
        <w:tc>
          <w:tcPr/>
          <w:p>
            <w:pPr>
              <w:pStyle w:val="Compact"/>
            </w:pPr>
            <w:r>
              <w:t xml:space="preserve">1.33 (-0.21)</w:t>
            </w:r>
          </w:p>
        </w:tc>
        <w:tc>
          <w:tcPr/>
          <w:p>
            <w:pPr>
              <w:pStyle w:val="Compact"/>
            </w:pPr>
            <w:r>
              <w:t xml:space="preserve">-1.09 (+0.04)</w:t>
            </w:r>
          </w:p>
        </w:tc>
        <w:tc>
          <w:tcPr/>
          <w:p>
            <w:pPr>
              <w:pStyle w:val="Compact"/>
            </w:pPr>
            <w:r>
              <w:t xml:space="preserve">4.96 (-0.41)</w:t>
            </w:r>
          </w:p>
        </w:tc>
        <w:tc>
          <w:tcPr/>
          <w:p>
            <w:pPr>
              <w:pStyle w:val="Compact"/>
            </w:pPr>
            <w:r>
              <w:t xml:space="preserve">3.76 (+0.74)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Arroyo</w:t>
            </w:r>
          </w:p>
        </w:tc>
        <w:tc>
          <w:tcPr/>
          <w:p>
            <w:pPr>
              <w:pStyle w:val="Compact"/>
            </w:pPr>
            <w:r>
              <w:t xml:space="preserve">4.71 (+0.17)</w:t>
            </w:r>
          </w:p>
        </w:tc>
        <w:tc>
          <w:tcPr/>
          <w:p>
            <w:pPr>
              <w:pStyle w:val="Compact"/>
            </w:pPr>
            <w:r>
              <w:t xml:space="preserve">2.85 (+0.24)</w:t>
            </w:r>
          </w:p>
        </w:tc>
        <w:tc>
          <w:tcPr/>
          <w:p>
            <w:pPr>
              <w:pStyle w:val="Compact"/>
            </w:pPr>
            <w:r>
              <w:t xml:space="preserve">-0.00 (+0.36)</w:t>
            </w:r>
          </w:p>
        </w:tc>
        <w:tc>
          <w:tcPr/>
          <w:p>
            <w:pPr>
              <w:pStyle w:val="Compact"/>
            </w:pPr>
            <w:r>
              <w:t xml:space="preserve">4.64 (-0.45)</w:t>
            </w:r>
          </w:p>
        </w:tc>
        <w:tc>
          <w:tcPr/>
          <w:p>
            <w:pPr>
              <w:pStyle w:val="Compact"/>
            </w:pPr>
            <w:r>
              <w:t xml:space="preserve">3.69 (+0.62)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Aquino III</w:t>
            </w:r>
          </w:p>
        </w:tc>
        <w:tc>
          <w:tcPr/>
          <w:p>
            <w:pPr>
              <w:pStyle w:val="Compact"/>
            </w:pPr>
            <w:r>
              <w:t xml:space="preserve">6.03 (+0.57)</w:t>
            </w:r>
          </w:p>
        </w:tc>
        <w:tc>
          <w:tcPr/>
          <w:p>
            <w:pPr>
              <w:pStyle w:val="Compact"/>
            </w:pPr>
            <w:r>
              <w:t xml:space="preserve">4.43 (+0.70)</w:t>
            </w:r>
          </w:p>
        </w:tc>
        <w:tc>
          <w:tcPr/>
          <w:p>
            <w:pPr>
              <w:pStyle w:val="Compact"/>
            </w:pPr>
            <w:r>
              <w:t xml:space="preserve">1.67 (+0.85)</w:t>
            </w:r>
          </w:p>
        </w:tc>
        <w:tc>
          <w:tcPr/>
          <w:p>
            <w:pPr>
              <w:pStyle w:val="Compact"/>
            </w:pPr>
            <w:r>
              <w:t xml:space="preserve">2.64 (-0.70)</w:t>
            </w:r>
          </w:p>
        </w:tc>
        <w:tc>
          <w:tcPr/>
          <w:p>
            <w:pPr>
              <w:pStyle w:val="Compact"/>
            </w:pPr>
            <w:r>
              <w:t xml:space="preserve">3.33 (+0.00)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Duterte</w:t>
            </w:r>
          </w:p>
        </w:tc>
        <w:tc>
          <w:tcPr/>
          <w:p>
            <w:pPr>
              <w:pStyle w:val="Compact"/>
            </w:pPr>
            <w:r>
              <w:t xml:space="preserve">3.61 (-0.17)</w:t>
            </w:r>
          </w:p>
        </w:tc>
        <w:tc>
          <w:tcPr/>
          <w:p>
            <w:pPr>
              <w:pStyle w:val="Compact"/>
            </w:pPr>
            <w:r>
              <w:t xml:space="preserve">2.74 (+0.20)</w:t>
            </w:r>
          </w:p>
        </w:tc>
        <w:tc>
          <w:tcPr/>
          <w:p>
            <w:pPr>
              <w:pStyle w:val="Compact"/>
            </w:pPr>
            <w:r>
              <w:t xml:space="preserve">0.93 (+0.63)</w:t>
            </w:r>
          </w:p>
        </w:tc>
        <w:tc>
          <w:tcPr/>
          <w:p>
            <w:pPr>
              <w:pStyle w:val="Compact"/>
            </w:pPr>
            <w:r>
              <w:t xml:space="preserve">3.78 (-0.56)</w:t>
            </w:r>
          </w:p>
        </w:tc>
        <w:tc>
          <w:tcPr/>
          <w:p>
            <w:pPr>
              <w:pStyle w:val="Compact"/>
            </w:pPr>
            <w:r>
              <w:t xml:space="preserve">2.61 (-1.23)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Jr.</w:t>
            </w:r>
          </w:p>
        </w:tc>
        <w:tc>
          <w:tcPr/>
          <w:p>
            <w:pPr>
              <w:pStyle w:val="Compact"/>
            </w:pPr>
            <w:r>
              <w:t xml:space="preserve">5.08 (+0.28)</w:t>
            </w:r>
          </w:p>
        </w:tc>
        <w:tc>
          <w:tcPr/>
          <w:p>
            <w:pPr>
              <w:pStyle w:val="Compact"/>
            </w:pPr>
            <w:r>
              <w:t xml:space="preserve">4.36 (+0.68)</w:t>
            </w:r>
          </w:p>
        </w:tc>
        <w:tc>
          <w:tcPr/>
          <w:p>
            <w:pPr>
              <w:pStyle w:val="Compact"/>
            </w:pPr>
            <w:r>
              <w:t xml:space="preserve">1.14 (+0.69)</w:t>
            </w:r>
          </w:p>
        </w:tc>
        <w:tc>
          <w:tcPr/>
          <w:p>
            <w:pPr>
              <w:pStyle w:val="Compact"/>
            </w:pPr>
            <w:r>
              <w:t xml:space="preserve">3.62 (-0.58)</w:t>
            </w:r>
          </w:p>
        </w:tc>
        <w:tc>
          <w:tcPr/>
          <w:p>
            <w:pPr>
              <w:pStyle w:val="Compact"/>
            </w:pPr>
            <w:r>
              <w:t xml:space="preserve">2.21 (-1.90)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Percent; z = (administration mean − 1962–2025 mean) / standard deviation of the annual values. For inflation and unemployment a negative z means a lower rate than usual. No composite index is formed and administrations are not ranked. Unemployment is the ILO modelled estimate (1991–).</w:t>
      </w:r>
    </w:p>
    <w:bookmarkEnd w:id="14"/>
    <w:bookmarkStart w:id="15" w:name="g.-files"/>
    <w:p>
      <w:pPr>
        <w:pStyle w:val="Heading1"/>
      </w:pPr>
      <w:r>
        <w:t xml:space="preserve">G. Files</w:t>
      </w:r>
    </w:p>
    <w:p>
      <w:pPr>
        <w:pStyle w:val="FirstParagraph"/>
      </w:pPr>
      <w:r>
        <w:rPr>
          <w:rStyle w:val="VerbatimChar"/>
        </w:rPr>
        <w:t xml:space="preserve">replication_gate.csv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replication_term_effects.csv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sa_check.csv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admin_calendar.csv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rq1_premiums_q.csv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rq1_premiums_a.csv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rq1_tests.csv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rq2_single.csv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rq2_joint.csv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rq2_summary.csv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rq3_inheritance.csv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rq4_same_point.csv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scorecard.csv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robustness.csv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paper_numbers.json</w:t>
      </w:r>
      <w:r>
        <w:t xml:space="preserve">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annex: presidents and the Philippine economy</dc:title>
  <dc:creator/>
  <cp:keywords/>
  <dcterms:created xsi:type="dcterms:W3CDTF">2026-10-16T02:26:36Z</dcterms:created>
  <dcterms:modified xsi:type="dcterms:W3CDTF">2026-10-16T02:26:36Z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October 2026</vt:lpwstr>
  </property>
</Properties>
</file>