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Good policy or good luck? Philippine economic performance across presidential administrations</w:t>
      </w:r>
    </w:p>
    <w:p>
      <w:pPr>
        <w:pStyle w:val="Author"/>
      </w:pPr>
      <w:r>
        <w:t xml:space="preserve">[Author name], [Affiliation], [email]</w:t>
      </w:r>
    </w:p>
    <w:p>
      <w:pPr>
        <w:pStyle w:val="Date"/>
      </w:pPr>
      <w:r>
        <w:t xml:space="preserve">Draft, 16 October 2026</w: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Does the Philippine economy grow faster under some presidents than</w:t>
      </w:r>
      <w:r>
        <w:t xml:space="preserve"> </w:t>
      </w:r>
      <w:r>
        <w:t xml:space="preserve">under others, and how much of the difference is luck? We replicate the design</w:t>
      </w:r>
      <w:r>
        <w:t xml:space="preserve"> </w:t>
      </w:r>
      <w:r>
        <w:t xml:space="preserve">of</w:t>
      </w:r>
      <w:r>
        <w:t xml:space="preserve"> </w:t>
      </w:r>
      <w:r>
        <w:t xml:space="preserve">Blinder and Watson (</w:t>
      </w:r>
      <w:hyperlink w:anchor="ref-blinder2016presidents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 </w:t>
      </w:r>
      <w:r>
        <w:t xml:space="preserve">on Philippine data. We first reproduce their US</w:t>
      </w:r>
      <w:r>
        <w:t xml:space="preserve"> </w:t>
      </w:r>
      <w:r>
        <w:t xml:space="preserve">results on the paper’s own data vintage (a 1.80-point growth gap between</w:t>
      </w:r>
      <w:r>
        <w:t xml:space="preserve"> </w:t>
      </w:r>
      <w:r>
        <w:t xml:space="preserve">parties; ours is 1.80). We then measure each administration’s</w:t>
      </w:r>
      <w:r>
        <w:t xml:space="preserve"> </w:t>
      </w:r>
      <w:r>
        <w:rPr>
          <w:i/>
          <w:iCs/>
        </w:rPr>
        <w:t xml:space="preserve">premium</w:t>
      </w:r>
      <w:r>
        <w:t xml:space="preserve">, its average growth minus the 1981–2026 average, from quarterly data</w:t>
      </w:r>
      <w:r>
        <w:t xml:space="preserve"> </w:t>
      </w:r>
      <w:r>
        <w:t xml:space="preserve">on 181 quarters. We split the premium into the part explained by shocks</w:t>
      </w:r>
      <w:r>
        <w:t xml:space="preserve"> </w:t>
      </w:r>
      <w:r>
        <w:t xml:space="preserve">no Philippine president controls (oil prices, demand from the United States, El</w:t>
      </w:r>
      <w:r>
        <w:t xml:space="preserve"> </w:t>
      </w:r>
      <w:r>
        <w:t xml:space="preserve">Niño and world financial conditions) and the rest. Three findings stand out.</w:t>
      </w:r>
      <w:r>
        <w:t xml:space="preserve"> </w:t>
      </w:r>
      <w:r>
        <w:t xml:space="preserve">First, the spread of administration premiums is no larger than chance would</w:t>
      </w:r>
      <w:r>
        <w:t xml:space="preserve"> </w:t>
      </w:r>
      <w:r>
        <w:t xml:space="preserve">produce (randomization p = 0.44); only the Aquino III premium</w:t>
      </w:r>
      <w:r>
        <w:t xml:space="preserve"> </w:t>
      </w:r>
      <w:r>
        <w:t xml:space="preserve">(+2.22 points) survives a correction for multiple testing.</w:t>
      </w:r>
      <w:r>
        <w:t xml:space="preserve"> </w:t>
      </w:r>
      <w:r>
        <w:t xml:space="preserve">Second, measured against Indonesia, Malaysia and Thailand, the differences grow</w:t>
      </w:r>
      <w:r>
        <w:t xml:space="preserve"> </w:t>
      </w:r>
      <w:r>
        <w:t xml:space="preserve">rather than shrink: the Philippines lagged its neighbours before 1992 and has</w:t>
      </w:r>
      <w:r>
        <w:t xml:space="preserve"> </w:t>
      </w:r>
      <w:r>
        <w:t xml:space="preserve">outgrown them since 2011. Third, luck explains about half of the spread of</w:t>
      </w:r>
      <w:r>
        <w:t xml:space="preserve"> </w:t>
      </w:r>
      <w:r>
        <w:t xml:space="preserve">premiums (0.48), as in the United States, but this share is fragile: it</w:t>
      </w:r>
      <w:r>
        <w:t xml:space="preserve"> </w:t>
      </w:r>
      <w:r>
        <w:t xml:space="preserve">falls to 0.12 without the 1984–85 debt crisis. The current</w:t>
      </w:r>
      <w:r>
        <w:t xml:space="preserve"> </w:t>
      </w:r>
      <w:r>
        <w:t xml:space="preserve">administration’s premium (+0.56) is small and statistically</w:t>
      </w:r>
      <w:r>
        <w:t xml:space="preserve"> </w:t>
      </w:r>
      <w:r>
        <w:t xml:space="preserve">indistinguishable from zero, and its strong first year was largely predictable</w:t>
      </w:r>
      <w:r>
        <w:t xml:space="preserve"> </w:t>
      </w:r>
      <w:r>
        <w:t xml:space="preserve">from the rebound under way when it took office.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presidents; economic growth; luck; Philippines; replication.</w:t>
      </w:r>
      <w:r>
        <w:t xml:space="preserve"> </w:t>
      </w:r>
      <w:r>
        <w:rPr>
          <w:b/>
          <w:bCs/>
        </w:rPr>
        <w:t xml:space="preserve">JEL codes:</w:t>
      </w:r>
      <w:r>
        <w:t xml:space="preserve"> </w:t>
      </w:r>
      <w:r>
        <w:t xml:space="preserve">E32, E60, O53.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Every Philippine administration claims credit for growth, and every opposition</w:t>
      </w:r>
      <w:r>
        <w:t xml:space="preserve"> </w:t>
      </w:r>
      <w:r>
        <w:t xml:space="preserve">blames the president for slowdowns. Both claims assume that presidents move the</w:t>
      </w:r>
      <w:r>
        <w:t xml:space="preserve"> </w:t>
      </w:r>
      <w:r>
        <w:t xml:space="preserve">growth rate. Yet the largest swings in Philippine growth since 1981 came with</w:t>
      </w:r>
      <w:r>
        <w:t xml:space="preserve"> </w:t>
      </w:r>
      <w:r>
        <w:t xml:space="preserve">events that no president chose: the oil shocks, the 1997–98 Asian financial</w:t>
      </w:r>
      <w:r>
        <w:t xml:space="preserve"> </w:t>
      </w:r>
      <w:r>
        <w:t xml:space="preserve">crisis, the 2008–09 world recession and the 2020 pandemic. A president who</w:t>
      </w:r>
      <w:r>
        <w:t xml:space="preserve"> </w:t>
      </w:r>
      <w:r>
        <w:t xml:space="preserve">governs in calm years looks good; one who governs through a world recession</w:t>
      </w:r>
      <w:r>
        <w:t xml:space="preserve"> </w:t>
      </w:r>
      <w:r>
        <w:t xml:space="preserve">looks bad, whatever either did.</w:t>
      </w:r>
    </w:p>
    <w:p>
      <w:pPr>
        <w:pStyle w:val="BodyText"/>
      </w:pPr>
      <w:r>
        <w:t xml:space="preserve">This paper asks two questions. Did the Philippine economy grow faster under some</w:t>
      </w:r>
      <w:r>
        <w:t xml:space="preserve"> </w:t>
      </w:r>
      <w:r>
        <w:t xml:space="preserve">presidents than others? And how much of the difference is luck, meaning shocks</w:t>
      </w:r>
      <w:r>
        <w:t xml:space="preserve"> </w:t>
      </w:r>
      <w:r>
        <w:t xml:space="preserve">from outside that no Philippine president controls? We follow</w:t>
      </w:r>
      <w:r>
        <w:t xml:space="preserve"> </w:t>
      </w:r>
      <w:r>
        <w:t xml:space="preserve">Blinder and Watson (</w:t>
      </w:r>
      <w:hyperlink w:anchor="ref-blinder2016presidents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, who asked the same questions for the United States.</w:t>
      </w:r>
      <w:r>
        <w:t xml:space="preserve"> </w:t>
      </w:r>
      <w:r>
        <w:t xml:space="preserve">They found that the US economy grew 1.8 percentage points a year faster under</w:t>
      </w:r>
      <w:r>
        <w:t xml:space="preserve"> </w:t>
      </w:r>
      <w:r>
        <w:t xml:space="preserve">Democratic than under Republican presidents, and that oil prices, productivity,</w:t>
      </w:r>
      <w:r>
        <w:t xml:space="preserve"> </w:t>
      </w:r>
      <w:r>
        <w:t xml:space="preserve">wars and growth abroad explain about half of that gap. Their design transfers to</w:t>
      </w:r>
      <w:r>
        <w:t xml:space="preserve"> </w:t>
      </w:r>
      <w:r>
        <w:t xml:space="preserve">the Philippines with one change. The Philippines has no stable two-party system:</w:t>
      </w:r>
      <w:r>
        <w:t xml:space="preserve"> </w:t>
      </w:r>
      <w:r>
        <w:t xml:space="preserve">the nine presidents since 1961 came from seven parties, and no party held the</w:t>
      </w:r>
      <w:r>
        <w:t xml:space="preserve"> </w:t>
      </w:r>
      <w:r>
        <w:t xml:space="preserve">presidency twice in a row. We therefore compare administrations one by one.</w:t>
      </w:r>
    </w:p>
    <w:p>
      <w:pPr>
        <w:pStyle w:val="BodyText"/>
      </w:pPr>
      <w:r>
        <w:t xml:space="preserve">The paper makes three contributions. It provides the first estimate, to our</w:t>
      </w:r>
      <w:r>
        <w:t xml:space="preserve"> </w:t>
      </w:r>
      <w:r>
        <w:t xml:space="preserve">knowledge, of how much of the differences in growth between Philippine</w:t>
      </w:r>
      <w:r>
        <w:t xml:space="preserve"> </w:t>
      </w:r>
      <w:r>
        <w:t xml:space="preserve">administrations is luck, using the method of</w:t>
      </w:r>
      <w:r>
        <w:t xml:space="preserve"> </w:t>
      </w:r>
      <w:r>
        <w:t xml:space="preserve">Blinder and Watson (</w:t>
      </w:r>
      <w:hyperlink w:anchor="ref-blinder2016presidents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 </w:t>
      </w:r>
      <w:r>
        <w:t xml:space="preserve">after</w:t>
      </w:r>
      <w:r>
        <w:t xml:space="preserve"> </w:t>
      </w:r>
      <w:r>
        <w:t xml:space="preserve">reproducing their US results to two decimals. It puts six decades of</w:t>
      </w:r>
      <w:r>
        <w:t xml:space="preserve"> </w:t>
      </w:r>
      <w:r>
        <w:t xml:space="preserve">administrations on a common footing, per person and relative to regional peers.</w:t>
      </w:r>
      <w:r>
        <w:t xml:space="preserve"> </w:t>
      </w:r>
      <w:r>
        <w:t xml:space="preserve">And it gives an evidence-based reading of the current administration’s record</w:t>
      </w:r>
      <w:r>
        <w:t xml:space="preserve"> </w:t>
      </w:r>
      <w:r>
        <w:t xml:space="preserve">at the same point in the term as its predecessors. Earlier accounts of</w:t>
      </w:r>
      <w:r>
        <w:t xml:space="preserve"> </w:t>
      </w:r>
      <w:r>
        <w:t xml:space="preserve">Philippine growth by period, such as</w:t>
      </w:r>
      <w:r>
        <w:t xml:space="preserve"> </w:t>
      </w:r>
      <w:r>
        <w:t xml:space="preserve">Balisacan and Hill (</w:t>
      </w:r>
      <w:hyperlink w:anchor="ref-balisacan2003philippine">
        <w:r>
          <w:rPr>
            <w:rStyle w:val="Hyperlink"/>
          </w:rPr>
          <w:t xml:space="preserve">2003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Clarete et al. (</w:t>
      </w:r>
      <w:hyperlink w:anchor="ref-clarete2018philippine">
        <w:r>
          <w:rPr>
            <w:rStyle w:val="Hyperlink"/>
          </w:rPr>
          <w:t xml:space="preserve">2018</w:t>
        </w:r>
      </w:hyperlink>
      <w:r>
        <w:t xml:space="preserve">)</w:t>
      </w:r>
      <w:r>
        <w:t xml:space="preserve">, are narrative; the political-cycle literature</w:t>
      </w:r>
      <w:r>
        <w:t xml:space="preserve"> </w:t>
      </w:r>
      <w:r>
        <w:t xml:space="preserve">(</w:t>
      </w:r>
      <w:hyperlink w:anchor="ref-alesina1997cycles">
        <w:r>
          <w:rPr>
            <w:rStyle w:val="Hyperlink"/>
          </w:rPr>
          <w:t xml:space="preserve">Alesina et al. 1997</w:t>
        </w:r>
      </w:hyperlink>
      <w:r>
        <w:t xml:space="preserve">)</w:t>
      </w:r>
      <w:r>
        <w:t xml:space="preserve"> </w:t>
      </w:r>
      <w:r>
        <w:t xml:space="preserve">concerns advanced democracies with stable parties.</w:t>
      </w:r>
    </w:p>
    <w:p>
      <w:pPr>
        <w:pStyle w:val="BodyText"/>
      </w:pPr>
      <w:r>
        <w:t xml:space="preserve">All specification choices were written down and time-stamped before the first</w:t>
      </w:r>
      <w:r>
        <w:t xml:space="preserve"> </w:t>
      </w:r>
      <w:r>
        <w:t xml:space="preserve">Philippine estimate (Section 2.6). The study measures; it does not rank people.</w:t>
      </w:r>
      <w:r>
        <w:t xml:space="preserve"> </w:t>
      </w:r>
      <w:r>
        <w:t xml:space="preserve">Every claim about an administration is tied to a number and its uncertainty,</w:t>
      </w:r>
      <w:r>
        <w:t xml:space="preserve"> </w:t>
      </w:r>
      <w:r>
        <w:t xml:space="preserve">and the luck-adjusted figure is always shown next to the raw one.</w:t>
      </w:r>
    </w:p>
    <w:bookmarkEnd w:id="9"/>
    <w:bookmarkStart w:id="16" w:name="data-and-methods"/>
    <w:p>
      <w:pPr>
        <w:pStyle w:val="Heading1"/>
      </w:pPr>
      <w:r>
        <w:t xml:space="preserve">2. Data and methods</w:t>
      </w:r>
    </w:p>
    <w:bookmarkStart w:id="10" w:name="data"/>
    <w:p>
      <w:pPr>
        <w:pStyle w:val="Heading2"/>
      </w:pPr>
      <w:r>
        <w:t xml:space="preserve">2.1 Data</w:t>
      </w:r>
    </w:p>
    <w:p>
      <w:pPr>
        <w:pStyle w:val="FirstParagraph"/>
      </w:pPr>
      <w:r>
        <w:t xml:space="preserve">The main measure is quarterly real GDP growth. Real GDP is the value of</w:t>
      </w:r>
      <w:r>
        <w:t xml:space="preserve"> </w:t>
      </w:r>
      <w:r>
        <w:t xml:space="preserve">everything the economy produces, at constant prices, so that inflation does not</w:t>
      </w:r>
      <w:r>
        <w:t xml:space="preserve"> </w:t>
      </w:r>
      <w:r>
        <w:t xml:space="preserve">count as growth. We use the Philippine Statistics Authority’s (PSA) series at</w:t>
      </w:r>
      <w:r>
        <w:t xml:space="preserve"> </w:t>
      </w:r>
      <w:r>
        <w:t xml:space="preserve">constant 2018 prices, 1981Q1–2026Q2, which is not seasonally adjusted.</w:t>
      </w:r>
      <w:r>
        <w:t xml:space="preserve"> </w:t>
      </w:r>
      <w:r>
        <w:t xml:space="preserve">We remove the seasonal pattern with the US Census Bureau’s X-13ARIMA-SEATS</w:t>
      </w:r>
      <w:r>
        <w:t xml:space="preserve"> </w:t>
      </w:r>
      <w:r>
        <w:t xml:space="preserve">program</w:t>
      </w:r>
      <w:r>
        <w:t xml:space="preserve"> </w:t>
      </w:r>
      <w:r>
        <w:t xml:space="preserve">(</w:t>
      </w:r>
      <w:hyperlink w:anchor="ref-census2017x13">
        <w:r>
          <w:rPr>
            <w:rStyle w:val="Hyperlink"/>
          </w:rPr>
          <w:t xml:space="preserve">U.S. Census Bureau 2017</w:t>
        </w:r>
      </w:hyperlink>
      <w:r>
        <w:t xml:space="preserve">)</w:t>
      </w:r>
      <w:r>
        <w:t xml:space="preserve">. Our adjusted growth correlates 0.978 with</w:t>
      </w:r>
      <w:r>
        <w:t xml:space="preserve"> </w:t>
      </w:r>
      <w:r>
        <w:t xml:space="preserve">PSA’s own adjusted series over the years PSA publishes it (2000–2026).</w:t>
      </w:r>
    </w:p>
    <w:p>
      <w:pPr>
        <w:pStyle w:val="BodyText"/>
      </w:pPr>
      <w:r>
        <w:t xml:space="preserve">Growth is measured as in</w:t>
      </w:r>
      <w:r>
        <w:t xml:space="preserve"> </w:t>
      </w:r>
      <w:r>
        <w:t xml:space="preserve">Blinder and Watson (</w:t>
      </w:r>
      <w:hyperlink w:anchor="ref-blinder2016presidents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, at a compounded annual rate: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100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r>
                            <m:t>D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num>
                        <m:den>
                          <m:r>
                            <m:t>G</m:t>
                          </m:r>
                          <m:r>
                            <m:t>D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example, if real GDP rises by 1% in a quarter,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(</m:t>
        </m:r>
        <m:sSup>
          <m:e>
            <m:r>
              <m:t>1.01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4.06</m:t>
        </m:r>
      </m:oMath>
      <w:r>
        <w:t xml:space="preserve">% a year. Over 1981Q2–2026Q2, growth averaged</w:t>
      </w:r>
      <w:r>
        <w:t xml:space="preserve"> </w:t>
      </w:r>
      <w:r>
        <w:t xml:space="preserve">4.02% a year.</w:t>
      </w:r>
    </w:p>
    <w:p>
      <w:pPr>
        <w:pStyle w:val="BodyText"/>
      </w:pPr>
      <w:r>
        <w:t xml:space="preserve">For the long view we use PSA’s annual real GDP (1946–2025) and World Bank data</w:t>
      </w:r>
      <w:r>
        <w:t xml:space="preserve"> </w:t>
      </w:r>
      <w:r>
        <w:t xml:space="preserve">on GDP per person, inflation, unemployment and population, and on GDP growth in</w:t>
      </w:r>
      <w:r>
        <w:t xml:space="preserve"> </w:t>
      </w:r>
      <w:r>
        <w:t xml:space="preserve">Indonesia, Malaysia and Thailand (and Vietnam from 1985), 1961–2025. Presidents’</w:t>
      </w:r>
      <w:r>
        <w:t xml:space="preserve"> </w:t>
      </w:r>
      <w:r>
        <w:t xml:space="preserve">term dates come from the official record as compiled on Wikipedia (the Official</w:t>
      </w:r>
      <w:r>
        <w:t xml:space="preserve"> </w:t>
      </w:r>
      <w:r>
        <w:t xml:space="preserve">Gazette could not be reached from our computing environment). Every raw file,</w:t>
      </w:r>
      <w:r>
        <w:t xml:space="preserve"> </w:t>
      </w:r>
      <w:r>
        <w:t xml:space="preserve">with its source and date, is listed in the replication package.</w:t>
      </w:r>
    </w:p>
    <w:bookmarkEnd w:id="10"/>
    <w:bookmarkStart w:id="11" w:name="charging-quarters-to-administrations"/>
    <w:p>
      <w:pPr>
        <w:pStyle w:val="Heading2"/>
      </w:pPr>
      <w:r>
        <w:t xml:space="preserve">2.2 Charging quarters to administrations</w:t>
      </w:r>
    </w:p>
    <w:p>
      <w:pPr>
        <w:pStyle w:val="FirstParagraph"/>
      </w:pPr>
      <w:r>
        <w:t xml:space="preserve">A new president cannot change the economy on inauguration day. Following</w:t>
      </w:r>
      <w:r>
        <w:t xml:space="preserve"> </w:t>
      </w:r>
      <w:r>
        <w:t xml:space="preserve">Blinder and Watson (</w:t>
      </w:r>
      <w:hyperlink w:anchor="ref-blinder2016presidents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, who charge the first quarter of each term to the</w:t>
      </w:r>
      <w:r>
        <w:t xml:space="preserve"> </w:t>
      </w:r>
      <w:r>
        <w:t xml:space="preserve">previous president, we charge each quarter to the president who held office for</w:t>
      </w:r>
      <w:r>
        <w:t xml:space="preserve"> </w:t>
      </w:r>
      <w:r>
        <w:t xml:space="preserve">most of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quarter. For the 30 June inaugurations of 1992–2022 this</w:t>
      </w:r>
      <w:r>
        <w:t xml:space="preserve"> </w:t>
      </w:r>
      <w:r>
        <w:t xml:space="preserve">means a new president is charged from the October quarter. Corazon Aquino, who</w:t>
      </w:r>
      <w:r>
        <w:t xml:space="preserve"> </w:t>
      </w:r>
      <w:r>
        <w:t xml:space="preserve">took office on 25 February 1986, is charged from 1986Q3, and Gloria Macapagal</w:t>
      </w:r>
      <w:r>
        <w:t xml:space="preserve"> </w:t>
      </w:r>
      <w:r>
        <w:t xml:space="preserve">Arroyo, who took office on 20 January 2001, from 2001Q2. Years are charged to</w:t>
      </w:r>
      <w:r>
        <w:t xml:space="preserve"> </w:t>
      </w:r>
      <w:r>
        <w:t xml:space="preserve">the president who holds most of their quarters. Lags of zero, two and four</w:t>
      </w:r>
      <w:r>
        <w:t xml:space="preserve"> </w:t>
      </w:r>
      <w:r>
        <w:t xml:space="preserve">quarters are robustness checks. The quarterly data cover only the last five</w:t>
      </w:r>
      <w:r>
        <w:t xml:space="preserve"> </w:t>
      </w:r>
      <w:r>
        <w:t xml:space="preserve">years of Ferdinand E. Marcos (1981Q2–1986Q2), which we label</w:t>
      </w:r>
      <w:r>
        <w:t xml:space="preserve"> </w:t>
      </w:r>
      <w:r>
        <w:t xml:space="preserve">“Marcos Sr.</w:t>
      </w:r>
      <w:r>
        <w:t xml:space="preserve"> </w:t>
      </w:r>
      <w:r>
        <w:t xml:space="preserve">(1981–86)”</w:t>
      </w:r>
      <w:r>
        <w:t xml:space="preserve">. His whole presidency (1966–1985) enters the annual analysis.</w:t>
      </w:r>
      <w:r>
        <w:t xml:space="preserve"> </w:t>
      </w:r>
      <w:r>
        <w:t xml:space="preserve">The Marcos Jr. administration enters with the 15 quarters</w:t>
      </w:r>
      <w:r>
        <w:t xml:space="preserve"> </w:t>
      </w:r>
      <w:r>
        <w:t xml:space="preserve">observed so far (2022Q4–2026Q2).</w:t>
      </w:r>
    </w:p>
    <w:bookmarkEnd w:id="11"/>
    <w:bookmarkStart w:id="12" w:name="the-administration-premium"/>
    <w:p>
      <w:pPr>
        <w:pStyle w:val="Heading2"/>
      </w:pPr>
      <w:r>
        <w:t xml:space="preserve">2.3 The administration premium</w:t>
      </w:r>
    </w:p>
    <w:p>
      <w:pPr>
        <w:pStyle w:val="FirstParagraph"/>
      </w:pPr>
      <w:r>
        <w:t xml:space="preserve">An administration’s</w:t>
      </w:r>
      <w:r>
        <w:t xml:space="preserve"> </w:t>
      </w:r>
      <w:r>
        <w:rPr>
          <w:b/>
          <w:bCs/>
        </w:rPr>
        <w:t xml:space="preserve">premium</w:t>
      </w:r>
      <w:r>
        <w:t xml:space="preserve"> </w:t>
      </w:r>
      <w:r>
        <w:t xml:space="preserve">is its average growth minus the average over</w:t>
      </w:r>
      <w:r>
        <w:t xml:space="preserve"> </w:t>
      </w:r>
      <w:r>
        <w:t xml:space="preserve">the whole sample: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growth averaged 4.0% over the sample and 5.0% under one administration, its</w:t>
      </w:r>
      <w:r>
        <w:t xml:space="preserve"> </w:t>
      </w:r>
      <w:r>
        <w:t xml:space="preserve">premium is +1.0 point. Standard errors, which measure how uncertain each</w:t>
      </w:r>
      <w:r>
        <w:t xml:space="preserve"> </w:t>
      </w:r>
      <w:r>
        <w:t xml:space="preserve">premium is, allow for correlation over time [Newey–West with six lags;</w:t>
      </w:r>
      <w:r>
        <w:t xml:space="preserve"> </w:t>
      </w:r>
      <w:r>
        <w:t xml:space="preserve">Newey and West (</w:t>
      </w:r>
      <w:hyperlink w:anchor="ref-newey1987hac">
        <w:r>
          <w:rPr>
            <w:rStyle w:val="Hyperlink"/>
          </w:rPr>
          <w:t xml:space="preserve">1987</w:t>
        </w:r>
      </w:hyperlink>
      <w:r>
        <w:t xml:space="preserve">)</w:t>
      </w:r>
      <w:r>
        <w:t xml:space="preserve">]. Because there are only eight administrations in the quarterly</w:t>
      </w:r>
      <w:r>
        <w:t xml:space="preserve"> </w:t>
      </w:r>
      <w:r>
        <w:t xml:space="preserve">sample, we also use a test that does not rely on large-sample theory. The</w:t>
      </w:r>
      <w:r>
        <w:t xml:space="preserve"> </w:t>
      </w:r>
      <w:r>
        <w:rPr>
          <w:b/>
          <w:bCs/>
        </w:rPr>
        <w:t xml:space="preserve">circular-shift test</w:t>
      </w:r>
      <w:r>
        <w:t xml:space="preserve"> </w:t>
      </w:r>
      <w:r>
        <w:t xml:space="preserve">slides the calendar of administrations along the growth</w:t>
      </w:r>
      <w:r>
        <w:t xml:space="preserve"> </w:t>
      </w:r>
      <w:r>
        <w:t xml:space="preserve">series by every possible number of quarters, keeping each administration’s</w:t>
      </w:r>
      <w:r>
        <w:t xml:space="preserve"> </w:t>
      </w:r>
      <w:r>
        <w:t xml:space="preserve">length and the order of terms, and asks how often an arbitrary alignment gives</w:t>
      </w:r>
      <w:r>
        <w:t xml:space="preserve"> </w:t>
      </w:r>
      <w:r>
        <w:t xml:space="preserve">a larger spread of administration averages than the real one. Its p-value is</w:t>
      </w:r>
      <w:r>
        <w:t xml:space="preserve"> </w:t>
      </w:r>
      <w:r>
        <w:t xml:space="preserve">that share. It is the analogue of the random relabelling of terms in</w:t>
      </w:r>
      <w:r>
        <w:t xml:space="preserve"> </w:t>
      </w:r>
      <w:r>
        <w:t xml:space="preserve">Blinder and Watson (</w:t>
      </w:r>
      <w:hyperlink w:anchor="ref-blinder2016presidents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. When we test the eight premiums one by one, we also</w:t>
      </w:r>
      <w:r>
        <w:t xml:space="preserve"> </w:t>
      </w:r>
      <w:r>
        <w:t xml:space="preserve">report p-values corrected for multiple testing (Holm).</w:t>
      </w:r>
    </w:p>
    <w:p>
      <w:pPr>
        <w:pStyle w:val="BodyText"/>
      </w:pPr>
      <w:r>
        <w:t xml:space="preserve">Two standardized versions put decades on a common footing.</w:t>
      </w:r>
      <w:r>
        <w:t xml:space="preserve"> </w:t>
      </w:r>
      <w:r>
        <w:rPr>
          <w:b/>
          <w:bCs/>
        </w:rPr>
        <w:t xml:space="preserve">Growth per</w:t>
      </w:r>
      <w:r>
        <w:rPr>
          <w:b/>
          <w:bCs/>
        </w:rPr>
        <w:t xml:space="preserve"> </w:t>
      </w:r>
      <w:r>
        <w:rPr>
          <w:b/>
          <w:bCs/>
        </w:rPr>
        <w:t xml:space="preserve">person</w:t>
      </w:r>
      <w:r>
        <w:t xml:space="preserve"> </w:t>
      </w:r>
      <w:r>
        <w:t xml:space="preserve">subtracts population growth.</w:t>
      </w:r>
      <w:r>
        <w:t xml:space="preserve"> </w:t>
      </w:r>
      <w:r>
        <w:rPr>
          <w:b/>
          <w:bCs/>
        </w:rPr>
        <w:t xml:space="preserve">Growth relative to peers</w:t>
      </w:r>
      <w:r>
        <w:t xml:space="preserve"> </w:t>
      </w:r>
      <w:r>
        <w:t xml:space="preserve">subtracts the</w:t>
      </w:r>
      <w:r>
        <w:t xml:space="preserve"> </w:t>
      </w:r>
      <w:r>
        <w:t xml:space="preserve">average growth of Indonesia, Malaysia and Thailand in the same year; it removes</w:t>
      </w:r>
      <w:r>
        <w:t xml:space="preserve"> </w:t>
      </w:r>
      <w:r>
        <w:t xml:space="preserve">shocks that hit the whole region at once.</w:t>
      </w:r>
    </w:p>
    <w:bookmarkEnd w:id="12"/>
    <w:bookmarkStart w:id="13" w:name="how-much-is-luck"/>
    <w:p>
      <w:pPr>
        <w:pStyle w:val="Heading2"/>
      </w:pPr>
      <w:r>
        <w:t xml:space="preserve">2.4 How much is luck?</w:t>
      </w:r>
    </w:p>
    <w:p>
      <w:pPr>
        <w:pStyle w:val="FirstParagraph"/>
      </w:pPr>
      <w:r>
        <w:t xml:space="preserve">We estimate the Philippine version of equation (1) in</w:t>
      </w:r>
      <w:r>
        <w:t xml:space="preserve"> </w:t>
      </w:r>
      <w:r>
        <w:t xml:space="preserve">Blinder and Watson (</w:t>
      </w:r>
      <w:hyperlink w:anchor="ref-blinder2016presidents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e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equals 1 in the quarters charged to administration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shock</w:t>
      </w:r>
      <w:r>
        <w:t xml:space="preserve"> </w:t>
      </w:r>
      <m:oMath>
        <m:r>
          <m:t>k</m:t>
        </m:r>
      </m:oMath>
      <w:r>
        <w:t xml:space="preserve">, entered with its current value and six lags, because</w:t>
      </w:r>
      <w:r>
        <w:t xml:space="preserve"> </w:t>
      </w:r>
      <w:r>
        <w:t xml:space="preserve">shocks take time to work. The fitted shock component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γ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t>j</m:t>
                    </m:r>
                  </m:sub>
                </m:sSub>
              </m:e>
            </m:nary>
          </m:e>
        </m:nary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j</m:t>
            </m:r>
          </m:sub>
        </m:sSub>
      </m:oMath>
      <w:r>
        <w:t xml:space="preserve"> </w:t>
      </w:r>
      <w:r>
        <w:t xml:space="preserve">is the growth the shocks</w:t>
      </w:r>
      <w:r>
        <w:t xml:space="preserve"> </w:t>
      </w:r>
      <w:r>
        <w:t xml:space="preserve">alone predict. The</w:t>
      </w:r>
      <w:r>
        <w:t xml:space="preserve"> </w:t>
      </w:r>
      <w:r>
        <w:rPr>
          <w:b/>
          <w:bCs/>
        </w:rPr>
        <w:t xml:space="preserve">explained premium</w:t>
      </w:r>
      <w:r>
        <w:t xml:space="preserve"> </w:t>
      </w:r>
      <w:r>
        <w:t xml:space="preserve">of administration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average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in its quarters minus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t</m:t>
            </m:r>
          </m:sub>
        </m:sSub>
      </m:oMath>
      <w:r>
        <w:t xml:space="preserve">; the</w:t>
      </w:r>
      <w:r>
        <w:t xml:space="preserve"> </w:t>
      </w:r>
      <w:r>
        <w:rPr>
          <w:b/>
          <w:bCs/>
        </w:rPr>
        <w:t xml:space="preserve">unexplained premium</w:t>
      </w:r>
      <w:r>
        <w:t xml:space="preserve"> </w:t>
      </w:r>
      <w:r>
        <w:t xml:space="preserve">is the rest. The unexplained premium is the most that</w:t>
      </w:r>
      <w:r>
        <w:t xml:space="preserve"> </w:t>
      </w:r>
      <w:r>
        <w:t xml:space="preserve">policy could have contributed. It is an upper bound, not a measure of policy,</w:t>
      </w:r>
      <w:r>
        <w:t xml:space="preserve"> </w:t>
      </w:r>
      <w:r>
        <w:t xml:space="preserve">because it also contains any luck we fail to measure.</w:t>
      </w:r>
    </w:p>
    <w:p>
      <w:pPr>
        <w:pStyle w:val="BodyText"/>
      </w:pPr>
      <w:r>
        <w:t xml:space="preserve">We use four shocks, fixed before estimation.</w:t>
      </w:r>
      <w:r>
        <w:t xml:space="preserve"> </w:t>
      </w:r>
      <w:r>
        <w:rPr>
          <w:b/>
          <w:bCs/>
        </w:rPr>
        <w:t xml:space="preserve">Oil</w:t>
      </w:r>
      <w:r>
        <w:t xml:space="preserve"> </w:t>
      </w:r>
      <w:r>
        <w:t xml:space="preserve">is the net oil price</w:t>
      </w:r>
      <w:r>
        <w:t xml:space="preserve"> </w:t>
      </w:r>
      <w:r>
        <w:t xml:space="preserve">increase of</w:t>
      </w:r>
      <w:r>
        <w:t xml:space="preserve"> </w:t>
      </w:r>
      <w:r>
        <w:t xml:space="preserve">Hamilton (</w:t>
      </w:r>
      <w:hyperlink w:anchor="ref-hamilton2003oil">
        <w:r>
          <w:rPr>
            <w:rStyle w:val="Hyperlink"/>
          </w:rPr>
          <w:t xml:space="preserve">2003</w:t>
        </w:r>
      </w:hyperlink>
      <w:r>
        <w:t xml:space="preserve">)</w:t>
      </w:r>
      <w:r>
        <w:t xml:space="preserve">, the percentage by which the oil price exceeds its</w:t>
      </w:r>
      <w:r>
        <w:t xml:space="preserve"> </w:t>
      </w:r>
      <w:r>
        <w:t xml:space="preserve">highest value of the previous three years (zero otherwise), computed from the</w:t>
      </w:r>
      <w:r>
        <w:t xml:space="preserve"> </w:t>
      </w:r>
      <w:r>
        <w:t xml:space="preserve">US producer price index for crude petroleum, exactly as in the reference paper.</w:t>
      </w:r>
      <w:r>
        <w:t xml:space="preserve"> </w:t>
      </w:r>
      <w:r>
        <w:rPr>
          <w:b/>
          <w:bCs/>
        </w:rPr>
        <w:t xml:space="preserve">US demand</w:t>
      </w:r>
      <w:r>
        <w:t xml:space="preserve"> </w:t>
      </w:r>
      <w:r>
        <w:t xml:space="preserve">is US real GDP growth. The United States was the largest market</w:t>
      </w:r>
      <w:r>
        <w:t xml:space="preserve"> </w:t>
      </w:r>
      <w:r>
        <w:t xml:space="preserve">for Philippine exports over most of the sample.</w:t>
      </w:r>
      <w:r>
        <w:t xml:space="preserve"> </w:t>
      </w:r>
      <w:r>
        <w:rPr>
          <w:b/>
          <w:bCs/>
        </w:rPr>
        <w:t xml:space="preserve">El Niño</w:t>
      </w:r>
      <w:r>
        <w:t xml:space="preserve"> </w:t>
      </w:r>
      <w:r>
        <w:t xml:space="preserve">is the positive part</w:t>
      </w:r>
      <w:r>
        <w:t xml:space="preserve"> </w:t>
      </w:r>
      <w:r>
        <w:t xml:space="preserve">of the Oceanic Niño Index of the US National Oceanic and Atmospheric</w:t>
      </w:r>
      <w:r>
        <w:t xml:space="preserve"> </w:t>
      </w:r>
      <w:r>
        <w:t xml:space="preserve">Administration; El Niño years bring drought to Philippine farms.</w:t>
      </w:r>
      <w:r>
        <w:t xml:space="preserve"> </w:t>
      </w:r>
      <w:r>
        <w:rPr>
          <w:b/>
          <w:bCs/>
        </w:rPr>
        <w:t xml:space="preserve">Financial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</w:t>
      </w:r>
      <w:r>
        <w:t xml:space="preserve"> </w:t>
      </w:r>
      <w:r>
        <w:t xml:space="preserve">is the excess bond premium of</w:t>
      </w:r>
      <w:r>
        <w:t xml:space="preserve"> </w:t>
      </w:r>
      <w:r>
        <w:t xml:space="preserve">Gilchrist and Zakrajšek (</w:t>
      </w:r>
      <w:hyperlink w:anchor="ref-gilchrist2012credit">
        <w:r>
          <w:rPr>
            <w:rStyle w:val="Hyperlink"/>
          </w:rPr>
          <w:t xml:space="preserve">2012</w:t>
        </w:r>
      </w:hyperlink>
      <w:r>
        <w:t xml:space="preserve">)</w:t>
      </w:r>
      <w:r>
        <w:t xml:space="preserve">, a measure of</w:t>
      </w:r>
      <w:r>
        <w:t xml:space="preserve"> </w:t>
      </w:r>
      <w:r>
        <w:t xml:space="preserve">stress in world credit markets. As in the reference paper, the US-demand and</w:t>
      </w:r>
      <w:r>
        <w:t xml:space="preserve"> </w:t>
      </w:r>
      <w:r>
        <w:t xml:space="preserve">financial series are first purged of any feedback from Philippine growth: we</w:t>
      </w:r>
      <w:r>
        <w:t xml:space="preserve"> </w:t>
      </w:r>
      <w:r>
        <w:t xml:space="preserve">keep only the part that cannot be predicted from their own past and from</w:t>
      </w:r>
      <w:r>
        <w:t xml:space="preserve"> </w:t>
      </w:r>
      <w:r>
        <w:t xml:space="preserve">current and past Philippine growth. Domestic fiscal policy, the central bank’s</w:t>
      </w:r>
      <w:r>
        <w:t xml:space="preserve"> </w:t>
      </w:r>
      <w:r>
        <w:t xml:space="preserve">policy rate, coups and the 2020 lockdown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treated as luck. The joint</w:t>
      </w:r>
      <w:r>
        <w:t xml:space="preserve"> </w:t>
      </w:r>
      <w:r>
        <w:t xml:space="preserve">model is estimated over 1983Q4-2026Q2 (171 quarters), the</w:t>
      </w:r>
      <w:r>
        <w:t xml:space="preserve"> </w:t>
      </w:r>
      <w:r>
        <w:t xml:space="preserve">period over which every shock and its lags exist.</w:t>
      </w:r>
    </w:p>
    <w:p>
      <w:pPr>
        <w:pStyle w:val="BodyText"/>
      </w:pPr>
      <w:r>
        <w:t xml:space="preserve">A single summary is the</w:t>
      </w:r>
      <w:r>
        <w:t xml:space="preserve"> </w:t>
      </w:r>
      <w:r>
        <w:rPr>
          <w:b/>
          <w:bCs/>
        </w:rPr>
        <w:t xml:space="preserve">share of the spread of premiums explained by luck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nary>
              <m:sSubSup>
                <m:e>
                  <m:r>
                    <m:t>U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nary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unexplained premium and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the number of quarters. If luck</w:t>
      </w:r>
      <w:r>
        <w:t xml:space="preserve"> </w:t>
      </w:r>
      <w:r>
        <w:t xml:space="preserve">explained every premium exactly,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; if it explained none,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"/>
    <w:bookmarkStart w:id="14" w:name="X3ace05e0eacf4510d4d7077b57e0c4223c24277"/>
    <w:p>
      <w:pPr>
        <w:pStyle w:val="Heading2"/>
      </w:pPr>
      <w:r>
        <w:t xml:space="preserve">2.5 Inheritance and the same point in the term</w:t>
      </w:r>
    </w:p>
    <w:p>
      <w:pPr>
        <w:pStyle w:val="FirstParagraph"/>
      </w:pPr>
      <w:r>
        <w:t xml:space="preserve">Growth in a president’s first year may simply continue, or rebound from, what</w:t>
      </w:r>
      <w:r>
        <w:t xml:space="preserve"> </w:t>
      </w:r>
      <w:r>
        <w:t xml:space="preserve">was under way before. For each administration that starts inside the sample we</w:t>
      </w:r>
      <w:r>
        <w:t xml:space="preserve"> </w:t>
      </w:r>
      <w:r>
        <w:t xml:space="preserve">forecast growth over its first four quarters with data up to the quarter before</w:t>
      </w:r>
      <w:r>
        <w:t xml:space="preserve"> </w:t>
      </w:r>
      <w:r>
        <w:t xml:space="preserve">it took office, using two models estimated on the full sample, as in Table 5 of</w:t>
      </w:r>
      <w:r>
        <w:t xml:space="preserve"> </w:t>
      </w:r>
      <w:r>
        <w:t xml:space="preserve">Blinder and Watson (</w:t>
      </w:r>
      <w:hyperlink w:anchor="ref-blinder2016presidents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. The first is an autoregression, which predicts growth</w:t>
      </w:r>
      <w:r>
        <w:t xml:space="preserve"> </w:t>
      </w:r>
      <w:r>
        <w:t xml:space="preserve">from its own recent past. The second, the</w:t>
      </w:r>
      <w:r>
        <w:t xml:space="preserve"> </w:t>
      </w:r>
      <w:r>
        <w:rPr>
          <w:b/>
          <w:bCs/>
        </w:rPr>
        <w:t xml:space="preserve">bounce-back</w:t>
      </w:r>
      <w:r>
        <w:t xml:space="preserve"> </w:t>
      </w:r>
      <w:r>
        <w:t xml:space="preserve">model, adds an</w:t>
      </w:r>
      <w:r>
        <w:t xml:space="preserve"> </w:t>
      </w:r>
      <w:r>
        <w:t xml:space="preserve">indicator of recession quarters and its interaction with growth, so that growth</w:t>
      </w:r>
      <w:r>
        <w:t xml:space="preserve"> </w:t>
      </w:r>
      <w:r>
        <w:t xml:space="preserve">can rebound faster after a slump. The current term is incomplete, so we also</w:t>
      </w:r>
      <w:r>
        <w:t xml:space="preserve"> </w:t>
      </w:r>
      <w:r>
        <w:t xml:space="preserve">compare every administration over its first 15 quarters, raw</w:t>
      </w:r>
      <w:r>
        <w:t xml:space="preserve"> </w:t>
      </w:r>
      <w:r>
        <w:t xml:space="preserve">and after removing the fitted shock component.</w:t>
      </w:r>
    </w:p>
    <w:bookmarkEnd w:id="14"/>
    <w:bookmarkStart w:id="15" w:name="validation-and-pre-specification"/>
    <w:p>
      <w:pPr>
        <w:pStyle w:val="Heading2"/>
      </w:pPr>
      <w:r>
        <w:t xml:space="preserve">2.6 Validation and pre-specification</w:t>
      </w:r>
    </w:p>
    <w:p>
      <w:pPr>
        <w:pStyle w:val="FirstParagraph"/>
      </w:pPr>
      <w:r>
        <w:t xml:space="preserve">Before touching Philippine data, we re-estimated the reference paper on US data</w:t>
      </w:r>
      <w:r>
        <w:t xml:space="preserve"> </w:t>
      </w:r>
      <w:r>
        <w:t xml:space="preserve">at its own data vintage (Table 1). The pass criteria were written down first.</w:t>
      </w:r>
      <w:r>
        <w:t xml:space="preserve"> </w:t>
      </w:r>
      <w:r>
        <w:t xml:space="preserve">The first run failed one criterion: both party averages were 0.13 points too</w:t>
      </w:r>
      <w:r>
        <w:t xml:space="preserve"> </w:t>
      </w:r>
      <w:r>
        <w:t xml:space="preserve">low, because we had used log growth instead of the compounded rate of equation</w:t>
      </w:r>
      <w:r>
        <w:t xml:space="preserve"> </w:t>
      </w:r>
      <w:r>
        <w:t xml:space="preserve">(1). With that correction, which we then applied to every growth rate, the</w:t>
      </w:r>
      <w:r>
        <w:t xml:space="preserve"> </w:t>
      </w:r>
      <w:r>
        <w:t xml:space="preserve">replication matches: Democratic mean 4.35 against 4.35, Republican</w:t>
      </w:r>
      <w:r>
        <w:t xml:space="preserve"> </w:t>
      </w:r>
      <w:r>
        <w:t xml:space="preserve">2.54 against 2.54, gap 1.80 against 1.80 (standard error</w:t>
      </w:r>
      <w:r>
        <w:t xml:space="preserve"> </w:t>
      </w:r>
      <w:r>
        <w:t xml:space="preserve">0.64 against 0.64, randomization p = 0.011 against 0.01).</w:t>
      </w:r>
      <w:r>
        <w:t xml:space="preserve"> </w:t>
      </w:r>
      <w:r>
        <w:t xml:space="preserve">The oil shock explains 0.48 of the gap, against 0.50 in the paper,</w:t>
      </w:r>
      <w:r>
        <w:t xml:space="preserve"> </w:t>
      </w:r>
      <w:r>
        <w:t xml:space="preserve">and its term-by-term effects correlate 0.996 with the published ones</w:t>
      </w:r>
      <w:r>
        <w:t xml:space="preserve"> </w:t>
      </w:r>
      <w:r>
        <w:t xml:space="preserve">(Figure 6). The full Philippine estimation plan, including every hypothesis</w:t>
      </w:r>
      <w:r>
        <w:t xml:space="preserve"> </w:t>
      </w:r>
      <w:r>
        <w:t xml:space="preserve">test rule and robustness check, was then committed to the project’s public</w:t>
      </w:r>
      <w:r>
        <w:t xml:space="preserve"> </w:t>
      </w:r>
      <w:r>
        <w:t xml:space="preserve">repository before the first Philippine estimate. All results below are from</w:t>
      </w:r>
      <w:r>
        <w:t xml:space="preserve"> </w:t>
      </w:r>
      <w:r>
        <w:t xml:space="preserve">that plan unless labelled otherwise. The estimation code was also checked on</w:t>
      </w:r>
      <w:r>
        <w:t xml:space="preserve"> </w:t>
      </w:r>
      <w:r>
        <w:t xml:space="preserve">simulated data with known answers.</w:t>
      </w:r>
    </w:p>
    <w:bookmarkEnd w:id="15"/>
    <w:bookmarkEnd w:id="16"/>
    <w:bookmarkStart w:id="22" w:name="results"/>
    <w:p>
      <w:pPr>
        <w:pStyle w:val="Heading1"/>
      </w:pPr>
      <w:r>
        <w:t xml:space="preserve">3. Results</w:t>
      </w:r>
    </w:p>
    <w:bookmarkStart w:id="17" w:name="do-administrations-differ"/>
    <w:p>
      <w:pPr>
        <w:pStyle w:val="Heading2"/>
      </w:pPr>
      <w:r>
        <w:t xml:space="preserve">3.1 Do administrations differ?</w:t>
      </w:r>
    </w:p>
    <w:p>
      <w:pPr>
        <w:pStyle w:val="FirstParagraph"/>
      </w:pPr>
      <w:r>
        <w:t xml:space="preserve">Figure 1 shows quarterly growth with the administrations marked, and Table 2</w:t>
      </w:r>
      <w:r>
        <w:t xml:space="preserve"> </w:t>
      </w:r>
      <w:r>
        <w:t xml:space="preserve">the premiums. The largest negative premium belongs to the last five years of</w:t>
      </w:r>
      <w:r>
        <w:t xml:space="preserve"> </w:t>
      </w:r>
      <w:r>
        <w:t xml:space="preserve">Marcos Sr. (-4.22 points, s.e. 2.26), the</w:t>
      </w:r>
      <w:r>
        <w:t xml:space="preserve"> </w:t>
      </w:r>
      <w:r>
        <w:t xml:space="preserve">years of the 1983–85 debt crisis. The largest positive premium belongs to</w:t>
      </w:r>
      <w:r>
        <w:t xml:space="preserve"> </w:t>
      </w:r>
      <w:r>
        <w:t xml:space="preserve">Aquino III (+2.22, s.e. 0.72, p =</w:t>
      </w:r>
      <w:r>
        <w:t xml:space="preserve"> </w:t>
      </w:r>
      <w:r>
        <w:t xml:space="preserve">0.002); it is the only premium that survives the Holm correction</w:t>
      </w:r>
      <w:r>
        <w:t xml:space="preserve"> </w:t>
      </w:r>
      <w:r>
        <w:t xml:space="preserve">(p = 0.02). The other premiums are within about one point of</w:t>
      </w:r>
      <w:r>
        <w:t xml:space="preserve"> </w:t>
      </w:r>
      <w:r>
        <w:t xml:space="preserve">zero, with standard errors of the same size. The Marcos Jr. premium so far is</w:t>
      </w:r>
      <w:r>
        <w:t xml:space="preserve"> </w:t>
      </w:r>
      <w:r>
        <w:t xml:space="preserve">+0.56 (s.e. 0.90, p = 0.53).</w:t>
      </w:r>
    </w:p>
    <w:p>
      <w:pPr>
        <w:pStyle w:val="BodyText"/>
      </w:pPr>
      <w:r>
        <w:t xml:space="preserve">Taken together, the differences are no larger than chance alone would produce.</w:t>
      </w:r>
      <w:r>
        <w:t xml:space="preserve"> </w:t>
      </w:r>
      <w:r>
        <w:t xml:space="preserve">In the circular-shift test, 0.44 of all alignments of the calendar</w:t>
      </w:r>
      <w:r>
        <w:t xml:space="preserve"> </w:t>
      </w:r>
      <w:r>
        <w:t xml:space="preserve">give a spread at least as large as the real one (0.28 for growth per</w:t>
      </w:r>
      <w:r>
        <w:t xml:space="preserve"> </w:t>
      </w:r>
      <w:r>
        <w:t xml:space="preserve">person). The first hypothesis, that differences are large and detectable as in</w:t>
      </w:r>
      <w:r>
        <w:t xml:space="preserve"> </w:t>
      </w:r>
      <w:r>
        <w:t xml:space="preserve">the United States (H1a), is therefore not supported. Per person, the premiums of</w:t>
      </w:r>
      <w:r>
        <w:t xml:space="preserve"> </w:t>
      </w:r>
      <w:r>
        <w:t xml:space="preserve">recent administrations are larger because population growth has slowed; the</w:t>
      </w:r>
      <w:r>
        <w:t xml:space="preserve"> </w:t>
      </w:r>
      <w:r>
        <w:t xml:space="preserve">Marcos Jr. per-person premium is +1.99 (s.e.</w:t>
      </w:r>
      <w:r>
        <w:t xml:space="preserve"> </w:t>
      </w:r>
      <w:r>
        <w:t xml:space="preserve">0.88, p = 0.02, Holm p =</w:t>
      </w:r>
      <w:r>
        <w:t xml:space="preserve"> </w:t>
      </w:r>
      <w:r>
        <w:t xml:space="preserve">0.17).</w:t>
      </w:r>
    </w:p>
    <w:p>
      <w:pPr>
        <w:pStyle w:val="BodyText"/>
      </w:pPr>
      <w:r>
        <w:t xml:space="preserve">The annual data tell the same story over six decades (Table 3): the shift-test</w:t>
      </w:r>
      <w:r>
        <w:t xml:space="preserve"> </w:t>
      </w:r>
      <w:r>
        <w:t xml:space="preserve">p-value is 1.00. Marcos Sr.’s twenty-year average contains both the</w:t>
      </w:r>
      <w:r>
        <w:t xml:space="preserve"> </w:t>
      </w:r>
      <w:r>
        <w:t xml:space="preserve">growth of the 1970s and the crash of 1984–85, and comes close to the long-run</w:t>
      </w:r>
      <w:r>
        <w:t xml:space="preserve"> </w:t>
      </w:r>
      <w:r>
        <w:t xml:space="preserve">mean (-0.46 points).</w:t>
      </w:r>
    </w:p>
    <w:p>
      <w:pPr>
        <w:pStyle w:val="BodyText"/>
      </w:pPr>
      <w:r>
        <w:t xml:space="preserve">Measured against regional peers, the picture changes (Figure 3). We expected</w:t>
      </w:r>
      <w:r>
        <w:t xml:space="preserve"> </w:t>
      </w:r>
      <w:r>
        <w:t xml:space="preserve">the peer comparison to remove much of the difference between administrations,</w:t>
      </w:r>
      <w:r>
        <w:t xml:space="preserve"> </w:t>
      </w:r>
      <w:r>
        <w:t xml:space="preserve">because the big swings of 1997–98, 2009 and 2020 were regional (H1b). The</w:t>
      </w:r>
      <w:r>
        <w:t xml:space="preserve"> </w:t>
      </w:r>
      <w:r>
        <w:t xml:space="preserve">opposite happens: the spread of peer-relative premiums is 2.4</w:t>
      </w:r>
      <w:r>
        <w:t xml:space="preserve"> </w:t>
      </w:r>
      <w:r>
        <w:t xml:space="preserve">times the spread of raw premiums, so H1b is not supported. Relative to its</w:t>
      </w:r>
      <w:r>
        <w:t xml:space="preserve"> </w:t>
      </w:r>
      <w:r>
        <w:t xml:space="preserve">neighbours, the Philippines grew much more slowly under Marcos Sr.</w:t>
      </w:r>
      <w:r>
        <w:t xml:space="preserve"> </w:t>
      </w:r>
      <w:r>
        <w:t xml:space="preserve">(-1.73 points) and C. Aquino (-3.26), and faster</w:t>
      </w:r>
      <w:r>
        <w:t xml:space="preserve"> </w:t>
      </w:r>
      <w:r>
        <w:t xml:space="preserve">under Aquino III (+2.90), Duterte (+2.16) and Marcos</w:t>
      </w:r>
      <w:r>
        <w:t xml:space="preserve"> </w:t>
      </w:r>
      <w:r>
        <w:t xml:space="preserve">Jr. (+2.37). Much of this pattern comes from the peers</w:t>
      </w:r>
      <w:r>
        <w:t xml:space="preserve"> </w:t>
      </w:r>
      <w:r>
        <w:t xml:space="preserve">themselves: they grew 7.0% a year on average before 1997 and</w:t>
      </w:r>
      <w:r>
        <w:t xml:space="preserve"> </w:t>
      </w:r>
      <w:r>
        <w:t xml:space="preserve">3.8% since, while the Philippines grew 4.0% before</w:t>
      </w:r>
      <w:r>
        <w:t xml:space="preserve"> </w:t>
      </w:r>
      <w:r>
        <w:t xml:space="preserve">1997 and 5.1% in 2011–2025. A peer-relative premium therefore mixes</w:t>
      </w:r>
      <w:r>
        <w:t xml:space="preserve"> </w:t>
      </w:r>
      <w:r>
        <w:t xml:space="preserve">the Philippines’ record with its neighbours’. Even so, the shift test cannot reject</w:t>
      </w:r>
      <w:r>
        <w:t xml:space="preserve"> </w:t>
      </w:r>
      <w:r>
        <w:t xml:space="preserve">equal premiums on this measure either (p = 0.77).</w:t>
      </w:r>
    </w:p>
    <w:bookmarkEnd w:id="17"/>
    <w:bookmarkStart w:id="18" w:name="how-much-is-luck-1"/>
    <w:p>
      <w:pPr>
        <w:pStyle w:val="Heading2"/>
      </w:pPr>
      <w:r>
        <w:t xml:space="preserve">3.2 How much is luck?</w:t>
      </w:r>
    </w:p>
    <w:p>
      <w:pPr>
        <w:pStyle w:val="FirstParagraph"/>
      </w:pPr>
      <w:r>
        <w:t xml:space="preserve">Table 4 and Figure 2 split each premium into its explained and unexplained</w:t>
      </w:r>
      <w:r>
        <w:t xml:space="preserve"> </w:t>
      </w:r>
      <w:r>
        <w:t xml:space="preserve">parts. Jointly the shocks matter (p &lt; 0.001 for the test that all their</w:t>
      </w:r>
      <w:r>
        <w:t xml:space="preserve"> </w:t>
      </w:r>
      <w:r>
        <w:t xml:space="preserve">coefficients are zero), but not equally. World financial conditions are the</w:t>
      </w:r>
      <w:r>
        <w:t xml:space="preserve"> </w:t>
      </w:r>
      <w:r>
        <w:t xml:space="preserve">clearest: tighter credit markets abroad predict slower Philippine growth (p =</w:t>
      </w:r>
      <w:r>
        <w:t xml:space="preserve"> </w:t>
      </w:r>
      <w:r>
        <w:t xml:space="preserve">0.005). Oil prices matter at the 10% level (p = 0.09). US</w:t>
      </w:r>
      <w:r>
        <w:t xml:space="preserve"> </w:t>
      </w:r>
      <w:r>
        <w:t xml:space="preserve">demand (p = 0.53) and El Niño (p = 0.84) add little,</w:t>
      </w:r>
      <w:r>
        <w:t xml:space="preserve"> </w:t>
      </w:r>
      <w:r>
        <w:t xml:space="preserve">and the US-demand coefficients even sum to a negative number</w:t>
      </w:r>
      <w:r>
        <w:t xml:space="preserve"> </w:t>
      </w:r>
      <w:r>
        <w:t xml:space="preserve">(-1.01).</w:t>
      </w:r>
    </w:p>
    <w:p>
      <w:pPr>
        <w:pStyle w:val="BodyText"/>
      </w:pPr>
      <w:r>
        <w:t xml:space="preserve">Luck explains a share S = 0.48 of the spread of premiums, which by our</w:t>
      </w:r>
      <w:r>
        <w:t xml:space="preserve"> </w:t>
      </w:r>
      <w:r>
        <w:t xml:space="preserve">pre-set rule supports H2a (about half), the same order as in the United States. This</w:t>
      </w:r>
      <w:r>
        <w:t xml:space="preserve"> </w:t>
      </w:r>
      <w:r>
        <w:t xml:space="preserve">number should be read with care. Much of it comes from the 11 crisis quarters</w:t>
      </w:r>
      <w:r>
        <w:t xml:space="preserve"> </w:t>
      </w:r>
      <w:r>
        <w:t xml:space="preserve">of Marcos Sr. in the joint sample, where the model attributes</w:t>
      </w:r>
      <w:r>
        <w:t xml:space="preserve"> </w:t>
      </w:r>
      <w:r>
        <w:t xml:space="preserve">-2.67 points to US demand: the United States was booming in</w:t>
      </w:r>
      <w:r>
        <w:t xml:space="preserve"> </w:t>
      </w:r>
      <w:r>
        <w:t xml:space="preserve">1984 while the Philippines collapsed. That is an accident of timing, not a</w:t>
      </w:r>
      <w:r>
        <w:t xml:space="preserve"> </w:t>
      </w:r>
      <w:r>
        <w:t xml:space="preserve">plausible channel. Without 1984–85, S falls to 0.12; with a</w:t>
      </w:r>
      <w:r>
        <w:t xml:space="preserve"> </w:t>
      </w:r>
      <w:r>
        <w:t xml:space="preserve">broader measure of foreign demand (the United States, Japan and the euro area,</w:t>
      </w:r>
      <w:r>
        <w:t xml:space="preserve"> </w:t>
      </w:r>
      <w:r>
        <w:t xml:space="preserve">from 1997) it is 0.11; with other timing conventions it ranges</w:t>
      </w:r>
      <w:r>
        <w:t xml:space="preserve"> </w:t>
      </w:r>
      <w:r>
        <w:t xml:space="preserve">from 0.33 to 0.40 (Table 7). We therefore do not</w:t>
      </w:r>
      <w:r>
        <w:t xml:space="preserve"> </w:t>
      </w:r>
      <w:r>
        <w:t xml:space="preserve">claim that luck explains half of the differences. We claim only that the</w:t>
      </w:r>
      <w:r>
        <w:t xml:space="preserve"> </w:t>
      </w:r>
      <w:r>
        <w:t xml:space="preserve">measured shocks explain a modest and uncertain share.</w:t>
      </w:r>
    </w:p>
    <w:p>
      <w:pPr>
        <w:pStyle w:val="BodyText"/>
      </w:pPr>
      <w:r>
        <w:t xml:space="preserve">For individual administrations, luck explains about half of the Aquino III</w:t>
      </w:r>
      <w:r>
        <w:t xml:space="preserve"> </w:t>
      </w:r>
      <w:r>
        <w:t xml:space="preserve">premium (+1.04 of +2.14 points, s.e.</w:t>
      </w:r>
      <w:r>
        <w:t xml:space="preserve"> </w:t>
      </w:r>
      <w:r>
        <w:t xml:space="preserve">0.78), mainly through oil prices (+0.54) and</w:t>
      </w:r>
      <w:r>
        <w:t xml:space="preserve"> </w:t>
      </w:r>
      <w:r>
        <w:t xml:space="preserve">US demand (+0.32). For Marcos Jr., the premium on the joint sample is</w:t>
      </w:r>
      <w:r>
        <w:t xml:space="preserve"> </w:t>
      </w:r>
      <w:r>
        <w:t xml:space="preserve">+0.49 points, of which +0.33 (s.e.</w:t>
      </w:r>
      <w:r>
        <w:t xml:space="preserve"> </w:t>
      </w:r>
      <w:r>
        <w:t xml:space="preserve">0.24) is explained, mostly by easier world financial</w:t>
      </w:r>
      <w:r>
        <w:t xml:space="preserve"> </w:t>
      </w:r>
      <w:r>
        <w:t xml:space="preserve">conditions (+0.40, partly offset by oil, -0.13),</w:t>
      </w:r>
      <w:r>
        <w:t xml:space="preserve"> </w:t>
      </w:r>
      <w:r>
        <w:t xml:space="preserve">leaving +0.16 unexplained. For Duterte the figures are</w:t>
      </w:r>
      <w:r>
        <w:t xml:space="preserve"> </w:t>
      </w:r>
      <w:r>
        <w:t xml:space="preserve">+0.63, +0.45 and +0.17.</w:t>
      </w:r>
    </w:p>
    <w:bookmarkEnd w:id="18"/>
    <w:bookmarkStart w:id="19" w:name="is-early-growth-inherited"/>
    <w:p>
      <w:pPr>
        <w:pStyle w:val="Heading2"/>
      </w:pPr>
      <w:r>
        <w:t xml:space="preserve">3.3 Is early growth inherited?</w:t>
      </w:r>
    </w:p>
    <w:p>
      <w:pPr>
        <w:pStyle w:val="FirstParagraph"/>
      </w:pPr>
      <w:r>
        <w:t xml:space="preserve">Table 5 and Figure 4 compare first-year growth with what the two models</w:t>
      </w:r>
      <w:r>
        <w:t xml:space="preserve"> </w:t>
      </w:r>
      <w:r>
        <w:t xml:space="preserve">predicted at the start of each term. The bounce-back model predicted strong</w:t>
      </w:r>
      <w:r>
        <w:t xml:space="preserve"> </w:t>
      </w:r>
      <w:r>
        <w:t xml:space="preserve">first years for both administrations that took over after a collapse. For C.</w:t>
      </w:r>
      <w:r>
        <w:t xml:space="preserve"> </w:t>
      </w:r>
      <w:r>
        <w:t xml:space="preserve">Aquino it predicted 4.64%, against 4.51%</w:t>
      </w:r>
      <w:r>
        <w:t xml:space="preserve"> </w:t>
      </w:r>
      <w:r>
        <w:t xml:space="preserve">actual. For Marcos Jr. it predicted 4.88%, against</w:t>
      </w:r>
      <w:r>
        <w:t xml:space="preserve"> </w:t>
      </w:r>
      <w:r>
        <w:t xml:space="preserve">5.75% actual (the sample mean is 3.70%). By our</w:t>
      </w:r>
      <w:r>
        <w:t xml:space="preserve"> </w:t>
      </w:r>
      <w:r>
        <w:t xml:space="preserve">pre-set rule, the third hypothesis is supported for C. Aquino and</w:t>
      </w:r>
      <w:r>
        <w:t xml:space="preserve"> </w:t>
      </w:r>
      <w:r>
        <w:t xml:space="preserve">supported for Marcos Jr.: a large part of their strong first years</w:t>
      </w:r>
      <w:r>
        <w:t xml:space="preserve"> </w:t>
      </w:r>
      <w:r>
        <w:t xml:space="preserve">was already under way. Duterte’s first year (7.14% against a</w:t>
      </w:r>
      <w:r>
        <w:t xml:space="preserve"> </w:t>
      </w:r>
      <w:r>
        <w:t xml:space="preserve">forecast of 4.81%) and Ramos’s (2.34% against</w:t>
      </w:r>
      <w:r>
        <w:t xml:space="preserve"> </w:t>
      </w:r>
      <w:r>
        <w:t xml:space="preserve">1.05%) beat the forecasts.</w:t>
      </w:r>
    </w:p>
    <w:bookmarkEnd w:id="19"/>
    <w:bookmarkStart w:id="20" w:name="the-current-administration-in-context"/>
    <w:p>
      <w:pPr>
        <w:pStyle w:val="Heading2"/>
      </w:pPr>
      <w:r>
        <w:t xml:space="preserve">3.4 The current administration in context</w:t>
      </w:r>
    </w:p>
    <w:p>
      <w:pPr>
        <w:pStyle w:val="FirstParagraph"/>
      </w:pPr>
      <w:r>
        <w:t xml:space="preserve">Table 6 and Figure 5 compare administrations over their first</w:t>
      </w:r>
      <w:r>
        <w:t xml:space="preserve"> </w:t>
      </w:r>
      <w:r>
        <w:t xml:space="preserve">15 quarters. Marcos Jr. averaged 4.59% a</w:t>
      </w:r>
      <w:r>
        <w:t xml:space="preserve"> </w:t>
      </w:r>
      <w:r>
        <w:t xml:space="preserve">year (4.26% after removing the fitted luck component). This</w:t>
      </w:r>
      <w:r>
        <w:t xml:space="preserve"> </w:t>
      </w:r>
      <w:r>
        <w:t xml:space="preserve">is within the range of C. Aquino (5.17%), Ramos</w:t>
      </w:r>
      <w:r>
        <w:t xml:space="preserve"> </w:t>
      </w:r>
      <w:r>
        <w:t xml:space="preserve">(4.54%), Arroyo (5.09%) and Aquino III</w:t>
      </w:r>
      <w:r>
        <w:t xml:space="preserve"> </w:t>
      </w:r>
      <w:r>
        <w:t xml:space="preserve">(6.02%; 4.29% luck-adjusted). Duterte’s</w:t>
      </w:r>
      <w:r>
        <w:t xml:space="preserve"> </w:t>
      </w:r>
      <w:r>
        <w:t xml:space="preserve">first 15 quarters (1.24%) end with the</w:t>
      </w:r>
      <w:r>
        <w:t xml:space="preserve"> </w:t>
      </w:r>
      <w:r>
        <w:t xml:space="preserve">pandemic collapse of 2020Q2. No difference from Marcos Jr. exceeds</w:t>
      </w:r>
      <w:r>
        <w:t xml:space="preserve"> </w:t>
      </w:r>
      <w:r>
        <w:t xml:space="preserve">1.4 standard errors.</w:t>
      </w:r>
    </w:p>
    <w:p>
      <w:pPr>
        <w:pStyle w:val="BodyText"/>
      </w:pPr>
      <w:r>
        <w:t xml:space="preserve">The annual scorecard (Table 8) adds other measures. In 2023–2025, GDP growth</w:t>
      </w:r>
      <w:r>
        <w:t xml:space="preserve"> </w:t>
      </w:r>
      <w:r>
        <w:t xml:space="preserve">averaged 5.08% (z = +0.28), growth per person</w:t>
      </w:r>
      <w:r>
        <w:t xml:space="preserve"> </w:t>
      </w:r>
      <w:r>
        <w:t xml:space="preserve">4.36% (+0.68), growth relative to peers</w:t>
      </w:r>
      <w:r>
        <w:t xml:space="preserve"> </w:t>
      </w:r>
      <w:r>
        <w:t xml:space="preserve">1.14 points (+0.69), inflation</w:t>
      </w:r>
      <w:r>
        <w:t xml:space="preserve"> </w:t>
      </w:r>
      <w:r>
        <w:t xml:space="preserve">3.62% (-0.58) and unemployment</w:t>
      </w:r>
      <w:r>
        <w:t xml:space="preserve"> </w:t>
      </w:r>
      <w:r>
        <w:t xml:space="preserve">2.21% (-1.90), the lowest</w:t>
      </w:r>
      <w:r>
        <w:t xml:space="preserve"> </w:t>
      </w:r>
      <w:r>
        <w:t xml:space="preserve">administration average on this series, which starts in 1991. A z-score expresses each</w:t>
      </w:r>
      <w:r>
        <w:t xml:space="preserve"> </w:t>
      </w:r>
      <w:r>
        <w:t xml:space="preserve">measure in</w:t>
      </w:r>
      <w:r>
        <w:t xml:space="preserve"> </w:t>
      </w:r>
      <w:r>
        <w:t xml:space="preserve">“typical swings”</w:t>
      </w:r>
      <w:r>
        <w:t xml:space="preserve"> </w:t>
      </w:r>
      <w:r>
        <w:t xml:space="preserve">from its long-run average: z = (administration mean</w:t>
      </w:r>
      <w:r>
        <w:t xml:space="preserve"> </w:t>
      </w:r>
      <w:r>
        <w:t xml:space="preserve">− long-run mean) / standard deviation of the annual values.</w:t>
      </w:r>
    </w:p>
    <w:bookmarkEnd w:id="20"/>
    <w:bookmarkStart w:id="21" w:name="robustness"/>
    <w:p>
      <w:pPr>
        <w:pStyle w:val="Heading2"/>
      </w:pPr>
      <w:r>
        <w:t xml:space="preserve">3.5 Robustness</w:t>
      </w:r>
    </w:p>
    <w:p>
      <w:pPr>
        <w:pStyle w:val="FirstParagraph"/>
      </w:pPr>
      <w:r>
        <w:t xml:space="preserve">Table 7 repeats the main statistics under every check that was specified in</w:t>
      </w:r>
      <w:r>
        <w:t xml:space="preserve"> </w:t>
      </w:r>
      <w:r>
        <w:t xml:space="preserve">advance. The conclusion that differences are within chance holds throughout</w:t>
      </w:r>
      <w:r>
        <w:t xml:space="preserve"> </w:t>
      </w:r>
      <w:r>
        <w:t xml:space="preserve">(the shift-test p never falls below 0.26). The Aquino III premium</w:t>
      </w:r>
      <w:r>
        <w:t xml:space="preserve"> </w:t>
      </w:r>
      <w:r>
        <w:t xml:space="preserve">stays between 1.83 and 2.77 points, and</w:t>
      </w:r>
      <w:r>
        <w:t xml:space="preserve"> </w:t>
      </w:r>
      <w:r>
        <w:t xml:space="preserve">the Marcos Jr. premium between 0.18 and</w:t>
      </w:r>
      <w:r>
        <w:t xml:space="preserve"> </w:t>
      </w:r>
      <w:r>
        <w:t xml:space="preserve">0.83. The luck share is the fragile result, as discussed in</w:t>
      </w:r>
      <w:r>
        <w:t xml:space="preserve"> </w:t>
      </w:r>
      <w:r>
        <w:t xml:space="preserve">Section 3.2.</w:t>
      </w:r>
    </w:p>
    <w:bookmarkEnd w:id="21"/>
    <w:bookmarkEnd w:id="22"/>
    <w:bookmarkStart w:id="23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rPr>
          <w:b/>
          <w:bCs/>
        </w:rPr>
        <w:t xml:space="preserve">Findings.</w:t>
      </w:r>
      <w:r>
        <w:t xml:space="preserve"> </w:t>
      </w:r>
      <w:r>
        <w:t xml:space="preserve">Philippine growth has differed across administrations by less than</w:t>
      </w:r>
      <w:r>
        <w:t xml:space="preserve"> </w:t>
      </w:r>
      <w:r>
        <w:t xml:space="preserve">headline debates suggest. With one exception, the differences are within what</w:t>
      </w:r>
      <w:r>
        <w:t xml:space="preserve"> </w:t>
      </w:r>
      <w:r>
        <w:t xml:space="preserve">chance would produce, and the one robust exception (Aquino III) owes about half</w:t>
      </w:r>
      <w:r>
        <w:t xml:space="preserve"> </w:t>
      </w:r>
      <w:r>
        <w:t xml:space="preserve">of its premium to favourable oil prices and financial conditions. The sharpest</w:t>
      </w:r>
      <w:r>
        <w:t xml:space="preserve"> </w:t>
      </w:r>
      <w:r>
        <w:t xml:space="preserve">contrast is with the neighbours: the Philippines fell far behind Indonesia,</w:t>
      </w:r>
      <w:r>
        <w:t xml:space="preserve"> </w:t>
      </w:r>
      <w:r>
        <w:t xml:space="preserve">Malaysia and Thailand in the 1980s and has grown faster than them since 2011.</w:t>
      </w:r>
      <w:r>
        <w:t xml:space="preserve"> </w:t>
      </w:r>
      <w:r>
        <w:t xml:space="preserve">Unlike in the United States, we cannot say with confidence that luck explains</w:t>
      </w:r>
      <w:r>
        <w:t xml:space="preserve"> </w:t>
      </w:r>
      <w:r>
        <w:t xml:space="preserve">about half of the differences; the share depends on a few crisis quarters. The</w:t>
      </w:r>
      <w:r>
        <w:t xml:space="preserve"> </w:t>
      </w:r>
      <w:r>
        <w:t xml:space="preserve">current administration’s growth so far is close to the long-run average, its</w:t>
      </w:r>
      <w:r>
        <w:t xml:space="preserve"> </w:t>
      </w:r>
      <w:r>
        <w:t xml:space="preserve">strong start was largely predictable, and its record is indistinguishable from</w:t>
      </w:r>
      <w:r>
        <w:t xml:space="preserve"> </w:t>
      </w:r>
      <w:r>
        <w:t xml:space="preserve">its predecessors’ at the same point in the term.</w:t>
      </w:r>
    </w:p>
    <w:p>
      <w:pPr>
        <w:pStyle w:val="BodyText"/>
      </w:pPr>
      <w:r>
        <w:rPr>
          <w:b/>
          <w:bCs/>
        </w:rPr>
        <w:t xml:space="preserve">What this means for reading growth claims (Objective 3).</w:t>
      </w:r>
      <w:r>
        <w:t xml:space="preserve"> </w:t>
      </w:r>
      <w:r>
        <w:t xml:space="preserve">A quarter or a</w:t>
      </w:r>
      <w:r>
        <w:t xml:space="preserve"> </w:t>
      </w:r>
      <w:r>
        <w:t xml:space="preserve">year of fast growth says little about a president. A fair reading of any</w:t>
      </w:r>
      <w:r>
        <w:t xml:space="preserve"> </w:t>
      </w:r>
      <w:r>
        <w:t xml:space="preserve">administration’s record should show three numbers together: the raw average,</w:t>
      </w:r>
      <w:r>
        <w:t xml:space="preserve"> </w:t>
      </w:r>
      <w:r>
        <w:t xml:space="preserve">the average after removing world shocks, and the comparison with the same</w:t>
      </w:r>
      <w:r>
        <w:t xml:space="preserve"> </w:t>
      </w:r>
      <w:r>
        <w:t xml:space="preserve">point in earlier terms, each with its uncertainty. Our tables provide these</w:t>
      </w:r>
      <w:r>
        <w:t xml:space="preserve"> </w:t>
      </w:r>
      <w:r>
        <w:t xml:space="preserve">for every administration since 1981 and can be updated each quarter.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There are only eight administrations in the quarterly sample,</w:t>
      </w:r>
      <w:r>
        <w:t xml:space="preserve"> </w:t>
      </w:r>
      <w:r>
        <w:t xml:space="preserve">so every estimate is imprecise. The unexplained premium is not a measure of</w:t>
      </w:r>
      <w:r>
        <w:t xml:space="preserve"> </w:t>
      </w:r>
      <w:r>
        <w:t xml:space="preserve">policy: it contains unmeasured luck, such as typhoons (for which we found no</w:t>
      </w:r>
      <w:r>
        <w:t xml:space="preserve"> </w:t>
      </w:r>
      <w:r>
        <w:t xml:space="preserve">long official quarterly series), remittance flows and domestic political</w:t>
      </w:r>
      <w:r>
        <w:t xml:space="preserve"> </w:t>
      </w:r>
      <w:r>
        <w:t xml:space="preserve">shocks, and it cannot separate the president from Congress, the independent</w:t>
      </w:r>
      <w:r>
        <w:t xml:space="preserve"> </w:t>
      </w:r>
      <w:r>
        <w:t xml:space="preserve">central bank (since 1993) or past decisions. Quarterly data begin in 1981, so</w:t>
      </w:r>
      <w:r>
        <w:t xml:space="preserve"> </w:t>
      </w:r>
      <w:r>
        <w:t xml:space="preserve">the earlier administrations enter only the annual analysis, and the national</w:t>
      </w:r>
      <w:r>
        <w:t xml:space="preserve"> </w:t>
      </w:r>
      <w:r>
        <w:t xml:space="preserve">accounts of the Marcos years are themselves debated. The Marcos Jr. term is</w:t>
      </w:r>
      <w:r>
        <w:t xml:space="preserve"> </w:t>
      </w:r>
      <w:r>
        <w:t xml:space="preserve">incomplete.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Measured carefully, the growth record of Philippine presidents</w:t>
      </w:r>
      <w:r>
        <w:t xml:space="preserve"> </w:t>
      </w:r>
      <w:r>
        <w:t xml:space="preserve">is mostly a story of shared fortunes and wide uncertainty, not of large and</w:t>
      </w:r>
      <w:r>
        <w:t xml:space="preserve"> </w:t>
      </w:r>
      <w:r>
        <w:t xml:space="preserve">reliable differences between administrations.</w:t>
      </w:r>
    </w:p>
    <w:bookmarkEnd w:id="23"/>
    <w:bookmarkStart w:id="24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none (personal research).</w:t>
      </w:r>
      <w:r>
        <w:t xml:space="preserve"> </w:t>
      </w:r>
      <w:r>
        <w:rPr>
          <w:b/>
          <w:bCs/>
        </w:rPr>
        <w:t xml:space="preserve">Conflicts of interest: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Data and code availability:</w:t>
      </w:r>
      <w:r>
        <w:t xml:space="preserve"> </w:t>
      </w:r>
      <w:r>
        <w:t xml:space="preserve">all data are public; the replication package</w:t>
      </w:r>
      <w:r>
        <w:t xml:space="preserve"> </w:t>
      </w:r>
      <w:r>
        <w:t xml:space="preserve">(raw files, code and a one-command rebuild) is available at [repository URL to</w:t>
      </w:r>
      <w:r>
        <w:t xml:space="preserve"> </w:t>
      </w:r>
      <w:r>
        <w:t xml:space="preserve">be inserted].</w:t>
      </w:r>
      <w:r>
        <w:t xml:space="preserve"> </w:t>
      </w:r>
      <w:r>
        <w:rPr>
          <w:b/>
          <w:bCs/>
        </w:rPr>
        <w:t xml:space="preserve">Use of AI tools:</w:t>
      </w:r>
      <w:r>
        <w:t xml:space="preserve"> </w:t>
      </w:r>
      <w:r>
        <w:t xml:space="preserve">[author to complete; the code, analysis and</w:t>
      </w:r>
      <w:r>
        <w:t xml:space="preserve"> </w:t>
      </w:r>
      <w:r>
        <w:t xml:space="preserve">draft were prepared with the assistance of Claude Code (Anthropic), and all</w:t>
      </w:r>
      <w:r>
        <w:t xml:space="preserve"> </w:t>
      </w:r>
      <w:r>
        <w:t xml:space="preserve">results were checked by the author.]</w:t>
      </w:r>
    </w:p>
    <w:bookmarkEnd w:id="24"/>
    <w:bookmarkStart w:id="41" w:name="references"/>
    <w:p>
      <w:pPr>
        <w:pStyle w:val="Heading1"/>
      </w:pPr>
      <w:r>
        <w:t xml:space="preserve">References</w:t>
      </w:r>
    </w:p>
    <w:bookmarkStart w:id="40" w:name="refs"/>
    <w:bookmarkStart w:id="26" w:name="ref-alesina1997cycles"/>
    <w:p>
      <w:pPr>
        <w:pStyle w:val="Bibliography"/>
      </w:pPr>
      <w:r>
        <w:t xml:space="preserve">Alesina, Alberto, Nouriel Roubini, and Gerald D. Cohen. 1997.</w:t>
      </w:r>
      <w:r>
        <w:t xml:space="preserve"> </w:t>
      </w:r>
      <w:r>
        <w:rPr>
          <w:i/>
          <w:iCs/>
        </w:rPr>
        <w:t xml:space="preserve">Political Cycles and the Macroeconomy</w:t>
      </w:r>
      <w:r>
        <w:t xml:space="preserve">. MIT Press.</w:t>
      </w:r>
      <w:r>
        <w:t xml:space="preserve"> </w:t>
      </w:r>
      <w:hyperlink r:id="rId25">
        <w:r>
          <w:rPr>
            <w:rStyle w:val="Hyperlink"/>
          </w:rPr>
          <w:t xml:space="preserve">https://doi.org/10.7551/mitpress/5437.001.0001</w:t>
        </w:r>
      </w:hyperlink>
      <w:r>
        <w:t xml:space="preserve">.</w:t>
      </w:r>
    </w:p>
    <w:bookmarkEnd w:id="26"/>
    <w:bookmarkStart w:id="28" w:name="ref-balisacan2003philippine"/>
    <w:p>
      <w:pPr>
        <w:pStyle w:val="Bibliography"/>
      </w:pPr>
      <w:r>
        <w:t xml:space="preserve">Balisacan, Arsenio M., and Hal Hill, eds. 2003.</w:t>
      </w:r>
      <w:r>
        <w:t xml:space="preserve"> </w:t>
      </w:r>
      <w:r>
        <w:rPr>
          <w:i/>
          <w:iCs/>
        </w:rPr>
        <w:t xml:space="preserve">The Philippine Economy: Development, Policies, and Challenges</w:t>
      </w:r>
      <w:r>
        <w:t xml:space="preserve">. Oxford University Press.</w:t>
      </w:r>
      <w:r>
        <w:t xml:space="preserve"> </w:t>
      </w:r>
      <w:hyperlink r:id="rId27">
        <w:r>
          <w:rPr>
            <w:rStyle w:val="Hyperlink"/>
          </w:rPr>
          <w:t xml:space="preserve">https://doi.org/10.1093/0195158989.001.0001</w:t>
        </w:r>
      </w:hyperlink>
      <w:r>
        <w:t xml:space="preserve">.</w:t>
      </w:r>
    </w:p>
    <w:bookmarkEnd w:id="28"/>
    <w:bookmarkStart w:id="30" w:name="ref-blinder2016presidents"/>
    <w:p>
      <w:pPr>
        <w:pStyle w:val="Bibliography"/>
      </w:pPr>
      <w:r>
        <w:t xml:space="preserve">Blinder, Alan S., and Mark W. Watson. 2016.</w:t>
      </w:r>
      <w:r>
        <w:t xml:space="preserve"> </w:t>
      </w:r>
      <w:r>
        <w:t xml:space="preserve">“Presidents and the</w:t>
      </w:r>
      <w:r>
        <w:t xml:space="preserve"> </w:t>
      </w:r>
      <w:r>
        <w:t xml:space="preserve">US</w:t>
      </w:r>
      <w:r>
        <w:t xml:space="preserve"> </w:t>
      </w:r>
      <w:r>
        <w:t xml:space="preserve">Economy: An Econometric Exploration.”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106 (4): 1015–45.</w:t>
      </w:r>
      <w:r>
        <w:t xml:space="preserve"> </w:t>
      </w:r>
      <w:hyperlink r:id="rId29">
        <w:r>
          <w:rPr>
            <w:rStyle w:val="Hyperlink"/>
          </w:rPr>
          <w:t xml:space="preserve">https://doi.org/10.1257/aer.20140913</w:t>
        </w:r>
      </w:hyperlink>
      <w:r>
        <w:t xml:space="preserve">.</w:t>
      </w:r>
    </w:p>
    <w:bookmarkEnd w:id="30"/>
    <w:bookmarkStart w:id="32" w:name="ref-clarete2018philippine"/>
    <w:p>
      <w:pPr>
        <w:pStyle w:val="Bibliography"/>
      </w:pPr>
      <w:r>
        <w:t xml:space="preserve">Clarete, Ramon L., Emmanuel F. Esguerra, and Hal Hill, eds. 2018.</w:t>
      </w:r>
      <w:r>
        <w:t xml:space="preserve"> </w:t>
      </w:r>
      <w:r>
        <w:rPr>
          <w:i/>
          <w:iCs/>
        </w:rPr>
        <w:t xml:space="preserve">The Philippine Economy: No Longer the East Asian Exception?</w:t>
      </w:r>
      <w:r>
        <w:t xml:space="preserve"> ISEAS–Yusof Ishak Institute.</w:t>
      </w:r>
      <w:r>
        <w:t xml:space="preserve"> </w:t>
      </w:r>
      <w:hyperlink r:id="rId31">
        <w:r>
          <w:rPr>
            <w:rStyle w:val="Hyperlink"/>
          </w:rPr>
          <w:t xml:space="preserve">https://doi.org/10.1355/9789814786621</w:t>
        </w:r>
      </w:hyperlink>
      <w:r>
        <w:t xml:space="preserve">.</w:t>
      </w:r>
    </w:p>
    <w:bookmarkEnd w:id="32"/>
    <w:bookmarkStart w:id="34" w:name="ref-gilchrist2012credit"/>
    <w:p>
      <w:pPr>
        <w:pStyle w:val="Bibliography"/>
      </w:pPr>
      <w:r>
        <w:t xml:space="preserve">Gilchrist, Simon, and Egon Zakrajšek. 2012.</w:t>
      </w:r>
      <w:r>
        <w:t xml:space="preserve"> </w:t>
      </w:r>
      <w:r>
        <w:t xml:space="preserve">“Credit Spreads and Business Cycle Fluctuations.”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102 (4): 1692–720.</w:t>
      </w:r>
      <w:r>
        <w:t xml:space="preserve"> </w:t>
      </w:r>
      <w:hyperlink r:id="rId33">
        <w:r>
          <w:rPr>
            <w:rStyle w:val="Hyperlink"/>
          </w:rPr>
          <w:t xml:space="preserve">https://doi.org/10.1257/aer.102.4.1692</w:t>
        </w:r>
      </w:hyperlink>
      <w:r>
        <w:t xml:space="preserve">.</w:t>
      </w:r>
    </w:p>
    <w:bookmarkEnd w:id="34"/>
    <w:bookmarkStart w:id="36" w:name="ref-hamilton2003oil"/>
    <w:p>
      <w:pPr>
        <w:pStyle w:val="Bibliography"/>
      </w:pPr>
      <w:r>
        <w:t xml:space="preserve">Hamilton, James D. 2003.</w:t>
      </w:r>
      <w:r>
        <w:t xml:space="preserve"> </w:t>
      </w:r>
      <w:r>
        <w:t xml:space="preserve">“What Is an Oil Shock?”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113 (2): 363–98.</w:t>
      </w:r>
      <w:r>
        <w:t xml:space="preserve"> </w:t>
      </w:r>
      <w:hyperlink r:id="rId35">
        <w:r>
          <w:rPr>
            <w:rStyle w:val="Hyperlink"/>
          </w:rPr>
          <w:t xml:space="preserve">https://doi.org/10.1016/S0304-4076(02)00207-5</w:t>
        </w:r>
      </w:hyperlink>
      <w:r>
        <w:t xml:space="preserve">.</w:t>
      </w:r>
    </w:p>
    <w:bookmarkEnd w:id="36"/>
    <w:bookmarkStart w:id="38" w:name="ref-newey1987hac"/>
    <w:p>
      <w:pPr>
        <w:pStyle w:val="Bibliography"/>
      </w:pPr>
      <w:r>
        <w:t xml:space="preserve">Newey, Whitney K., and Kenneth D. West. 1987.</w:t>
      </w:r>
      <w:r>
        <w:t xml:space="preserve"> </w:t>
      </w:r>
      <w:r>
        <w:t xml:space="preserve">“A Simple, Positive Semi-Definite, Heteroskedasticity and Autocorrelation Consistent Covariance Matrix.”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55 (3): 703–8.</w:t>
      </w:r>
      <w:r>
        <w:t xml:space="preserve"> </w:t>
      </w:r>
      <w:hyperlink r:id="rId37">
        <w:r>
          <w:rPr>
            <w:rStyle w:val="Hyperlink"/>
          </w:rPr>
          <w:t xml:space="preserve">https://doi.org/10.2307/1913610</w:t>
        </w:r>
      </w:hyperlink>
      <w:r>
        <w:t xml:space="preserve">.</w:t>
      </w:r>
    </w:p>
    <w:bookmarkEnd w:id="38"/>
    <w:bookmarkStart w:id="39" w:name="ref-census2017x13"/>
    <w:p>
      <w:pPr>
        <w:pStyle w:val="Bibliography"/>
      </w:pPr>
      <w:r>
        <w:t xml:space="preserve">U.S. Census Bureau. 2017.</w:t>
      </w:r>
      <w:r>
        <w:t xml:space="preserve"> </w:t>
      </w:r>
      <w:r>
        <w:rPr>
          <w:i/>
          <w:iCs/>
        </w:rPr>
        <w:t xml:space="preserve">X-13ARIMA-SEATS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 Manual, Version 1.1</w:t>
      </w:r>
      <w:r>
        <w:t xml:space="preserve">. U.S. Census Bureau.</w:t>
      </w:r>
    </w:p>
    <w:bookmarkEnd w:id="39"/>
    <w:bookmarkEnd w:id="40"/>
    <w:bookmarkEnd w:id="41"/>
    <w:bookmarkStart w:id="42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 Replication of Blinder and Watson (2016) on US data, 1949Q2–2013Q1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This study</w:t>
            </w:r>
          </w:p>
        </w:tc>
        <w:tc>
          <w:tcPr/>
          <w:p>
            <w:pPr>
              <w:pStyle w:val="Compact"/>
            </w:pPr>
            <w:r>
              <w:t xml:space="preserve">Pass range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D mean growth</w:t>
            </w:r>
          </w:p>
        </w:tc>
        <w:tc>
          <w:tcPr/>
          <w:p>
            <w:pPr>
              <w:pStyle w:val="Compact"/>
            </w:pPr>
            <w:r>
              <w:t xml:space="preserve">4.35</w:t>
            </w:r>
          </w:p>
        </w:tc>
        <w:tc>
          <w:tcPr/>
          <w:p>
            <w:pPr>
              <w:pStyle w:val="Compact"/>
            </w:pPr>
            <w:r>
              <w:t xml:space="preserve">4.346</w:t>
            </w:r>
          </w:p>
        </w:tc>
        <w:tc>
          <w:tcPr/>
          <w:p>
            <w:pPr>
              <w:pStyle w:val="Compact"/>
            </w:pPr>
            <w:r>
              <w:t xml:space="preserve">[4.25, 4.45]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R mean growth</w:t>
            </w:r>
          </w:p>
        </w:tc>
        <w:tc>
          <w:tcPr/>
          <w:p>
            <w:pPr>
              <w:pStyle w:val="Compact"/>
            </w:pPr>
            <w:r>
              <w:t xml:space="preserve">2.54</w:t>
            </w:r>
          </w:p>
        </w:tc>
        <w:tc>
          <w:tcPr/>
          <w:p>
            <w:pPr>
              <w:pStyle w:val="Compact"/>
            </w:pPr>
            <w:r>
              <w:t xml:space="preserve">2.543</w:t>
            </w:r>
          </w:p>
        </w:tc>
        <w:tc>
          <w:tcPr/>
          <w:p>
            <w:pPr>
              <w:pStyle w:val="Compact"/>
            </w:pPr>
            <w:r>
              <w:t xml:space="preserve">[2.44, 2.64]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D-R gap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1.803</w:t>
            </w:r>
          </w:p>
        </w:tc>
        <w:tc>
          <w:tcPr/>
          <w:p>
            <w:pPr>
              <w:pStyle w:val="Compact"/>
            </w:pPr>
            <w:r>
              <w:t xml:space="preserve">[1.7, 1.9]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Newey-West (6) s.e. of gap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[0.54, 0.74]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randomization p-value (16 blocks)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[0.0, 0.03]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oil-explained gap, adopted reading: lags 0-6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0.481</w:t>
            </w:r>
          </w:p>
        </w:tc>
        <w:tc>
          <w:tcPr/>
          <w:p>
            <w:pPr>
              <w:pStyle w:val="Compact"/>
            </w:pPr>
            <w:r>
              <w:t xml:space="preserve">[0.4, 0.6]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corr. of term oil effects with Table 7</w:t>
            </w:r>
          </w:p>
        </w:tc>
        <w:tc>
          <w:tcPr/>
          <w:p>
            <w:pPr>
              <w:pStyle w:val="Compact"/>
            </w:pPr>
            <w:r>
              <w:t xml:space="preserve">&gt;=0.90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[0.9, 1.0]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terms with the same sign (of 16)</w:t>
            </w:r>
          </w:p>
        </w:tc>
        <w:tc>
          <w:tcPr/>
          <w:p>
            <w:pPr>
              <w:pStyle w:val="Compact"/>
            </w:pPr>
            <w:r>
              <w:t xml:space="preserve">&gt;=14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[14, 16]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Pass ranges were fixed before the gate was run. Growth is quarterly real GDP growth at a compounded annual rate, ALFRED vintage of 1 July 2014.</w:t>
      </w:r>
    </w:p>
    <w:p>
      <w:pPr>
        <w:pStyle w:val="BodyText"/>
      </w:pPr>
      <w:r>
        <w:rPr>
          <w:b/>
          <w:bCs/>
        </w:rPr>
        <w:t xml:space="preserve">Table 2. Administration premiums in quarterly real GDP growth, 1981Q2–2026Q2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Quarters charged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 growth</w:t>
            </w:r>
          </w:p>
        </w:tc>
        <w:tc>
          <w:tcPr/>
          <w:p>
            <w:pPr>
              <w:pStyle w:val="Compact"/>
            </w:pPr>
            <w:r>
              <w:t xml:space="preserve">Premium (s.e.)</w:t>
            </w:r>
          </w:p>
        </w:tc>
        <w:tc>
          <w:tcPr/>
          <w:p>
            <w:pPr>
              <w:pStyle w:val="Compact"/>
            </w:pPr>
            <w:r>
              <w:t xml:space="preserve">Holm p</w:t>
            </w:r>
          </w:p>
        </w:tc>
        <w:tc>
          <w:tcPr/>
          <w:p>
            <w:pPr>
              <w:pStyle w:val="Compact"/>
            </w:pPr>
            <w:r>
              <w:t xml:space="preserve">Per-person premium (s.e.)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Sr. (1981–86)</w:t>
            </w:r>
          </w:p>
        </w:tc>
        <w:tc>
          <w:tcPr/>
          <w:p>
            <w:pPr>
              <w:pStyle w:val="Compact"/>
            </w:pPr>
            <w:r>
              <w:t xml:space="preserve">1981Q2–1986Q2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-0.20</w:t>
            </w:r>
          </w:p>
        </w:tc>
        <w:tc>
          <w:tcPr/>
          <w:p>
            <w:pPr>
              <w:pStyle w:val="Compact"/>
            </w:pPr>
            <w:r>
              <w:t xml:space="preserve">-4.22* (2.26)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-5.03** (2.30)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1986Q3–1992Q3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3.25</w:t>
            </w:r>
          </w:p>
        </w:tc>
        <w:tc>
          <w:tcPr/>
          <w:p>
            <w:pPr>
              <w:pStyle w:val="Compact"/>
            </w:pPr>
            <w:r>
              <w:t xml:space="preserve">-0.77 (1.38)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-1.35 (1.37)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1992Q4–1998Q3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3.78</w:t>
            </w:r>
          </w:p>
        </w:tc>
        <w:tc>
          <w:tcPr/>
          <w:p>
            <w:pPr>
              <w:pStyle w:val="Compact"/>
            </w:pPr>
            <w:r>
              <w:t xml:space="preserve">-0.24 (0.93)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-0.60 (0.98)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1998Q4–2001Q1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3.48</w:t>
            </w:r>
          </w:p>
        </w:tc>
        <w:tc>
          <w:tcPr/>
          <w:p>
            <w:pPr>
              <w:pStyle w:val="Compact"/>
            </w:pPr>
            <w:r>
              <w:t xml:space="preserve">-0.54 (0.83)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-1.03 (0.86)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2001Q2–2010Q3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5.09</w:t>
            </w:r>
          </w:p>
        </w:tc>
        <w:tc>
          <w:tcPr/>
          <w:p>
            <w:pPr>
              <w:pStyle w:val="Compact"/>
            </w:pPr>
            <w:r>
              <w:t xml:space="preserve">+1.07 (0.70)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+1.13 (0.76)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2010Q4–2016Q3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6.24</w:t>
            </w:r>
          </w:p>
        </w:tc>
        <w:tc>
          <w:tcPr/>
          <w:p>
            <w:pPr>
              <w:pStyle w:val="Compact"/>
            </w:pPr>
            <w:r>
              <w:t xml:space="preserve">+2.22*** (0.72)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+2.43*** (0.79)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2016Q4–2022Q3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4.72</w:t>
            </w:r>
          </w:p>
        </w:tc>
        <w:tc>
          <w:tcPr/>
          <w:p>
            <w:pPr>
              <w:pStyle w:val="Compact"/>
            </w:pPr>
            <w:r>
              <w:t xml:space="preserve">+0.70 (1.84)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+1.54 (1.87)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2022Q4–2026Q2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4.59</w:t>
            </w:r>
          </w:p>
        </w:tc>
        <w:tc>
          <w:tcPr/>
          <w:p>
            <w:pPr>
              <w:pStyle w:val="Compact"/>
            </w:pPr>
            <w:r>
              <w:t xml:space="preserve">+0.56 (0.90)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+1.99** (0.88)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Growth at a compounded annual rate, percent; premium = administration mean minus the sample mean (4.02%). Newey–West standard errors (6 lags) in parentheses. * p &lt; 0.10, ** p &lt; 0.05, *** p &lt; 0.01 (unadjusted). Holm p corrects for the eight tests. Circular-shift test of no differences: p = 0.44 (raw), 0.28 (per person).</w:t>
      </w:r>
    </w:p>
    <w:p>
      <w:pPr>
        <w:pStyle w:val="BodyText"/>
      </w:pPr>
      <w:r>
        <w:rPr>
          <w:b/>
          <w:bCs/>
        </w:rPr>
        <w:t xml:space="preserve">Table 3. Annual premiums, raw and relative to regional peers, 1962–2025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Premium, PSA growth</w:t>
            </w:r>
          </w:p>
        </w:tc>
        <w:tc>
          <w:tcPr/>
          <w:p>
            <w:pPr>
              <w:pStyle w:val="Compact"/>
            </w:pPr>
            <w:r>
              <w:t xml:space="preserve">Premium relative to IDN–MYS–THA</w:t>
            </w:r>
          </w:p>
        </w:tc>
        <w:tc>
          <w:tcPr/>
          <w:p>
            <w:pPr>
              <w:pStyle w:val="Compact"/>
            </w:pPr>
            <w:r>
              <w:t xml:space="preserve">Relative to IDN–MYS–THA–VNM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Macapagal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+0.86</w:t>
            </w:r>
          </w:p>
        </w:tc>
        <w:tc>
          <w:tcPr/>
          <w:p>
            <w:pPr>
              <w:pStyle w:val="Compact"/>
            </w:pPr>
            <w:r>
              <w:t xml:space="preserve">+1.25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Marcos Sr.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-0.46</w:t>
            </w:r>
          </w:p>
        </w:tc>
        <w:tc>
          <w:tcPr/>
          <w:p>
            <w:pPr>
              <w:pStyle w:val="Compact"/>
            </w:pPr>
            <w:r>
              <w:t xml:space="preserve">-1.73</w:t>
            </w:r>
          </w:p>
        </w:tc>
        <w:tc>
          <w:tcPr/>
          <w:p>
            <w:pPr>
              <w:pStyle w:val="Compact"/>
            </w:pPr>
            <w:r>
              <w:t xml:space="preserve">-8.25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-0.84</w:t>
            </w:r>
          </w:p>
        </w:tc>
        <w:tc>
          <w:tcPr/>
          <w:p>
            <w:pPr>
              <w:pStyle w:val="Compact"/>
            </w:pPr>
            <w:r>
              <w:t xml:space="preserve">-3.26</w:t>
            </w:r>
          </w:p>
        </w:tc>
        <w:tc>
          <w:tcPr/>
          <w:p>
            <w:pPr>
              <w:pStyle w:val="Compact"/>
            </w:pPr>
            <w:r>
              <w:t xml:space="preserve">-2.82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-0.63</w:t>
            </w:r>
          </w:p>
        </w:tc>
        <w:tc>
          <w:tcPr/>
          <w:p>
            <w:pPr>
              <w:pStyle w:val="Compact"/>
            </w:pPr>
            <w:r>
              <w:t xml:space="preserve">+0.40</w:t>
            </w:r>
          </w:p>
        </w:tc>
        <w:tc>
          <w:tcPr/>
          <w:p>
            <w:pPr>
              <w:pStyle w:val="Compact"/>
            </w:pPr>
            <w:r>
              <w:t xml:space="preserve">-0.71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-0.37</w:t>
            </w:r>
          </w:p>
        </w:tc>
        <w:tc>
          <w:tcPr/>
          <w:p>
            <w:pPr>
              <w:pStyle w:val="Compact"/>
            </w:pPr>
            <w:r>
              <w:t xml:space="preserve">+0.14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+0.55</w:t>
            </w:r>
          </w:p>
        </w:tc>
        <w:tc>
          <w:tcPr/>
          <w:p>
            <w:pPr>
              <w:pStyle w:val="Compact"/>
            </w:pPr>
            <w:r>
              <w:t xml:space="preserve">+1.23</w:t>
            </w:r>
          </w:p>
        </w:tc>
        <w:tc>
          <w:tcPr/>
          <w:p>
            <w:pPr>
              <w:pStyle w:val="Compact"/>
            </w:pPr>
            <w:r>
              <w:t xml:space="preserve">+0.64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+1.87</w:t>
            </w:r>
          </w:p>
        </w:tc>
        <w:tc>
          <w:tcPr/>
          <w:p>
            <w:pPr>
              <w:pStyle w:val="Compact"/>
            </w:pPr>
            <w:r>
              <w:t xml:space="preserve">+2.90</w:t>
            </w:r>
          </w:p>
        </w:tc>
        <w:tc>
          <w:tcPr/>
          <w:p>
            <w:pPr>
              <w:pStyle w:val="Compact"/>
            </w:pPr>
            <w:r>
              <w:t xml:space="preserve">+2.33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-0.55</w:t>
            </w:r>
          </w:p>
        </w:tc>
        <w:tc>
          <w:tcPr/>
          <w:p>
            <w:pPr>
              <w:pStyle w:val="Compact"/>
            </w:pPr>
            <w:r>
              <w:t xml:space="preserve">+2.16</w:t>
            </w:r>
          </w:p>
        </w:tc>
        <w:tc>
          <w:tcPr/>
          <w:p>
            <w:pPr>
              <w:pStyle w:val="Compact"/>
            </w:pPr>
            <w:r>
              <w:t xml:space="preserve">+1.26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+0.92</w:t>
            </w:r>
          </w:p>
        </w:tc>
        <w:tc>
          <w:tcPr/>
          <w:p>
            <w:pPr>
              <w:pStyle w:val="Compact"/>
            </w:pPr>
            <w:r>
              <w:t xml:space="preserve">+2.37</w:t>
            </w:r>
          </w:p>
        </w:tc>
        <w:tc>
          <w:tcPr/>
          <w:p>
            <w:pPr>
              <w:pStyle w:val="Compact"/>
            </w:pPr>
            <w:r>
              <w:t xml:space="preserve">+1.57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Percentage points. Years charged to the administration in office for most of the year after a one-quarter lag. Dispersion of premiums: 0.82 (raw), 1.99 (relative). Shift-test p: 1.00 (raw), 0.77 (relative). Vietnam data start in 1985, so the last column covers only 1985 for Marcos Sr.</w:t>
      </w:r>
    </w:p>
    <w:p>
      <w:pPr>
        <w:pStyle w:val="BodyText"/>
      </w:pPr>
      <w:r>
        <w:rPr>
          <w:b/>
          <w:bCs/>
        </w:rPr>
        <w:t xml:space="preserve">Table 4. How much of each premium is luck? Joint shock model, 1983Q4-2026Q2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Explained (s.e.)</w:t>
            </w:r>
          </w:p>
        </w:tc>
        <w:tc>
          <w:tcPr/>
          <w:p>
            <w:pPr>
              <w:pStyle w:val="Compact"/>
            </w:pPr>
            <w:r>
              <w:t xml:space="preserve">Unexplained</w:t>
            </w:r>
          </w:p>
        </w:tc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US demand</w:t>
            </w:r>
          </w:p>
        </w:tc>
        <w:tc>
          <w:tcPr/>
          <w:p>
            <w:pPr>
              <w:pStyle w:val="Compact"/>
            </w:pPr>
            <w:r>
              <w:t xml:space="preserve">El Niño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Sr. (1983–86)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-6.97</w:t>
            </w:r>
          </w:p>
        </w:tc>
        <w:tc>
          <w:tcPr/>
          <w:p>
            <w:pPr>
              <w:pStyle w:val="Compact"/>
            </w:pPr>
            <w:r>
              <w:t xml:space="preserve">-2.03 (1.63)</w:t>
            </w:r>
          </w:p>
        </w:tc>
        <w:tc>
          <w:tcPr/>
          <w:p>
            <w:pPr>
              <w:pStyle w:val="Compact"/>
            </w:pPr>
            <w:r>
              <w:t xml:space="preserve">-4.95</w:t>
            </w:r>
          </w:p>
        </w:tc>
        <w:tc>
          <w:tcPr/>
          <w:p>
            <w:pPr>
              <w:pStyle w:val="Compact"/>
            </w:pPr>
            <w:r>
              <w:t xml:space="preserve">+0.59</w:t>
            </w:r>
          </w:p>
        </w:tc>
        <w:tc>
          <w:tcPr/>
          <w:p>
            <w:pPr>
              <w:pStyle w:val="Compact"/>
            </w:pPr>
            <w:r>
              <w:t xml:space="preserve">-2.67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t xml:space="preserve">+0.00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-0.85</w:t>
            </w:r>
          </w:p>
        </w:tc>
        <w:tc>
          <w:tcPr/>
          <w:p>
            <w:pPr>
              <w:pStyle w:val="Compact"/>
            </w:pPr>
            <w:r>
              <w:t xml:space="preserve">-0.22 (0.48)</w:t>
            </w:r>
          </w:p>
        </w:tc>
        <w:tc>
          <w:tcPr/>
          <w:p>
            <w:pPr>
              <w:pStyle w:val="Compact"/>
            </w:pPr>
            <w:r>
              <w:t xml:space="preserve">-0.62</w:t>
            </w:r>
          </w:p>
        </w:tc>
        <w:tc>
          <w:tcPr/>
          <w:p>
            <w:pPr>
              <w:pStyle w:val="Compact"/>
            </w:pPr>
            <w:r>
              <w:t xml:space="preserve">-0.06</w:t>
            </w:r>
          </w:p>
        </w:tc>
        <w:tc>
          <w:tcPr/>
          <w:p>
            <w:pPr>
              <w:pStyle w:val="Compact"/>
            </w:pPr>
            <w: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-0.13</w:t>
            </w:r>
          </w:p>
        </w:tc>
        <w:tc>
          <w:tcPr/>
          <w:p>
            <w:pPr>
              <w:pStyle w:val="Compact"/>
            </w:pPr>
            <w:r>
              <w:t xml:space="preserve">-0.36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-0.32</w:t>
            </w:r>
          </w:p>
        </w:tc>
        <w:tc>
          <w:tcPr/>
          <w:p>
            <w:pPr>
              <w:pStyle w:val="Compact"/>
            </w:pPr>
            <w:r>
              <w:t xml:space="preserve">+0.29 (0.24)</w:t>
            </w:r>
          </w:p>
        </w:tc>
        <w:tc>
          <w:tcPr/>
          <w:p>
            <w:pPr>
              <w:pStyle w:val="Compact"/>
            </w:pPr>
            <w:r>
              <w:t xml:space="preserve">-0.61</w:t>
            </w:r>
          </w:p>
        </w:tc>
        <w:tc>
          <w:tcPr/>
          <w:p>
            <w:pPr>
              <w:pStyle w:val="Compact"/>
            </w:pPr>
            <w:r>
              <w:t xml:space="preserve">+0.28</w:t>
            </w:r>
          </w:p>
        </w:tc>
        <w:tc>
          <w:tcPr/>
          <w:p>
            <w:pPr>
              <w:pStyle w:val="Compact"/>
            </w:pPr>
            <w:r>
              <w:t xml:space="preserve">-0.45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-0.61</w:t>
            </w:r>
          </w:p>
        </w:tc>
        <w:tc>
          <w:tcPr/>
          <w:p>
            <w:pPr>
              <w:pStyle w:val="Compact"/>
            </w:pPr>
            <w:r>
              <w:t xml:space="preserve">-1.90 (1.17)</w:t>
            </w:r>
          </w:p>
        </w:tc>
        <w:tc>
          <w:tcPr/>
          <w:p>
            <w:pPr>
              <w:pStyle w:val="Compact"/>
            </w:pPr>
            <w:r>
              <w:t xml:space="preserve">+1.29</w:t>
            </w:r>
          </w:p>
        </w:tc>
        <w:tc>
          <w:tcPr/>
          <w:p>
            <w:pPr>
              <w:pStyle w:val="Compact"/>
            </w:pPr>
            <w: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-1.03</w:t>
            </w:r>
          </w:p>
        </w:tc>
        <w:tc>
          <w:tcPr/>
          <w:p>
            <w:pPr>
              <w:pStyle w:val="Compact"/>
            </w:pPr>
            <w:r>
              <w:t xml:space="preserve">-0.05</w:t>
            </w:r>
          </w:p>
        </w:tc>
        <w:tc>
          <w:tcPr/>
          <w:p>
            <w:pPr>
              <w:pStyle w:val="Compact"/>
            </w:pPr>
            <w:r>
              <w:t xml:space="preserve">-1.15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+1.00</w:t>
            </w:r>
          </w:p>
        </w:tc>
        <w:tc>
          <w:tcPr/>
          <w:p>
            <w:pPr>
              <w:pStyle w:val="Compact"/>
            </w:pPr>
            <w:r>
              <w:t xml:space="preserve">-0.02 (0.62)</w:t>
            </w:r>
          </w:p>
        </w:tc>
        <w:tc>
          <w:tcPr/>
          <w:p>
            <w:pPr>
              <w:pStyle w:val="Compact"/>
            </w:pPr>
            <w:r>
              <w:t xml:space="preserve">+1.02</w:t>
            </w:r>
          </w:p>
        </w:tc>
        <w:tc>
          <w:tcPr/>
          <w:p>
            <w:pPr>
              <w:pStyle w:val="Compact"/>
            </w:pPr>
            <w:r>
              <w:t xml:space="preserve">-0.76</w:t>
            </w:r>
          </w:p>
        </w:tc>
        <w:tc>
          <w:tcPr/>
          <w:p>
            <w:pPr>
              <w:pStyle w:val="Compact"/>
            </w:pPr>
            <w:r>
              <w:t xml:space="preserve">+0.90</w:t>
            </w:r>
          </w:p>
        </w:tc>
        <w:tc>
          <w:tcPr/>
          <w:p>
            <w:pPr>
              <w:pStyle w:val="Compact"/>
            </w:pPr>
            <w:r>
              <w:t xml:space="preserve">+0.18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+2.14</w:t>
            </w:r>
          </w:p>
        </w:tc>
        <w:tc>
          <w:tcPr/>
          <w:p>
            <w:pPr>
              <w:pStyle w:val="Compact"/>
            </w:pPr>
            <w:r>
              <w:t xml:space="preserve">+1.04 (0.78)</w:t>
            </w:r>
          </w:p>
        </w:tc>
        <w:tc>
          <w:tcPr/>
          <w:p>
            <w:pPr>
              <w:pStyle w:val="Compact"/>
            </w:pPr>
            <w:r>
              <w:t xml:space="preserve">+1.10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  <w:tc>
          <w:tcPr/>
          <w:p>
            <w:pPr>
              <w:pStyle w:val="Compact"/>
            </w:pPr>
            <w:r>
              <w:t xml:space="preserve">+0.32</w:t>
            </w:r>
          </w:p>
        </w:tc>
        <w:tc>
          <w:tcPr/>
          <w:p>
            <w:pPr>
              <w:pStyle w:val="Compact"/>
            </w:pPr>
            <w:r>
              <w:t xml:space="preserve">-0.01</w:t>
            </w:r>
          </w:p>
        </w:tc>
        <w:tc>
          <w:tcPr/>
          <w:p>
            <w:pPr>
              <w:pStyle w:val="Compact"/>
            </w:pPr>
            <w:r>
              <w:t xml:space="preserve">+0.19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+0.63</w:t>
            </w:r>
          </w:p>
        </w:tc>
        <w:tc>
          <w:tcPr/>
          <w:p>
            <w:pPr>
              <w:pStyle w:val="Compact"/>
            </w:pPr>
            <w:r>
              <w:t xml:space="preserve">+0.45 (0.29)</w:t>
            </w:r>
          </w:p>
        </w:tc>
        <w:tc>
          <w:tcPr/>
          <w:p>
            <w:pPr>
              <w:pStyle w:val="Compact"/>
            </w:pPr>
            <w:r>
              <w:t xml:space="preserve">+0.17</w:t>
            </w:r>
          </w:p>
        </w:tc>
        <w:tc>
          <w:tcPr/>
          <w:p>
            <w:pPr>
              <w:pStyle w:val="Compact"/>
            </w:pPr>
            <w:r>
              <w:t xml:space="preserve">+0.11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-0.07</w:t>
            </w:r>
          </w:p>
        </w:tc>
        <w:tc>
          <w:tcPr/>
          <w:p>
            <w:pPr>
              <w:pStyle w:val="Compact"/>
            </w:pPr>
            <w:r>
              <w:t xml:space="preserve">+0.40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+0.49</w:t>
            </w:r>
          </w:p>
        </w:tc>
        <w:tc>
          <w:tcPr/>
          <w:p>
            <w:pPr>
              <w:pStyle w:val="Compact"/>
            </w:pPr>
            <w:r>
              <w:t xml:space="preserve">+0.33 (0.24)</w:t>
            </w:r>
          </w:p>
        </w:tc>
        <w:tc>
          <w:tcPr/>
          <w:p>
            <w:pPr>
              <w:pStyle w:val="Compact"/>
            </w:pPr>
            <w:r>
              <w:t xml:space="preserve">+0.16</w:t>
            </w:r>
          </w:p>
        </w:tc>
        <w:tc>
          <w:tcPr/>
          <w:p>
            <w:pPr>
              <w:pStyle w:val="Compact"/>
            </w:pPr>
            <w:r>
              <w:t xml:space="preserve">-0.13</w:t>
            </w:r>
          </w:p>
        </w:tc>
        <w:tc>
          <w:tcPr/>
          <w:p>
            <w:pPr>
              <w:pStyle w:val="Compact"/>
            </w:pPr>
            <w:r>
              <w:t xml:space="preserve">+0.03</w:t>
            </w:r>
          </w:p>
        </w:tc>
        <w:tc>
          <w:tcPr/>
          <w:p>
            <w:pPr>
              <w:pStyle w:val="Compact"/>
            </w:pPr>
            <w:r>
              <w:t xml:space="preserve">+0.04</w:t>
            </w:r>
          </w:p>
        </w:tc>
        <w:tc>
          <w:tcPr/>
          <w:p>
            <w:pPr>
              <w:pStyle w:val="Compact"/>
            </w:pPr>
            <w:r>
              <w:t xml:space="preserve">+0.40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Percentage points. Explained = the administration’s average of the fitted shock component minus its sample average; the last four columns split it by shock. Each shock enters with lags 0–6. Share of the dispersion of premiums explained, S = 0.48. Wald tests that a shock’s lags are all zero: oil p = 0.09, US demand p = 0.53, El Niño p = 0.84, financial conditions p = 0.005.</w:t>
      </w:r>
    </w:p>
    <w:p>
      <w:pPr>
        <w:pStyle w:val="BodyText"/>
      </w:pPr>
      <w:r>
        <w:rPr>
          <w:b/>
          <w:bCs/>
        </w:rPr>
        <w:t xml:space="preserve">Table 5. Was first-year growth inherited?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Forecast made in</w:t>
            </w:r>
          </w:p>
        </w:tc>
        <w:tc>
          <w:tcPr/>
          <w:p>
            <w:pPr>
              <w:pStyle w:val="Compact"/>
            </w:pPr>
            <w:r>
              <w:t xml:space="preserve">Actual first-year growth</w:t>
            </w:r>
          </w:p>
        </w:tc>
        <w:tc>
          <w:tcPr/>
          <w:p>
            <w:pPr>
              <w:pStyle w:val="Compact"/>
            </w:pPr>
            <w:r>
              <w:t xml:space="preserve">AR forecast</w:t>
            </w:r>
          </w:p>
        </w:tc>
        <w:tc>
          <w:tcPr/>
          <w:p>
            <w:pPr>
              <w:pStyle w:val="Compact"/>
            </w:pPr>
            <w:r>
              <w:t xml:space="preserve">Bounce-back forecast</w:t>
            </w:r>
          </w:p>
        </w:tc>
        <w:tc>
          <w:tcPr/>
          <w:p>
            <w:pPr>
              <w:pStyle w:val="Compact"/>
            </w:pPr>
            <w:r>
              <w:t xml:space="preserve">Inherited (H3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1986Q2</w:t>
            </w:r>
          </w:p>
        </w:tc>
        <w:tc>
          <w:tcPr/>
          <w:p>
            <w:pPr>
              <w:pStyle w:val="Compact"/>
            </w:pPr>
            <w:r>
              <w:t xml:space="preserve">4.51</w:t>
            </w:r>
          </w:p>
        </w:tc>
        <w:tc>
          <w:tcPr/>
          <w:p>
            <w:pPr>
              <w:pStyle w:val="Compact"/>
            </w:pPr>
            <w:r>
              <w:t xml:space="preserve">4.31</w:t>
            </w:r>
          </w:p>
        </w:tc>
        <w:tc>
          <w:tcPr/>
          <w:p>
            <w:pPr>
              <w:pStyle w:val="Compact"/>
            </w:pPr>
            <w:r>
              <w:t xml:space="preserve">4.64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1992Q3</w:t>
            </w:r>
          </w:p>
        </w:tc>
        <w:tc>
          <w:tcPr/>
          <w:p>
            <w:pPr>
              <w:pStyle w:val="Compact"/>
            </w:pPr>
            <w:r>
              <w:t xml:space="preserve">2.34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1998Q3</w:t>
            </w:r>
          </w:p>
        </w:tc>
        <w:tc>
          <w:tcPr/>
          <w:p>
            <w:pPr>
              <w:pStyle w:val="Compact"/>
            </w:pPr>
            <w:r>
              <w:t xml:space="preserve">3.53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2001Q1</w:t>
            </w:r>
          </w:p>
        </w:tc>
        <w:tc>
          <w:tcPr/>
          <w:p>
            <w:pPr>
              <w:pStyle w:val="Compact"/>
            </w:pPr>
            <w:r>
              <w:t xml:space="preserve">3.78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2010Q3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4.24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2016Q3</w:t>
            </w:r>
          </w:p>
        </w:tc>
        <w:tc>
          <w:tcPr/>
          <w:p>
            <w:pPr>
              <w:pStyle w:val="Compact"/>
            </w:pPr>
            <w:r>
              <w:t xml:space="preserve">7.14</w:t>
            </w:r>
          </w:p>
        </w:tc>
        <w:tc>
          <w:tcPr/>
          <w:p>
            <w:pPr>
              <w:pStyle w:val="Compact"/>
            </w:pPr>
            <w:r>
              <w:t xml:space="preserve">4.24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2022Q3</w:t>
            </w:r>
          </w:p>
        </w:tc>
        <w:tc>
          <w:tcPr/>
          <w:p>
            <w:pPr>
              <w:pStyle w:val="Compact"/>
            </w:pPr>
            <w:r>
              <w:t xml:space="preserve">5.75</w:t>
            </w:r>
          </w:p>
        </w:tc>
        <w:tc>
          <w:tcPr/>
          <w:p>
            <w:pPr>
              <w:pStyle w:val="Compact"/>
            </w:pPr>
            <w:r>
              <w:t xml:space="preserve">4.20</w:t>
            </w:r>
          </w:p>
        </w:tc>
        <w:tc>
          <w:tcPr/>
          <w:p>
            <w:pPr>
              <w:pStyle w:val="Compact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Growth over the first four charged quarters, 100·ln(GDP_s+3 / GDP_s−1), percent. Sample mean 3.70%.</w:t>
      </w:r>
      <w:r>
        <w:t xml:space="preserve"> </w:t>
      </w:r>
      <w:r>
        <w:t xml:space="preserve">‘Inherited’</w:t>
      </w:r>
      <w:r>
        <w:t xml:space="preserve"> </w:t>
      </w:r>
      <w:r>
        <w:t xml:space="preserve">if the bounce-back forecast exceeds the mean by at least half of the actual excess.</w:t>
      </w:r>
    </w:p>
    <w:p>
      <w:pPr>
        <w:pStyle w:val="BodyText"/>
      </w:pPr>
      <w:r>
        <w:rPr>
          <w:b/>
          <w:bCs/>
        </w:rPr>
        <w:t xml:space="preserve">Table 6. The same point in the term: the first 15 quarters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First 15 quarters</w:t>
            </w:r>
          </w:p>
        </w:tc>
        <w:tc>
          <w:tcPr/>
          <w:p>
            <w:pPr>
              <w:pStyle w:val="Compact"/>
            </w:pPr>
            <w:r>
              <w:t xml:space="preserve">Raw mean</w:t>
            </w:r>
          </w:p>
        </w:tc>
        <w:tc>
          <w:tcPr/>
          <w:p>
            <w:pPr>
              <w:pStyle w:val="Compact"/>
            </w:pPr>
            <w:r>
              <w:t xml:space="preserve">Marcos Jr. minus this (s.e.)</w:t>
            </w:r>
          </w:p>
        </w:tc>
        <w:tc>
          <w:tcPr/>
          <w:p>
            <w:pPr>
              <w:pStyle w:val="Compact"/>
            </w:pPr>
            <w:r>
              <w:t xml:space="preserve">Luck-adjusted mean</w:t>
            </w:r>
          </w:p>
        </w:tc>
        <w:tc>
          <w:tcPr/>
          <w:p>
            <w:pPr>
              <w:pStyle w:val="Compact"/>
            </w:pPr>
            <w:r>
              <w:t xml:space="preserve">Marcos Jr. minus this (s.e.)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1986Q3–1990Q1</w:t>
            </w:r>
          </w:p>
        </w:tc>
        <w:tc>
          <w:tcPr/>
          <w:p>
            <w:pPr>
              <w:pStyle w:val="Compact"/>
            </w:pPr>
            <w:r>
              <w:t xml:space="preserve">5.17</w:t>
            </w:r>
          </w:p>
        </w:tc>
        <w:tc>
          <w:tcPr/>
          <w:p>
            <w:pPr>
              <w:pStyle w:val="Compact"/>
            </w:pPr>
            <w:r>
              <w:t xml:space="preserve">-0.58 (1.48)</w:t>
            </w:r>
          </w:p>
        </w:tc>
        <w:tc>
          <w:tcPr/>
          <w:p>
            <w:pPr>
              <w:pStyle w:val="Compact"/>
            </w:pPr>
            <w:r>
              <w:t xml:space="preserve">5.14</w:t>
            </w:r>
          </w:p>
        </w:tc>
        <w:tc>
          <w:tcPr/>
          <w:p>
            <w:pPr>
              <w:pStyle w:val="Compact"/>
            </w:pPr>
            <w:r>
              <w:t xml:space="preserve">-0.88 (2.16)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1992Q4–1996Q2</w:t>
            </w:r>
          </w:p>
        </w:tc>
        <w:tc>
          <w:tcPr/>
          <w:p>
            <w:pPr>
              <w:pStyle w:val="Compact"/>
            </w:pPr>
            <w:r>
              <w:t xml:space="preserve">4.54</w:t>
            </w:r>
          </w:p>
        </w:tc>
        <w:tc>
          <w:tcPr/>
          <w:p>
            <w:pPr>
              <w:pStyle w:val="Compact"/>
            </w:pPr>
            <w:r>
              <w:t xml:space="preserve">+0.05 (0.90)</w:t>
            </w:r>
          </w:p>
        </w:tc>
        <w:tc>
          <w:tcPr/>
          <w:p>
            <w:pPr>
              <w:pStyle w:val="Compact"/>
            </w:pPr>
            <w:r>
              <w:t xml:space="preserve">3.64</w:t>
            </w:r>
          </w:p>
        </w:tc>
        <w:tc>
          <w:tcPr/>
          <w:p>
            <w:pPr>
              <w:pStyle w:val="Compact"/>
            </w:pPr>
            <w:r>
              <w:t xml:space="preserve">+0.62 (1.38)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2001Q2–2004Q4</w:t>
            </w:r>
          </w:p>
        </w:tc>
        <w:tc>
          <w:tcPr/>
          <w:p>
            <w:pPr>
              <w:pStyle w:val="Compact"/>
            </w:pPr>
            <w:r>
              <w:t xml:space="preserve">5.09</w:t>
            </w:r>
          </w:p>
        </w:tc>
        <w:tc>
          <w:tcPr/>
          <w:p>
            <w:pPr>
              <w:pStyle w:val="Compact"/>
            </w:pPr>
            <w:r>
              <w:t xml:space="preserve">-0.50 (0.96)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  <w:tc>
          <w:tcPr/>
          <w:p>
            <w:pPr>
              <w:pStyle w:val="Compact"/>
            </w:pPr>
            <w:r>
              <w:t xml:space="preserve">-0.35 (1.41)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2010Q4–2014Q2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-1.43 (1.01)</w:t>
            </w:r>
          </w:p>
        </w:tc>
        <w:tc>
          <w:tcPr/>
          <w:p>
            <w:pPr>
              <w:pStyle w:val="Compact"/>
            </w:pPr>
            <w:r>
              <w:t xml:space="preserve">4.29</w:t>
            </w:r>
          </w:p>
        </w:tc>
        <w:tc>
          <w:tcPr/>
          <w:p>
            <w:pPr>
              <w:pStyle w:val="Compact"/>
            </w:pPr>
            <w:r>
              <w:t xml:space="preserve">-0.04 (1.42)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2016Q4–2020Q2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+3.35 (4.79)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+3.05 (4.54)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2022Q4–2026Q2</w:t>
            </w:r>
          </w:p>
        </w:tc>
        <w:tc>
          <w:tcPr/>
          <w:p>
            <w:pPr>
              <w:pStyle w:val="Compact"/>
            </w:pPr>
            <w:r>
              <w:t xml:space="preserve">4.59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4.26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Percent, annual rate. Luck-adjusted growth removes the fitted shock component of the joint model. Estrada (10 quarters) and Marcos Sr. (first quarters outside the sample) are not compared. Newey–West standard errors; the luck-adjusted ones ignore the estimation error of the shock component.</w:t>
      </w:r>
    </w:p>
    <w:p>
      <w:pPr>
        <w:pStyle w:val="BodyText"/>
      </w:pPr>
      <w:r>
        <w:rPr>
          <w:b/>
          <w:bCs/>
        </w:rPr>
        <w:t xml:space="preserve">Table 7. Robustness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Shift-test p</w:t>
            </w:r>
          </w:p>
        </w:tc>
        <w:tc>
          <w:tcPr/>
          <w:p>
            <w:pPr>
              <w:pStyle w:val="Compact"/>
            </w:pPr>
            <w:r>
              <w:t xml:space="preserve">Luck share S</w:t>
            </w:r>
          </w:p>
        </w:tc>
        <w:tc>
          <w:tcPr/>
          <w:p>
            <w:pPr>
              <w:pStyle w:val="Compact"/>
            </w:pPr>
            <w:r>
              <w:t xml:space="preserve">Aquino III premium</w:t>
            </w:r>
          </w:p>
        </w:tc>
        <w:tc>
          <w:tcPr/>
          <w:p>
            <w:pPr>
              <w:pStyle w:val="Compact"/>
            </w:pPr>
            <w:r>
              <w:t xml:space="preserve">Marcos Jr. 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+2.22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lag 0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+2.15</w:t>
            </w:r>
          </w:p>
        </w:tc>
        <w:tc>
          <w:tcPr/>
          <w:p>
            <w:pPr>
              <w:pStyle w:val="Compact"/>
            </w:pPr>
            <w:r>
              <w:t xml:space="preserve">+0.79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lag 2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+2.32</w:t>
            </w:r>
          </w:p>
        </w:tc>
        <w:tc>
          <w:tcPr/>
          <w:p>
            <w:pPr>
              <w:pStyle w:val="Compact"/>
            </w:pPr>
            <w:r>
              <w:t xml:space="preserve">+0.35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lag 4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+2.77</w:t>
            </w:r>
          </w:p>
        </w:tc>
        <w:tc>
          <w:tcPr/>
          <w:p>
            <w:pPr>
              <w:pStyle w:val="Compact"/>
            </w:pPr>
            <w:r>
              <w:t xml:space="preserve">+0.83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Excluding 2020Q2-2021Q1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+2.15</w:t>
            </w:r>
          </w:p>
        </w:tc>
        <w:tc>
          <w:tcPr/>
          <w:p>
            <w:pPr>
              <w:pStyle w:val="Compact"/>
            </w:pPr>
            <w:r>
              <w:t xml:space="preserve">+0.50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Excluding 1984Q1-1985Q4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+1.83</w:t>
            </w:r>
          </w:p>
        </w:tc>
        <w:tc>
          <w:tcPr/>
          <w:p>
            <w:pPr>
              <w:pStyle w:val="Compact"/>
            </w:pPr>
            <w:r>
              <w:t xml:space="preserve">+0.18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growth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+2.35</w:t>
            </w:r>
          </w:p>
        </w:tc>
        <w:tc>
          <w:tcPr/>
          <w:p>
            <w:pPr>
              <w:pStyle w:val="Compact"/>
            </w:pPr>
            <w:r>
              <w:t xml:space="preserve">+0.77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Lags 1-6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+2.22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demand US-JP-EA (from 1997)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+2.22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All checks were specified before estimation. Premiums are raw quarterly premiums (percentage points).</w:t>
      </w:r>
    </w:p>
    <w:p>
      <w:pPr>
        <w:pStyle w:val="BodyText"/>
      </w:pPr>
      <w:r>
        <w:rPr>
          <w:b/>
          <w:bCs/>
        </w:rPr>
        <w:t xml:space="preserve">Table 8. Scorecard, annual averages 1962–2025 (z-score in parentheses)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GDP growth</w:t>
            </w:r>
          </w:p>
        </w:tc>
        <w:tc>
          <w:tcPr/>
          <w:p>
            <w:pPr>
              <w:pStyle w:val="Compact"/>
            </w:pPr>
            <w:r>
              <w:t xml:space="preserve">Growth per person</w:t>
            </w:r>
          </w:p>
        </w:tc>
        <w:tc>
          <w:tcPr/>
          <w:p>
            <w:pPr>
              <w:pStyle w:val="Compact"/>
            </w:pPr>
            <w:r>
              <w:t xml:space="preserve">Relative to peers</w:t>
            </w:r>
          </w:p>
        </w:tc>
        <w:tc>
          <w:tcPr/>
          <w:p>
            <w:pPr>
              <w:pStyle w:val="Compact"/>
            </w:pPr>
            <w:r>
              <w:t xml:space="preserve">Inflation</w:t>
            </w:r>
          </w:p>
        </w:tc>
        <w:tc>
          <w:tcPr/>
          <w:p>
            <w:pPr>
              <w:pStyle w:val="Compact"/>
            </w:pPr>
            <w:r>
              <w:t xml:space="preserve">Unemployment (1991–)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Macapagal</w:t>
            </w:r>
          </w:p>
        </w:tc>
        <w:tc>
          <w:tcPr/>
          <w:p>
            <w:pPr>
              <w:pStyle w:val="Compact"/>
            </w:pPr>
            <w:r>
              <w:t xml:space="preserve">5.02 (+0.26)</w:t>
            </w:r>
          </w:p>
        </w:tc>
        <w:tc>
          <w:tcPr/>
          <w:p>
            <w:pPr>
              <w:pStyle w:val="Compact"/>
            </w:pPr>
            <w:r>
              <w:t xml:space="preserve">1.92 (-0.04)</w:t>
            </w:r>
          </w:p>
        </w:tc>
        <w:tc>
          <w:tcPr/>
          <w:p>
            <w:pPr>
              <w:pStyle w:val="Compact"/>
            </w:pPr>
            <w:r>
              <w:t xml:space="preserve">0.02 (+0.37)</w:t>
            </w:r>
          </w:p>
        </w:tc>
        <w:tc>
          <w:tcPr/>
          <w:p>
            <w:pPr>
              <w:pStyle w:val="Compact"/>
            </w:pPr>
            <w:r>
              <w:t xml:space="preserve">5.54 (-0.34)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Marcos Sr.</w:t>
            </w:r>
          </w:p>
        </w:tc>
        <w:tc>
          <w:tcPr/>
          <w:p>
            <w:pPr>
              <w:pStyle w:val="Compact"/>
            </w:pPr>
            <w:r>
              <w:t xml:space="preserve">3.70 (-0.14)</w:t>
            </w:r>
          </w:p>
        </w:tc>
        <w:tc>
          <w:tcPr/>
          <w:p>
            <w:pPr>
              <w:pStyle w:val="Compact"/>
            </w:pPr>
            <w:r>
              <w:t xml:space="preserve">1.16 (-0.26)</w:t>
            </w:r>
          </w:p>
        </w:tc>
        <w:tc>
          <w:tcPr/>
          <w:p>
            <w:pPr>
              <w:pStyle w:val="Compact"/>
            </w:pPr>
            <w:r>
              <w:t xml:space="preserve">-2.97 (-0.51)</w:t>
            </w:r>
          </w:p>
        </w:tc>
        <w:tc>
          <w:tcPr/>
          <w:p>
            <w:pPr>
              <w:pStyle w:val="Compact"/>
            </w:pPr>
            <w:r>
              <w:t xml:space="preserve">14.32 (+0.74)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C. Aquino</w:t>
            </w:r>
          </w:p>
        </w:tc>
        <w:tc>
          <w:tcPr/>
          <w:p>
            <w:pPr>
              <w:pStyle w:val="Compact"/>
            </w:pPr>
            <w:r>
              <w:t xml:space="preserve">3.32 (-0.26)</w:t>
            </w:r>
          </w:p>
        </w:tc>
        <w:tc>
          <w:tcPr/>
          <w:p>
            <w:pPr>
              <w:pStyle w:val="Compact"/>
            </w:pPr>
            <w:r>
              <w:t xml:space="preserve">0.81 (-0.36)</w:t>
            </w:r>
          </w:p>
        </w:tc>
        <w:tc>
          <w:tcPr/>
          <w:p>
            <w:pPr>
              <w:pStyle w:val="Compact"/>
            </w:pPr>
            <w:r>
              <w:t xml:space="preserve">-4.50 (-0.95)</w:t>
            </w:r>
          </w:p>
        </w:tc>
        <w:tc>
          <w:tcPr/>
          <w:p>
            <w:pPr>
              <w:pStyle w:val="Compact"/>
            </w:pPr>
            <w:r>
              <w:t xml:space="preserve">10.20 (+0.23)</w:t>
            </w:r>
          </w:p>
        </w:tc>
        <w:tc>
          <w:tcPr/>
          <w:p>
            <w:pPr>
              <w:pStyle w:val="Compact"/>
            </w:pPr>
            <w:r>
              <w:t xml:space="preserve">3.79 (+0.79)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Ramos</w:t>
            </w:r>
          </w:p>
        </w:tc>
        <w:tc>
          <w:tcPr/>
          <w:p>
            <w:pPr>
              <w:pStyle w:val="Compact"/>
            </w:pPr>
            <w:r>
              <w:t xml:space="preserve">3.53 (-0.19)</w:t>
            </w:r>
          </w:p>
        </w:tc>
        <w:tc>
          <w:tcPr/>
          <w:p>
            <w:pPr>
              <w:pStyle w:val="Compact"/>
            </w:pPr>
            <w:r>
              <w:t xml:space="preserve">1.24 (-0.24)</w:t>
            </w:r>
          </w:p>
        </w:tc>
        <w:tc>
          <w:tcPr/>
          <w:p>
            <w:pPr>
              <w:pStyle w:val="Compact"/>
            </w:pPr>
            <w:r>
              <w:t xml:space="preserve">-0.84 (+0.12)</w:t>
            </w:r>
          </w:p>
        </w:tc>
        <w:tc>
          <w:tcPr/>
          <w:p>
            <w:pPr>
              <w:pStyle w:val="Compact"/>
            </w:pPr>
            <w:r>
              <w:t xml:space="preserve">7.71 (-0.07)</w:t>
            </w:r>
          </w:p>
        </w:tc>
        <w:tc>
          <w:tcPr/>
          <w:p>
            <w:pPr>
              <w:pStyle w:val="Compact"/>
            </w:pPr>
            <w:r>
              <w:t xml:space="preserve">3.70 (+0.64)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Estrada</w:t>
            </w:r>
          </w:p>
        </w:tc>
        <w:tc>
          <w:tcPr/>
          <w:p>
            <w:pPr>
              <w:pStyle w:val="Compact"/>
            </w:pPr>
            <w:r>
              <w:t xml:space="preserve">3.79 (-0.11)</w:t>
            </w:r>
          </w:p>
        </w:tc>
        <w:tc>
          <w:tcPr/>
          <w:p>
            <w:pPr>
              <w:pStyle w:val="Compact"/>
            </w:pPr>
            <w:r>
              <w:t xml:space="preserve">1.33 (-0.21)</w:t>
            </w:r>
          </w:p>
        </w:tc>
        <w:tc>
          <w:tcPr/>
          <w:p>
            <w:pPr>
              <w:pStyle w:val="Compact"/>
            </w:pPr>
            <w:r>
              <w:t xml:space="preserve">-1.09 (+0.04)</w:t>
            </w:r>
          </w:p>
        </w:tc>
        <w:tc>
          <w:tcPr/>
          <w:p>
            <w:pPr>
              <w:pStyle w:val="Compact"/>
            </w:pPr>
            <w:r>
              <w:t xml:space="preserve">4.96 (-0.41)</w:t>
            </w:r>
          </w:p>
        </w:tc>
        <w:tc>
          <w:tcPr/>
          <w:p>
            <w:pPr>
              <w:pStyle w:val="Compact"/>
            </w:pPr>
            <w:r>
              <w:t xml:space="preserve">3.76 (+0.74)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Arroyo</w:t>
            </w:r>
          </w:p>
        </w:tc>
        <w:tc>
          <w:tcPr/>
          <w:p>
            <w:pPr>
              <w:pStyle w:val="Compact"/>
            </w:pPr>
            <w:r>
              <w:t xml:space="preserve">4.71 (+0.17)</w:t>
            </w:r>
          </w:p>
        </w:tc>
        <w:tc>
          <w:tcPr/>
          <w:p>
            <w:pPr>
              <w:pStyle w:val="Compact"/>
            </w:pPr>
            <w:r>
              <w:t xml:space="preserve">2.85 (+0.24)</w:t>
            </w:r>
          </w:p>
        </w:tc>
        <w:tc>
          <w:tcPr/>
          <w:p>
            <w:pPr>
              <w:pStyle w:val="Compact"/>
            </w:pPr>
            <w:r>
              <w:t xml:space="preserve">-0.00 (+0.36)</w:t>
            </w:r>
          </w:p>
        </w:tc>
        <w:tc>
          <w:tcPr/>
          <w:p>
            <w:pPr>
              <w:pStyle w:val="Compact"/>
            </w:pPr>
            <w:r>
              <w:t xml:space="preserve">4.64 (-0.45)</w:t>
            </w:r>
          </w:p>
        </w:tc>
        <w:tc>
          <w:tcPr/>
          <w:p>
            <w:pPr>
              <w:pStyle w:val="Compact"/>
            </w:pPr>
            <w:r>
              <w:t xml:space="preserve">3.69 (+0.62)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Aquino III</w:t>
            </w:r>
          </w:p>
        </w:tc>
        <w:tc>
          <w:tcPr/>
          <w:p>
            <w:pPr>
              <w:pStyle w:val="Compact"/>
            </w:pPr>
            <w:r>
              <w:t xml:space="preserve">6.03 (+0.57)</w:t>
            </w:r>
          </w:p>
        </w:tc>
        <w:tc>
          <w:tcPr/>
          <w:p>
            <w:pPr>
              <w:pStyle w:val="Compact"/>
            </w:pPr>
            <w:r>
              <w:t xml:space="preserve">4.43 (+0.70)</w:t>
            </w:r>
          </w:p>
        </w:tc>
        <w:tc>
          <w:tcPr/>
          <w:p>
            <w:pPr>
              <w:pStyle w:val="Compact"/>
            </w:pPr>
            <w:r>
              <w:t xml:space="preserve">1.67 (+0.85)</w:t>
            </w:r>
          </w:p>
        </w:tc>
        <w:tc>
          <w:tcPr/>
          <w:p>
            <w:pPr>
              <w:pStyle w:val="Compact"/>
            </w:pPr>
            <w:r>
              <w:t xml:space="preserve">2.64 (-0.70)</w:t>
            </w:r>
          </w:p>
        </w:tc>
        <w:tc>
          <w:tcPr/>
          <w:p>
            <w:pPr>
              <w:pStyle w:val="Compact"/>
            </w:pPr>
            <w:r>
              <w:t xml:space="preserve">3.33 (+0.00)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Duterte</w:t>
            </w:r>
          </w:p>
        </w:tc>
        <w:tc>
          <w:tcPr/>
          <w:p>
            <w:pPr>
              <w:pStyle w:val="Compact"/>
            </w:pPr>
            <w:r>
              <w:t xml:space="preserve">3.61 (-0.17)</w:t>
            </w:r>
          </w:p>
        </w:tc>
        <w:tc>
          <w:tcPr/>
          <w:p>
            <w:pPr>
              <w:pStyle w:val="Compact"/>
            </w:pPr>
            <w:r>
              <w:t xml:space="preserve">2.74 (+0.20)</w:t>
            </w:r>
          </w:p>
        </w:tc>
        <w:tc>
          <w:tcPr/>
          <w:p>
            <w:pPr>
              <w:pStyle w:val="Compact"/>
            </w:pPr>
            <w:r>
              <w:t xml:space="preserve">0.93 (+0.63)</w:t>
            </w:r>
          </w:p>
        </w:tc>
        <w:tc>
          <w:tcPr/>
          <w:p>
            <w:pPr>
              <w:pStyle w:val="Compact"/>
            </w:pPr>
            <w:r>
              <w:t xml:space="preserve">3.78 (-0.56)</w:t>
            </w:r>
          </w:p>
        </w:tc>
        <w:tc>
          <w:tcPr/>
          <w:p>
            <w:pPr>
              <w:pStyle w:val="Compact"/>
            </w:pPr>
            <w:r>
              <w:t xml:space="preserve">2.61 (-1.23)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Marcos Jr.</w:t>
            </w:r>
          </w:p>
        </w:tc>
        <w:tc>
          <w:tcPr/>
          <w:p>
            <w:pPr>
              <w:pStyle w:val="Compact"/>
            </w:pPr>
            <w:r>
              <w:t xml:space="preserve">5.08 (+0.28)</w:t>
            </w:r>
          </w:p>
        </w:tc>
        <w:tc>
          <w:tcPr/>
          <w:p>
            <w:pPr>
              <w:pStyle w:val="Compact"/>
            </w:pPr>
            <w:r>
              <w:t xml:space="preserve">4.36 (+0.68)</w:t>
            </w:r>
          </w:p>
        </w:tc>
        <w:tc>
          <w:tcPr/>
          <w:p>
            <w:pPr>
              <w:pStyle w:val="Compact"/>
            </w:pPr>
            <w:r>
              <w:t xml:space="preserve">1.14 (+0.69)</w:t>
            </w:r>
          </w:p>
        </w:tc>
        <w:tc>
          <w:tcPr/>
          <w:p>
            <w:pPr>
              <w:pStyle w:val="Compact"/>
            </w:pPr>
            <w:r>
              <w:t xml:space="preserve">3.62 (-0.58)</w:t>
            </w:r>
          </w:p>
        </w:tc>
        <w:tc>
          <w:tcPr/>
          <w:p>
            <w:pPr>
              <w:pStyle w:val="Compact"/>
            </w:pPr>
            <w:r>
              <w:t xml:space="preserve">2.21 (-1.90)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Percent; z = (administration mean − 1962–2025 mean) / standard deviation of the annual values. For inflation and unemployment a negative z means a lower rate than usual. No composite index is formed and administrations are not ranked. Unemployment is the ILO modelled estimate (1991–).</w:t>
      </w:r>
    </w:p>
    <w:bookmarkEnd w:id="42"/>
    <w:bookmarkStart w:id="61" w:name="figures"/>
    <w:p>
      <w:pPr>
        <w:pStyle w:val="Heading1"/>
      </w:pPr>
      <w:r>
        <w:t xml:space="preserve">Figures</w:t>
      </w:r>
    </w:p>
    <w:p>
      <w:pPr>
        <w:pStyle w:val="CaptionedFigure"/>
      </w:pPr>
      <w:r>
        <w:drawing>
          <wp:inline>
            <wp:extent cx="5299850" cy="2504660"/>
            <wp:effectExtent b="0" l="0" r="0" t="0"/>
            <wp:docPr descr="Figure 1. Quarterly real GDP growth, 1981Q2–2026Q2, at a compounded annual rate (percent). Shading marks alternating administrations, with quarters charged after a one-quarter lag. The dashed line is the sample mean. The 2020Q2 value is cut at −30 for readability." title="" id="44" name="Picture"/>
            <a:graphic>
              <a:graphicData uri="http://schemas.openxmlformats.org/drawingml/2006/picture">
                <pic:pic>
                  <pic:nvPicPr>
                    <pic:cNvPr descr="fig1_growth_by_admi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850" cy="2504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Quarterly real GDP growth, 1981Q2–2026Q2, at a compounded annual rate (percent). Shading marks alternating administrations, with quarters charged after a one-quarter lag. The dashed line is the sample mean. The 2020Q2 value is cut at −30 for readability.</w:t>
      </w:r>
    </w:p>
    <w:p>
      <w:pPr>
        <w:pStyle w:val="CaptionedFigure"/>
      </w:pPr>
      <w:r>
        <w:drawing>
          <wp:inline>
            <wp:extent cx="5226453" cy="2712618"/>
            <wp:effectExtent b="0" l="0" r="0" t="0"/>
            <wp:docPr descr="Figure 2. Each administration’s premium (average growth minus the sample mean, percentage points), the part explained by the four luck shocks (with a 95% confidence interval) and the unexplained rest, joint model 1983Q4-2026Q2." title="" id="47" name="Picture"/>
            <a:graphic>
              <a:graphicData uri="http://schemas.openxmlformats.org/drawingml/2006/picture">
                <pic:pic>
                  <pic:nvPicPr>
                    <pic:cNvPr descr="fig2_premiums_luck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53" cy="2712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Each administration’s premium (average growth minus the sample mean, percentage points), the part explained by the four luck shocks (with a 95% confidence interval) and the unexplained rest, joint model 1983Q4-2026Q2.</w:t>
      </w:r>
    </w:p>
    <w:p>
      <w:pPr>
        <w:pStyle w:val="CaptionedFigure"/>
      </w:pPr>
      <w:r>
        <w:drawing>
          <wp:inline>
            <wp:extent cx="5226453" cy="2605581"/>
            <wp:effectExtent b="0" l="0" r="0" t="0"/>
            <wp:docPr descr="Figure 3. Annual premiums, 1962–2025: Philippine growth (white) and Philippine growth minus the average of Indonesia, Malaysia and Thailand (grey), percentage points." title="" id="50" name="Picture"/>
            <a:graphic>
              <a:graphicData uri="http://schemas.openxmlformats.org/drawingml/2006/picture">
                <pic:pic>
                  <pic:nvPicPr>
                    <pic:cNvPr descr="fig3_peer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453" cy="260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Annual premiums, 1962–2025: Philippine growth (white) and Philippine growth minus the average of Indonesia, Malaysia and Thailand (grey), percentage points.</w:t>
      </w:r>
    </w:p>
    <w:p>
      <w:pPr>
        <w:pStyle w:val="CaptionedFigure"/>
      </w:pPr>
      <w:r>
        <w:drawing>
          <wp:inline>
            <wp:extent cx="5131649" cy="2480195"/>
            <wp:effectExtent b="0" l="0" r="0" t="0"/>
            <wp:docPr descr="Figure 4. Growth over each administration’s first four quarters (bars) against forecasts made in the quarter before it took office: an autoregression (circles) and a bounce-back model (squares). The dashed line is the sample mean." title="" id="53" name="Picture"/>
            <a:graphic>
              <a:graphicData uri="http://schemas.openxmlformats.org/drawingml/2006/picture">
                <pic:pic>
                  <pic:nvPicPr>
                    <pic:cNvPr descr="fig4_inheritanc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649" cy="248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Growth over each administration’s first four quarters (bars) against forecasts made in the quarter before it took office: an autoregression (circles) and a bounce-back model (squares). The dashed line is the sample mean.</w:t>
      </w:r>
    </w:p>
    <w:p>
      <w:pPr>
        <w:pStyle w:val="CaptionedFigure"/>
      </w:pPr>
      <w:r>
        <w:drawing>
          <wp:inline>
            <wp:extent cx="4800600" cy="2479598"/>
            <wp:effectExtent b="0" l="0" r="0" t="0"/>
            <wp:docPr descr="Figure 5. Average growth over each administration’s first 15 quarters, raw (filled circles) and after removing the fitted luck component (open squares), percent at an annual rate." title="" id="56" name="Picture"/>
            <a:graphic>
              <a:graphicData uri="http://schemas.openxmlformats.org/drawingml/2006/picture">
                <pic:pic>
                  <pic:nvPicPr>
                    <pic:cNvPr descr="fig5_same_point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79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Average growth over each administration’s first 15 quarters, raw (filled circles) and after removing the fitted luck component (open squares), percent at an annual rate.</w:t>
      </w:r>
    </w:p>
    <w:p>
      <w:pPr>
        <w:pStyle w:val="CaptionedFigure"/>
      </w:pPr>
      <w:r>
        <w:drawing>
          <wp:inline>
            <wp:extent cx="2933700" cy="2635746"/>
            <wp:effectExtent b="0" l="0" r="0" t="0"/>
            <wp:docPr descr="Figure 6. Replication: the effect of oil shocks on average growth in each US presidential term, from Table 7 of Blinder and Watson (horizontal axis) and from this study (vertical axis). The dotted line is the 45-degree line." title="" id="59" name="Picture"/>
            <a:graphic>
              <a:graphicData uri="http://schemas.openxmlformats.org/drawingml/2006/picture">
                <pic:pic>
                  <pic:nvPicPr>
                    <pic:cNvPr descr="fig6_replicatio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Replication: the effect of oil shocks on average growth in each US presidential term, from Table 7 of Blinder and Watson (horizontal axis) and from this study (vertical axis). The dotted line is the 45-degree line.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hyperlink" Id="rId35" Target="https://doi.org/10.1016/S0304-4076(02)00207-5" TargetMode="External" /><Relationship Type="http://schemas.openxmlformats.org/officeDocument/2006/relationships/hyperlink" Id="rId27" Target="https://doi.org/10.1093/0195158989.001.0001" TargetMode="External" /><Relationship Type="http://schemas.openxmlformats.org/officeDocument/2006/relationships/hyperlink" Id="rId33" Target="https://doi.org/10.1257/aer.102.4.1692" TargetMode="External" /><Relationship Type="http://schemas.openxmlformats.org/officeDocument/2006/relationships/hyperlink" Id="rId29" Target="https://doi.org/10.1257/aer.20140913" TargetMode="External" /><Relationship Type="http://schemas.openxmlformats.org/officeDocument/2006/relationships/hyperlink" Id="rId31" Target="https://doi.org/10.1355/9789814786621" TargetMode="External" /><Relationship Type="http://schemas.openxmlformats.org/officeDocument/2006/relationships/hyperlink" Id="rId37" Target="https://doi.org/10.2307/1913610" TargetMode="External" /><Relationship Type="http://schemas.openxmlformats.org/officeDocument/2006/relationships/hyperlink" Id="rId25" Target="https://doi.org/10.7551/mitpress/5437.001.00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i.org/10.1016/S0304-4076(02)00207-5" TargetMode="External" /><Relationship Type="http://schemas.openxmlformats.org/officeDocument/2006/relationships/hyperlink" Id="rId27" Target="https://doi.org/10.1093/0195158989.001.0001" TargetMode="External" /><Relationship Type="http://schemas.openxmlformats.org/officeDocument/2006/relationships/hyperlink" Id="rId33" Target="https://doi.org/10.1257/aer.102.4.1692" TargetMode="External" /><Relationship Type="http://schemas.openxmlformats.org/officeDocument/2006/relationships/hyperlink" Id="rId29" Target="https://doi.org/10.1257/aer.20140913" TargetMode="External" /><Relationship Type="http://schemas.openxmlformats.org/officeDocument/2006/relationships/hyperlink" Id="rId31" Target="https://doi.org/10.1355/9789814786621" TargetMode="External" /><Relationship Type="http://schemas.openxmlformats.org/officeDocument/2006/relationships/hyperlink" Id="rId37" Target="https://doi.org/10.2307/1913610" TargetMode="External" /><Relationship Type="http://schemas.openxmlformats.org/officeDocument/2006/relationships/hyperlink" Id="rId25" Target="https://doi.org/10.7551/mitpress/5437.001.00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 policy or good luck? Philippine economic performance across presidential administrations</dc:title>
  <dc:creator>[Author name], [Affiliation], [email]</dc:creator>
  <cp:keywords/>
  <dcterms:created xsi:type="dcterms:W3CDTF">2026-10-16T02:26:36Z</dcterms:created>
  <dcterms:modified xsi:type="dcterms:W3CDTF">2026-10-16T02:26:36Z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paper/references.bib</vt:lpwstr>
  </property>
  <property fmtid="{D5CDD505-2E9C-101B-9397-08002B2CF9AE}" pid="3" name="date">
    <vt:lpwstr>Draft, 16 October 2026</vt:lpwstr>
  </property>
  <property fmtid="{D5CDD505-2E9C-101B-9397-08002B2CF9AE}" pid="4" name="link-citations">
    <vt:lpwstr>True</vt:lpwstr>
  </property>
</Properties>
</file>