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spacing w:before="0" w:after="40" w:line="240" w:lineRule="auto"/>
        <w:ind w:firstLine="0"/>
        <w:jc w:val="center"/>
      </w:pPr>
      <w:r>
        <w:rPr>
          <w:rFonts w:ascii="Times New Roman" w:hAnsi="Times New Roman"/>
          <w:b/>
          <w:i w:val="0"/>
          <w:color w:val="555555"/>
          <w:sz w:val="22"/>
        </w:rPr>
        <w:t>MASTER DOCUMENT</w:t>
      </w:r>
    </w:p>
    <w:p>
      <w:pPr>
        <w:pStyle w:val="Compact"/>
        <w:spacing w:before="0" w:after="120" w:line="240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Critical Review of Agbola and Acupan (2010): An Empirical Analysis of International Labour Migration in the Philippines</w:t>
      </w:r>
    </w:p>
    <w:p>
      <w:pPr>
        <w:pStyle w:val="Compact"/>
        <w:spacing w:before="0" w:after="4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Agbola, F. W., &amp; Acupan, A. B. (2010). </w:t>
      </w:r>
      <w:r>
        <w:rPr>
          <w:rFonts w:ascii="Times New Roman" w:hAnsi="Times New Roman"/>
          <w:b w:val="0"/>
          <w:i/>
          <w:color w:val="000000"/>
          <w:sz w:val="22"/>
        </w:rPr>
        <w:t>Economic Systems, 34</w:t>
      </w:r>
      <w:r>
        <w:rPr>
          <w:rFonts w:ascii="Times New Roman" w:hAnsi="Times New Roman"/>
          <w:b w:val="0"/>
          <w:i w:val="0"/>
          <w:color w:val="000000"/>
          <w:sz w:val="22"/>
        </w:rPr>
        <w:t>(4), 386–396. https://doi.org/10.1016/j.ecosys.2010.03.002</w:t>
      </w:r>
    </w:p>
    <w:p>
      <w:pPr>
        <w:pStyle w:val="Compact"/>
        <w:spacing w:before="0" w:after="24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Prepared by: </w:t>
      </w:r>
      <w:r>
        <w:rPr>
          <w:rFonts w:ascii="Times New Roman" w:hAnsi="Times New Roman"/>
          <w:b/>
          <w:i w:val="0"/>
          <w:color w:val="000000"/>
          <w:sz w:val="22"/>
        </w:rPr>
        <w:t>Lian Cataytay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 ·  October 22, 2026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color w:val="000000"/>
        </w:rPr>
        <w:t>How to read this document</w:t>
      </w:r>
    </w:p>
    <w:p>
      <w:pPr>
        <w:pStyle w:val="Compact"/>
        <w:spacing w:before="0" w:after="80" w:line="240" w:lineRule="auto"/>
        <w:ind w:firstLine="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Each part pairs </w:t>
      </w:r>
      <w:r>
        <w:rPr>
          <w:rFonts w:ascii="Times New Roman" w:hAnsi="Times New Roman"/>
          <w:b/>
          <w:i w:val="0"/>
          <w:color w:val="000000"/>
          <w:sz w:val="24"/>
        </w:rPr>
        <w:t>highlighted excerpts from the article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(screenshots, page numbers in the captions) with a </w:t>
      </w:r>
      <w:r>
        <w:rPr>
          <w:rFonts w:ascii="Times New Roman" w:hAnsi="Times New Roman"/>
          <w:b/>
          <w:i w:val="0"/>
          <w:color w:val="000000"/>
          <w:sz w:val="24"/>
        </w:rPr>
        <w:t>concise technical review</w:t>
      </w:r>
      <w:r>
        <w:rPr>
          <w:rFonts w:ascii="Times New Roman" w:hAnsi="Times New Roman"/>
          <w:b w:val="0"/>
          <w:i w:val="0"/>
          <w:color w:val="000000"/>
          <w:sz w:val="24"/>
        </w:rPr>
        <w:t>. Colours carry meaning: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3"/>
        <w:gridCol w:w="2333"/>
        <w:gridCol w:w="2333"/>
        <w:gridCol w:w="2333"/>
      </w:tblGrid>
      <w:tr>
        <w:trPr>
          <w:cantSplit/>
        </w:trPr>
        <w:tc>
          <w:tcPr>
            <w:tcW w:type="dxa" w:w="2333"/>
            <w:shd w:val="clear" w:color="auto" w:fill="FFF2A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Key fact / result from the paper</w:t>
            </w:r>
          </w:p>
        </w:tc>
        <w:tc>
          <w:tcPr>
            <w:tcW w:type="dxa" w:w="2333"/>
            <w:shd w:val="clear" w:color="auto" w:fill="E8F5E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Strength of the study</w:t>
            </w:r>
          </w:p>
        </w:tc>
        <w:tc>
          <w:tcPr>
            <w:tcW w:type="dxa" w:w="2333"/>
            <w:shd w:val="clear" w:color="auto" w:fill="FDECE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Critical note (weakness)</w:t>
            </w:r>
          </w:p>
        </w:tc>
        <w:tc>
          <w:tcPr>
            <w:tcW w:type="dxa" w:w="2333"/>
            <w:shd w:val="clear" w:color="auto" w:fill="E8F0FB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Reviewer suggestion</w:t>
            </w:r>
          </w:p>
        </w:tc>
      </w:tr>
    </w:tbl>
    <w:p>
      <w:pPr>
        <w:pStyle w:val="Compact"/>
        <w:spacing w:before="0" w:after="120" w:line="240" w:lineRule="auto"/>
        <w:ind w:firstLine="0"/>
      </w:pPr>
    </w:p>
    <w:p>
      <w:pPr>
        <w:pStyle w:val="Heading1"/>
        <w:keepNext/>
        <w:spacing w:before="280" w:after="120"/>
      </w:pPr>
      <w:r>
        <w:rPr>
          <w:rFonts w:ascii="Times New Roman" w:hAnsi="Times New Roman"/>
          <w:color w:val="000000"/>
        </w:rPr>
        <w:t>The article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7488"/>
      </w:tblGrid>
      <w:tr>
        <w:trPr>
          <w:cantSplit/>
        </w:trPr>
        <w:tc>
          <w:tcPr>
            <w:tcW w:type="dxa" w:w="1872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7488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Summary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</w:t>
            </w:r>
          </w:p>
        </w:tc>
        <w:tc>
          <w:tcPr>
            <w:tcW w:type="dxa" w:w="74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How do economic, demographic and political factors affect emigration from the Philippines?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Setting</w:t>
            </w:r>
          </w:p>
        </w:tc>
        <w:tc>
          <w:tcPr>
            <w:tcW w:type="dxa" w:w="74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Philippines; 8.2 million Filipinos abroad; US$14.4 billion remittances (2007)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74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Annual national time series, 1975–2005 (T = 31); CFO, NSCB, IMF IFS, BSP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Method</w:t>
            </w:r>
          </w:p>
        </w:tc>
        <w:tc>
          <w:tcPr>
            <w:tcW w:type="dxa" w:w="74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Unit root and cointegration tests → unrestricted error correction model (ECM) by OLS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il"/>
              <w:left w:val="nil"/>
              <w:bottom w:val="nil"/>
              <w:right w:val="nil"/>
            </w:tcBorders>
            <w:shd w:val="clear" w:color="auto" w:fill="FFF2A8"/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Main result</w:t>
            </w:r>
          </w:p>
        </w:tc>
        <w:tc>
          <w:tcPr>
            <w:tcW w:type="dxa" w:w="7488"/>
            <w:tcBorders>
              <w:top w:val="nil"/>
              <w:left w:val="nil"/>
              <w:bottom w:val="nil"/>
              <w:right w:val="nil"/>
            </w:tcBorders>
            <w:shd w:val="clear" w:color="auto" w:fill="FFF2A8"/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Unemployment ↑ emigration; adult literacy, political instability, population density ↓ emigration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Verdict</w:t>
            </w:r>
          </w:p>
        </w:tc>
        <w:tc>
          <w:tcPr>
            <w:tcW w:type="dxa" w:w="748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Careful time-series steps, but small sample, weak proxies and no pull factors</w:t>
            </w:r>
          </w:p>
        </w:tc>
      </w:tr>
    </w:tbl>
    <w:p>
      <w:pPr>
        <w:pStyle w:val="Compact"/>
        <w:spacing w:before="60" w:after="200" w:line="240" w:lineRule="auto"/>
        <w:ind w:firstLine="0"/>
      </w:pPr>
      <w:r>
        <w:rPr>
          <w:rFonts w:ascii="Times New Roman" w:hAnsi="Times New Roman"/>
          <w:b w:val="0"/>
          <w:i/>
          <w:color w:val="555555"/>
          <w:sz w:val="20"/>
        </w:rPr>
        <w:t>Table 1. Overview of the study and of this review.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color w:val="000000"/>
        </w:rPr>
        <w:t>1. Research Problem / Gap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2F2F2"/>
            <w:tcBorders>
              <w:top w:val="nil"/>
              <w:left w:val="single" w:sz="24" w:color="404040"/>
              <w:bottom w:val="nil"/>
              <w:right w:val="nil"/>
            </w:tcBorders>
          </w:tcPr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/>
                <w:i w:val="0"/>
                <w:color w:val="404040"/>
                <w:sz w:val="22"/>
              </w:rPr>
              <w:t>Guiding question</w:t>
            </w:r>
          </w:p>
          <w:p>
            <w:pPr>
              <w:keepNext w:val="0"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What issue or knowledge gap does the study address?</w:t>
            </w:r>
          </w:p>
        </w:tc>
      </w:tr>
    </w:tbl>
    <w:p>
      <w:pPr>
        <w:pStyle w:val="Compact"/>
        <w:spacing w:before="0" w:after="80" w:line="240" w:lineRule="auto"/>
        <w:ind w:firstLine="0"/>
      </w:pPr>
    </w:p>
    <w:p>
      <w:pPr>
        <w:pStyle w:val="Compact"/>
        <w:keepNext/>
        <w:spacing w:after="40"/>
        <w:jc w:val="center"/>
      </w:pPr>
      <w:r>
        <w:drawing>
          <wp:inline>
            <wp:extent cx="5669280" cy="287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abst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>Excerpt 1.1. Abstract: the gap and the headline result (p. 386).</w:t>
      </w:r>
    </w:p>
    <w:p>
      <w:pPr>
        <w:pStyle w:val="Compact"/>
        <w:keepNext/>
        <w:spacing w:after="40"/>
        <w:jc w:val="center"/>
      </w:pPr>
      <w:r>
        <w:drawing>
          <wp:inline>
            <wp:extent cx="5669280" cy="120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objec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0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>Excerpt 1.2. Objective of the study (p. 387).</w:t>
      </w:r>
    </w:p>
    <w:p>
      <w:pPr>
        <w:pStyle w:val="Compact"/>
        <w:keepNext/>
        <w:spacing w:after="40"/>
        <w:jc w:val="center"/>
      </w:pPr>
      <w:r>
        <w:drawing>
          <wp:inline>
            <wp:extent cx="5669280" cy="1483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ra804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>Excerpt 1.3. The policy ambiguity in Republic Act No. 8042 (p. 388).</w:t>
      </w:r>
    </w:p>
    <w:p>
      <w:pPr>
        <w:pStyle w:val="Heading2"/>
        <w:keepNext/>
        <w:spacing w:before="160" w:after="120"/>
      </w:pPr>
      <w:r>
        <w:rPr>
          <w:rFonts w:ascii="Times New Roman" w:hAnsi="Times New Roman"/>
          <w:color w:val="000000"/>
        </w:rPr>
        <w:t>Review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Issue.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Labour export began in the 1970s as a stop-gap for unemployment and a balance-of-payments crisis, then became structural: </w:t>
      </w:r>
      <w:r>
        <w:rPr>
          <w:rFonts w:ascii="Times New Roman" w:hAnsi="Times New Roman"/>
          <w:b w:val="0"/>
          <w:i w:val="0"/>
          <w:color w:val="000000"/>
          <w:sz w:val="24"/>
          <w:highlight w:val="yellow"/>
        </w:rPr>
        <w:t>8.2 million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Filipinos abroad and </w:t>
      </w:r>
      <w:r>
        <w:rPr>
          <w:rFonts w:ascii="Times New Roman" w:hAnsi="Times New Roman"/>
          <w:b w:val="0"/>
          <w:i w:val="0"/>
          <w:color w:val="000000"/>
          <w:sz w:val="24"/>
          <w:highlight w:val="yellow"/>
        </w:rPr>
        <w:t>US$14.4 billion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in remittances (2007).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Gap.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The determinants of emigration “</w:t>
      </w:r>
      <w:r>
        <w:rPr>
          <w:rFonts w:ascii="Times New Roman" w:hAnsi="Times New Roman"/>
          <w:b w:val="0"/>
          <w:i w:val="0"/>
          <w:color w:val="000000"/>
          <w:sz w:val="24"/>
          <w:highlight w:val="yellow"/>
        </w:rPr>
        <w:t>are not well established</w:t>
      </w:r>
      <w:r>
        <w:rPr>
          <w:rFonts w:ascii="Times New Roman" w:hAnsi="Times New Roman"/>
          <w:b w:val="0"/>
          <w:i w:val="0"/>
          <w:color w:val="000000"/>
          <w:sz w:val="24"/>
        </w:rPr>
        <w:t>” (p. 386); there is no country-specific, long-run time-series evidence on domestic drivers.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Policy tension.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RA 8042 §2c says the State “does not promote” overseas work, while §2i says deployment “shall be encouraged”. A de facto labour-export policy lacks an evidence base.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Research question.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4"/>
          <w:highlight w:val="yellow"/>
        </w:rPr>
        <w:t>How do economic, demographic and political factors affect the size of emigration?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8F5E9"/>
            <w:tcBorders>
              <w:top w:val="nil"/>
              <w:left w:val="single" w:sz="24" w:color="2E7D32"/>
              <w:bottom w:val="nil"/>
              <w:right w:val="nil"/>
            </w:tcBorders>
          </w:tcPr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/>
                <w:i w:val="0"/>
                <w:color w:val="2E7D32"/>
                <w:sz w:val="22"/>
              </w:rPr>
              <w:t>Strength</w:t>
            </w:r>
          </w:p>
          <w:p>
            <w:pPr>
              <w:keepNext w:val="0"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Clear, policy-relevant question for one of the world’s largest labour exporters.</w:t>
            </w:r>
          </w:p>
        </w:tc>
      </w:tr>
    </w:tbl>
    <w:p>
      <w:pPr>
        <w:pStyle w:val="Compact"/>
        <w:spacing w:before="0" w:after="80" w:line="240" w:lineRule="auto"/>
        <w:ind w:firstLin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DECEA"/>
            <w:tcBorders>
              <w:top w:val="nil"/>
              <w:left w:val="single" w:sz="24" w:color="C00000"/>
              <w:bottom w:val="nil"/>
              <w:right w:val="nil"/>
            </w:tcBorders>
          </w:tcPr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/>
                <w:i w:val="0"/>
                <w:color w:val="C00000"/>
                <w:sz w:val="22"/>
              </w:rPr>
              <w:t>Critical note</w:t>
            </w:r>
          </w:p>
          <w:p>
            <w:pPr>
              <w:keepNext w:val="0"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The gap is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asserted, not demonstrated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: there is no systematic review of earlier Philippine migration studies.</w:t>
            </w:r>
          </w:p>
        </w:tc>
      </w:tr>
    </w:tbl>
    <w:p>
      <w:pPr>
        <w:pStyle w:val="Compact"/>
        <w:spacing w:before="0" w:after="80" w:line="240" w:lineRule="auto"/>
        <w:ind w:firstLine="0"/>
      </w:pPr>
    </w:p>
    <w:p>
      <w:pPr>
        <w:pStyle w:val="Heading1"/>
        <w:keepNext/>
        <w:spacing w:before="280" w:after="120"/>
      </w:pPr>
      <w:r>
        <w:rPr>
          <w:rFonts w:ascii="Times New Roman" w:hAnsi="Times New Roman"/>
          <w:color w:val="000000"/>
        </w:rPr>
        <w:t>2. Theoretical Framework / Theory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2F2F2"/>
            <w:tcBorders>
              <w:top w:val="nil"/>
              <w:left w:val="single" w:sz="24" w:color="404040"/>
              <w:bottom w:val="nil"/>
              <w:right w:val="nil"/>
            </w:tcBorders>
          </w:tcPr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/>
                <w:i w:val="0"/>
                <w:color w:val="404040"/>
                <w:sz w:val="22"/>
              </w:rPr>
              <w:t>Guiding question</w:t>
            </w:r>
          </w:p>
          <w:p>
            <w:pPr>
              <w:keepNext w:val="0"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What theory or conceptual framework guides the study?</w:t>
            </w:r>
          </w:p>
        </w:tc>
      </w:tr>
    </w:tbl>
    <w:p>
      <w:pPr>
        <w:pStyle w:val="Compact"/>
        <w:spacing w:before="0" w:after="80" w:line="240" w:lineRule="auto"/>
        <w:ind w:firstLine="0"/>
      </w:pPr>
    </w:p>
    <w:p>
      <w:pPr>
        <w:pStyle w:val="Compact"/>
        <w:keepNext/>
        <w:spacing w:after="40"/>
        <w:jc w:val="center"/>
      </w:pPr>
      <w:r>
        <w:drawing>
          <wp:inline>
            <wp:extent cx="5669280" cy="4885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the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>Excerpt 2.1. Migration theories reviewed by the authors (p. 389).</w:t>
      </w:r>
    </w:p>
    <w:p>
      <w:pPr>
        <w:pStyle w:val="Compact"/>
        <w:keepNext/>
        <w:spacing w:after="40"/>
        <w:jc w:val="center"/>
      </w:pPr>
      <w:r>
        <w:drawing>
          <wp:inline>
            <wp:extent cx="5669280" cy="3476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equ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>Excerpt 2.2. No unified theory; the gravity-based model, equation (1) (p. 390).</w:t>
      </w:r>
    </w:p>
    <w:p>
      <w:pPr>
        <w:pStyle w:val="Heading2"/>
        <w:keepNext/>
        <w:spacing w:before="160" w:after="120"/>
      </w:pPr>
      <w:r>
        <w:rPr>
          <w:rFonts w:ascii="Times New Roman" w:hAnsi="Times New Roman"/>
          <w:color w:val="000000"/>
        </w:rPr>
        <w:t>Review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Expected-utility models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(Ravenstein, 1885; Todaro, 1969): people migrate when the expected gain abroad exceeds the cost.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Human capital theory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(Hicks, 1939; Sjaastad, 1962): migration is an investment, so </w:t>
      </w:r>
      <w:r>
        <w:rPr>
          <w:rFonts w:ascii="Times New Roman" w:hAnsi="Times New Roman"/>
          <w:b w:val="0"/>
          <w:i w:val="0"/>
          <w:color w:val="000000"/>
          <w:sz w:val="24"/>
          <w:highlight w:val="yellow"/>
        </w:rPr>
        <w:t>education should raise emigration</w:t>
      </w:r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Roy effect / self-selection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(Borjas, 1987): skill-return differentials decide who leaves; tested with the Gini coefficient and its square.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Gravity model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(Greenwood, 1975; Adams &amp; Page, 2003): a reduced-form demand–supply relation in income, population and migration cost.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Operational model, equation (1):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4"/>
        </w:rPr>
        <w:t>m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= f(</w:t>
      </w:r>
      <w:r>
        <w:rPr>
          <w:rFonts w:ascii="Times New Roman" w:hAnsi="Times New Roman"/>
          <w:b w:val="0"/>
          <w:i/>
          <w:color w:val="000000"/>
          <w:sz w:val="24"/>
        </w:rPr>
        <w:t>cm, adl, ineq, ineq², govs, ir, pd, ur, y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), a </w:t>
      </w:r>
      <w:r>
        <w:rPr>
          <w:rFonts w:ascii="Times New Roman" w:hAnsi="Times New Roman"/>
          <w:b w:val="0"/>
          <w:i w:val="0"/>
          <w:color w:val="000000"/>
          <w:sz w:val="24"/>
          <w:highlight w:val="yellow"/>
        </w:rPr>
        <w:t>macro push-factor equation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for the migration share.</w:t>
      </w:r>
    </w:p>
    <w:p>
      <w:pPr>
        <w:pStyle w:val="Compact"/>
        <w:spacing w:before="0" w:after="120" w:line="240" w:lineRule="auto"/>
        <w:ind w:firstLine="0"/>
      </w:pPr>
      <w:r>
        <w:rPr>
          <w:rFonts w:ascii="Times New Roman" w:hAnsi="Times New Roman"/>
          <w:b w:val="0"/>
          <w:i/>
          <w:color w:val="555555"/>
          <w:sz w:val="20"/>
        </w:rPr>
        <w:t>All theory citations are as cited in Agbola and Acupan (2010).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8F5E9"/>
            <w:tcBorders>
              <w:top w:val="nil"/>
              <w:left w:val="single" w:sz="24" w:color="2E7D32"/>
              <w:bottom w:val="nil"/>
              <w:right w:val="nil"/>
            </w:tcBorders>
          </w:tcPr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/>
                <w:i w:val="0"/>
                <w:color w:val="2E7D32"/>
                <w:sz w:val="22"/>
              </w:rPr>
              <w:t>Strength</w:t>
            </w:r>
          </w:p>
          <w:p>
            <w:pPr>
              <w:keepNext w:val="0"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Grounded in established migration theory; each hypothesis gives a testable expected sign.</w:t>
            </w:r>
          </w:p>
        </w:tc>
      </w:tr>
    </w:tbl>
    <w:p>
      <w:pPr>
        <w:pStyle w:val="Compact"/>
        <w:spacing w:before="0" w:after="80" w:line="240" w:lineRule="auto"/>
        <w:ind w:firstLin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DECEA"/>
            <w:tcBorders>
              <w:top w:val="nil"/>
              <w:left w:val="single" w:sz="24" w:color="C00000"/>
              <w:bottom w:val="nil"/>
              <w:right w:val="nil"/>
            </w:tcBorders>
          </w:tcPr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/>
                <w:i w:val="0"/>
                <w:color w:val="C00000"/>
                <w:sz w:val="22"/>
              </w:rPr>
              <w:t>Critical note</w:t>
            </w:r>
          </w:p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Eclectic, not structural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: the theories mainly justify coefficient signs.</w:t>
            </w:r>
          </w:p>
          <w:p>
            <w:pPr>
              <w:keepNext w:val="0"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The gravity model is bilateral by nature, yet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highlight w:val="yellow"/>
              </w:rPr>
              <w:t>no destination-side (pull) variables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enter the model.</w:t>
            </w:r>
          </w:p>
        </w:tc>
      </w:tr>
    </w:tbl>
    <w:p>
      <w:pPr>
        <w:pStyle w:val="Compact"/>
        <w:spacing w:before="0" w:after="80" w:line="240" w:lineRule="auto"/>
        <w:ind w:firstLine="0"/>
      </w:pPr>
    </w:p>
    <w:p>
      <w:pPr>
        <w:pStyle w:val="Heading1"/>
        <w:keepNext/>
        <w:spacing w:before="280" w:after="120"/>
      </w:pPr>
      <w:r>
        <w:rPr>
          <w:rFonts w:ascii="Times New Roman" w:hAnsi="Times New Roman"/>
          <w:color w:val="000000"/>
        </w:rPr>
        <w:t>3.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2F2F2"/>
            <w:tcBorders>
              <w:top w:val="nil"/>
              <w:left w:val="single" w:sz="24" w:color="404040"/>
              <w:bottom w:val="nil"/>
              <w:right w:val="nil"/>
            </w:tcBorders>
          </w:tcPr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/>
                <w:i w:val="0"/>
                <w:color w:val="404040"/>
                <w:sz w:val="22"/>
              </w:rPr>
              <w:t>Guiding question</w:t>
            </w:r>
          </w:p>
          <w:p>
            <w:pPr>
              <w:keepNext w:val="0"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What data were used, and where were they obtained?</w:t>
            </w:r>
          </w:p>
        </w:tc>
      </w:tr>
    </w:tbl>
    <w:p>
      <w:pPr>
        <w:pStyle w:val="Compact"/>
        <w:spacing w:before="0" w:after="80" w:line="240" w:lineRule="auto"/>
        <w:ind w:firstLine="0"/>
      </w:pPr>
    </w:p>
    <w:p>
      <w:pPr>
        <w:pStyle w:val="Compact"/>
        <w:keepNext/>
        <w:spacing w:after="40"/>
        <w:jc w:val="center"/>
      </w:pPr>
      <w:r>
        <w:drawing>
          <wp:inline>
            <wp:extent cx="5669280" cy="119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sour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>Excerpt 3.1. Data sources (p. 390).</w:t>
      </w:r>
    </w:p>
    <w:p>
      <w:pPr>
        <w:pStyle w:val="Compact"/>
        <w:keepNext/>
        <w:spacing w:after="40"/>
        <w:jc w:val="center"/>
      </w:pPr>
      <w:r>
        <w:drawing>
          <wp:inline>
            <wp:extent cx="5669280" cy="13292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proble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2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>Excerpt 3.2. Sample period and the airfare proxy for migration cost (p. 391).</w:t>
      </w:r>
    </w:p>
    <w:p>
      <w:pPr>
        <w:pStyle w:val="Compact"/>
        <w:keepNext/>
        <w:spacing w:after="40"/>
        <w:jc w:val="center"/>
      </w:pPr>
      <w:r>
        <w:drawing>
          <wp:inline>
            <wp:extent cx="5669280" cy="36852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prox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>Excerpt 3.3. Proxies and expected signs (p. 392).</w:t>
      </w:r>
    </w:p>
    <w:p>
      <w:pPr>
        <w:pStyle w:val="Heading2"/>
        <w:keepNext/>
        <w:spacing w:before="160" w:after="120"/>
      </w:pPr>
      <w:r>
        <w:rPr>
          <w:rFonts w:ascii="Times New Roman" w:hAnsi="Times New Roman"/>
          <w:color w:val="000000"/>
        </w:rPr>
        <w:t>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92"/>
        <w:gridCol w:w="4608"/>
        <w:gridCol w:w="2160"/>
      </w:tblGrid>
      <w:tr>
        <w:trPr>
          <w:cantSplit/>
        </w:trPr>
        <w:tc>
          <w:tcPr>
            <w:tcW w:type="dxa" w:w="2592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Variable</w:t>
            </w:r>
          </w:p>
        </w:tc>
        <w:tc>
          <w:tcPr>
            <w:tcW w:type="dxa" w:w="4608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Measure / proxy</w:t>
            </w:r>
          </w:p>
        </w:tc>
        <w:tc>
          <w:tcPr>
            <w:tcW w:type="dxa" w:w="216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Source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Migration share (</w:t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</w:rPr>
              <w:t>m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46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(Temporary + permanent migrants) ÷ population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CFO; NSCB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Cost of migration</w:t>
            </w:r>
          </w:p>
        </w:tc>
        <w:tc>
          <w:tcPr>
            <w:tcW w:type="dxa" w:w="46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One-way airfare, Manila → top 24 destinations (proxy)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Authors’ estimate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Adult literacy</w:t>
            </w:r>
          </w:p>
        </w:tc>
        <w:tc>
          <w:tcPr>
            <w:tcW w:type="dxa" w:w="46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Adult literacy rate (proxy for education)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BSP; NSCB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Income inequality, ineq²</w:t>
            </w:r>
          </w:p>
        </w:tc>
        <w:tc>
          <w:tcPr>
            <w:tcW w:type="dxa" w:w="46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Gini coefficient and its square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highlight w:val="yellow"/>
              </w:rPr>
              <w:t>Not stated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Political instability</w:t>
            </w:r>
          </w:p>
        </w:tc>
        <w:tc>
          <w:tcPr>
            <w:tcW w:type="dxa" w:w="46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Leadership changes, coups and uprisings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Gastil (1987) approach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Inflation; unemployment; income</w:t>
            </w:r>
          </w:p>
        </w:tc>
        <w:tc>
          <w:tcPr>
            <w:tcW w:type="dxa" w:w="46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CPI inflation; unemployment rate; real GDP per capita (PPP)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IMF IFS; BSP; NSCB</w:t>
            </w:r>
          </w:p>
        </w:tc>
      </w:tr>
      <w:tr>
        <w:trPr>
          <w:cantSplit/>
        </w:trPr>
        <w:tc>
          <w:tcPr>
            <w:tcW w:type="dxa" w:w="2592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Population density</w:t>
            </w:r>
          </w:p>
        </w:tc>
        <w:tc>
          <w:tcPr>
            <w:tcW w:type="dxa" w:w="4608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People per km²</w:t>
            </w:r>
          </w:p>
        </w:tc>
        <w:tc>
          <w:tcPr>
            <w:tcW w:type="dxa" w:w="216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NSCB</w:t>
            </w:r>
          </w:p>
        </w:tc>
      </w:tr>
    </w:tbl>
    <w:p>
      <w:pPr>
        <w:pStyle w:val="Compact"/>
        <w:spacing w:before="60" w:after="160" w:line="240" w:lineRule="auto"/>
        <w:ind w:firstLine="0"/>
      </w:pPr>
      <w:r>
        <w:rPr>
          <w:rFonts w:ascii="Times New Roman" w:hAnsi="Times New Roman"/>
          <w:b w:val="0"/>
          <w:i/>
          <w:color w:val="555555"/>
          <w:sz w:val="20"/>
        </w:rPr>
        <w:t>Table 2. Variables, measures and sources (adapted from Agbola &amp; Acupan, 2010, pp. 390–392).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Sample.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Annual national aggregates, 1975–2005: </w:t>
      </w:r>
      <w:r>
        <w:rPr>
          <w:rFonts w:ascii="Times New Roman" w:hAnsi="Times New Roman"/>
          <w:b w:val="0"/>
          <w:i w:val="0"/>
          <w:color w:val="000000"/>
          <w:sz w:val="24"/>
          <w:highlight w:val="yellow"/>
        </w:rPr>
        <w:t>T = 31</w:t>
      </w:r>
      <w:r>
        <w:rPr>
          <w:rFonts w:ascii="Times New Roman" w:hAnsi="Times New Roman"/>
          <w:b w:val="0"/>
          <w:i w:val="0"/>
          <w:color w:val="000000"/>
          <w:sz w:val="24"/>
        </w:rPr>
        <w:t>, all secondary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DECEA"/>
            <w:tcBorders>
              <w:top w:val="nil"/>
              <w:left w:val="single" w:sz="24" w:color="C00000"/>
              <w:bottom w:val="nil"/>
              <w:right w:val="nil"/>
            </w:tcBorders>
          </w:tcPr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/>
                <w:i w:val="0"/>
                <w:color w:val="C00000"/>
                <w:sz w:val="22"/>
              </w:rPr>
              <w:t>Critical note</w:t>
            </w:r>
          </w:p>
          <w:p>
            <w:pPr>
              <w:keepNext/>
              <w:spacing w:line="240" w:lineRule="auto" w:before="0" w:after="60"/>
              <w:ind w:left="360" w:hanging="259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  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Undisclosed data handling: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the Gini source is not stated; the Philippine Gini is published only every few years, so the annual values were presumably interpolated.</w:t>
            </w:r>
          </w:p>
          <w:p>
            <w:pPr>
              <w:keepNext/>
              <w:spacing w:line="240" w:lineRule="auto" w:before="0" w:after="60"/>
              <w:ind w:left="360" w:hanging="259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  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Aggregation: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m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pools temporary and permanent migrants, who respond to different incentives.</w:t>
            </w:r>
          </w:p>
          <w:p>
            <w:pPr>
              <w:keepNext w:val="0"/>
              <w:spacing w:line="240" w:lineRule="auto" w:before="0" w:after="60"/>
              <w:ind w:left="360" w:hanging="259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  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Weak proxies: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airfare is a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highlight w:val="yellow"/>
              </w:rPr>
              <w:t>lower bound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on migration cost; near-universal adult literacy has little variation.</w:t>
            </w:r>
          </w:p>
        </w:tc>
      </w:tr>
    </w:tbl>
    <w:p>
      <w:pPr>
        <w:pStyle w:val="Compact"/>
        <w:spacing w:before="0" w:after="80" w:line="240" w:lineRule="auto"/>
        <w:ind w:firstLine="0"/>
      </w:pPr>
    </w:p>
    <w:p>
      <w:pPr>
        <w:pStyle w:val="Heading1"/>
        <w:keepNext/>
        <w:spacing w:before="280" w:after="120"/>
      </w:pPr>
      <w:r>
        <w:rPr>
          <w:rFonts w:ascii="Times New Roman" w:hAnsi="Times New Roman"/>
          <w:color w:val="000000"/>
        </w:rPr>
        <w:t>4. Methodology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2F2F2"/>
            <w:tcBorders>
              <w:top w:val="nil"/>
              <w:left w:val="single" w:sz="24" w:color="404040"/>
              <w:bottom w:val="nil"/>
              <w:right w:val="nil"/>
            </w:tcBorders>
          </w:tcPr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/>
                <w:i w:val="0"/>
                <w:color w:val="404040"/>
                <w:sz w:val="22"/>
              </w:rPr>
              <w:t>Guiding question</w:t>
            </w:r>
          </w:p>
          <w:p>
            <w:pPr>
              <w:keepNext w:val="0"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What research methods and analytical approaches were employed?</w:t>
            </w:r>
          </w:p>
        </w:tc>
      </w:tr>
    </w:tbl>
    <w:p>
      <w:pPr>
        <w:pStyle w:val="Compact"/>
        <w:spacing w:before="0" w:after="80" w:line="240" w:lineRule="auto"/>
        <w:ind w:firstLine="0"/>
      </w:pPr>
    </w:p>
    <w:p>
      <w:pPr>
        <w:pStyle w:val="Compact"/>
        <w:keepNext/>
        <w:spacing w:after="40"/>
        <w:jc w:val="center"/>
      </w:pPr>
      <w:r>
        <w:drawing>
          <wp:inline>
            <wp:extent cx="5669280" cy="17012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unitro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1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>Excerpt 4.1. Unit root tests and the move to cointegration (p. 390).</w:t>
      </w:r>
    </w:p>
    <w:p>
      <w:pPr>
        <w:pStyle w:val="Compact"/>
        <w:keepNext/>
        <w:spacing w:after="40"/>
        <w:jc w:val="center"/>
      </w:pPr>
      <w:r>
        <w:drawing>
          <wp:inline>
            <wp:extent cx="5669280" cy="4731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tab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3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>Excerpt 4.2. Table 1 (unit roots) and the cointegration evidence (p. 391).</w:t>
      </w:r>
    </w:p>
    <w:p>
      <w:pPr>
        <w:pStyle w:val="Heading2"/>
        <w:keepNext/>
        <w:spacing w:before="160" w:after="120"/>
      </w:pPr>
      <w:r>
        <w:rPr>
          <w:rFonts w:ascii="Times New Roman" w:hAnsi="Times New Roman"/>
          <w:color w:val="000000"/>
        </w:rPr>
        <w:t>Review</w:t>
      </w:r>
    </w:p>
    <w:p>
      <w:pPr>
        <w:pStyle w:val="Compact"/>
        <w:spacing w:before="0" w:after="80" w:line="240" w:lineRule="auto"/>
        <w:ind w:firstLine="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quantitative, single-country </w:t>
      </w:r>
      <w:r>
        <w:rPr>
          <w:rFonts w:ascii="Times New Roman" w:hAnsi="Times New Roman"/>
          <w:b/>
          <w:i w:val="0"/>
          <w:color w:val="000000"/>
          <w:sz w:val="24"/>
        </w:rPr>
        <w:t>time-series econometric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design in five steps: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Step 1 – Unit roots: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ADF and Phillips–Perron tests; the series are treated as I(1).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Step 2 – Cointegration: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Engle–Granger (</w:t>
      </w:r>
      <w:r>
        <w:rPr>
          <w:rFonts w:ascii="Times New Roman" w:hAnsi="Times New Roman"/>
          <w:b w:val="0"/>
          <w:i/>
          <w:color w:val="000000"/>
          <w:sz w:val="24"/>
        </w:rPr>
        <w:t>t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= −4.485), Johansen (</w:t>
      </w:r>
      <w:r>
        <w:rPr>
          <w:rFonts w:ascii="Times New Roman" w:hAnsi="Times New Roman"/>
          <w:b w:val="0"/>
          <w:i w:val="0"/>
          <w:color w:val="000000"/>
          <w:sz w:val="24"/>
          <w:highlight w:val="yellow"/>
        </w:rPr>
        <w:t>λmax: 5 vectors; trace: 8</w:t>
      </w:r>
      <w:r>
        <w:rPr>
          <w:rFonts w:ascii="Times New Roman" w:hAnsi="Times New Roman"/>
          <w:b w:val="0"/>
          <w:i w:val="0"/>
          <w:color w:val="000000"/>
          <w:sz w:val="24"/>
        </w:rPr>
        <w:t>) and the Pesaran bounds test all confirm a long-run relationship.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Step 3 – Specification: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Hendry general-to-specific reduction to a parsimonious model.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Step 4 – Estimation: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unrestricted ECM by OLS (EViews 6.0).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Step 5 – Diagnostics: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Breusch–Godfrey, RESET, Jarque–Bera, ARCH and CUSUM/CUSUMSQ, all passed.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8F5E9"/>
            <w:tcBorders>
              <w:top w:val="nil"/>
              <w:left w:val="single" w:sz="24" w:color="2E7D32"/>
              <w:bottom w:val="nil"/>
              <w:right w:val="nil"/>
            </w:tcBorders>
          </w:tcPr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/>
                <w:i w:val="0"/>
                <w:color w:val="2E7D32"/>
                <w:sz w:val="22"/>
              </w:rPr>
              <w:t>Strength</w:t>
            </w:r>
          </w:p>
          <w:p>
            <w:pPr>
              <w:keepNext w:val="0"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Textbook sequence with three cointegration tests and a full set of diagnostics.</w:t>
            </w:r>
          </w:p>
        </w:tc>
      </w:tr>
    </w:tbl>
    <w:p>
      <w:pPr>
        <w:pStyle w:val="Compact"/>
        <w:spacing w:before="0" w:after="80" w:line="240" w:lineRule="auto"/>
        <w:ind w:firstLin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DECEA"/>
            <w:tcBorders>
              <w:top w:val="nil"/>
              <w:left w:val="single" w:sz="24" w:color="C00000"/>
              <w:bottom w:val="nil"/>
              <w:right w:val="nil"/>
            </w:tcBorders>
          </w:tcPr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/>
                <w:i w:val="0"/>
                <w:color w:val="C00000"/>
                <w:sz w:val="22"/>
              </w:rPr>
              <w:t>Critical note</w:t>
            </w:r>
          </w:p>
          <w:p>
            <w:pPr>
              <w:keepNext/>
              <w:spacing w:line="240" w:lineRule="auto" w:before="0" w:after="60"/>
              <w:ind w:left="360" w:hanging="259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  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highlight w:val="yellow"/>
              </w:rPr>
              <w:t>One ECT despite 5–8 cointegrating vectors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: the long-run structure is collapsed for parsimony.</w:t>
            </w:r>
          </w:p>
          <w:p>
            <w:pPr>
              <w:keepNext/>
              <w:spacing w:line="240" w:lineRule="auto" w:before="0" w:after="60"/>
              <w:ind w:left="360" w:hanging="259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  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Order of integration unclear: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income (</w:t>
            </w:r>
            <w:r>
              <w:rPr>
                <w:rFonts w:ascii="Times New Roman" w:hAnsi="Times New Roman"/>
                <w:b w:val="0"/>
                <w:i/>
                <w:color w:val="000000"/>
                <w:sz w:val="22"/>
              </w:rPr>
              <w:t>y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) fails the P–P test even in first differences (−2.123 vs. the 10% critical value of −2.623).</w:t>
            </w:r>
          </w:p>
          <w:p>
            <w:pPr>
              <w:keepNext w:val="0"/>
              <w:spacing w:line="240" w:lineRule="auto" w:before="0" w:after="60"/>
              <w:ind w:left="360" w:hanging="259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  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Low power: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highlight w:val="yellow"/>
              </w:rPr>
              <w:t>T = 31 for 10 estimated terms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, and there are no structural-break tests (1986 EDSA, 1997 Asian financial crisis).</w:t>
            </w:r>
          </w:p>
        </w:tc>
      </w:tr>
    </w:tbl>
    <w:p>
      <w:pPr>
        <w:pStyle w:val="Compact"/>
        <w:spacing w:before="0" w:after="80" w:line="240" w:lineRule="auto"/>
        <w:ind w:firstLine="0"/>
      </w:pPr>
    </w:p>
    <w:p>
      <w:pPr>
        <w:pStyle w:val="Heading1"/>
        <w:keepNext/>
        <w:spacing w:before="280" w:after="120"/>
      </w:pPr>
      <w:r>
        <w:rPr>
          <w:rFonts w:ascii="Times New Roman" w:hAnsi="Times New Roman"/>
          <w:color w:val="000000"/>
        </w:rPr>
        <w:t>5. Key Findings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2F2F2"/>
            <w:tcBorders>
              <w:top w:val="nil"/>
              <w:left w:val="single" w:sz="24" w:color="404040"/>
              <w:bottom w:val="nil"/>
              <w:right w:val="nil"/>
            </w:tcBorders>
          </w:tcPr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/>
                <w:i w:val="0"/>
                <w:color w:val="404040"/>
                <w:sz w:val="22"/>
              </w:rPr>
              <w:t>Guiding question</w:t>
            </w:r>
          </w:p>
          <w:p>
            <w:pPr>
              <w:keepNext w:val="0"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What are the main results and conclusions of the study?</w:t>
            </w:r>
          </w:p>
        </w:tc>
      </w:tr>
    </w:tbl>
    <w:p>
      <w:pPr>
        <w:pStyle w:val="Compact"/>
        <w:spacing w:before="0" w:after="80" w:line="240" w:lineRule="auto"/>
        <w:ind w:firstLine="0"/>
      </w:pPr>
    </w:p>
    <w:p>
      <w:pPr>
        <w:pStyle w:val="Compact"/>
        <w:keepNext/>
        <w:spacing w:after="40"/>
        <w:jc w:val="center"/>
      </w:pPr>
      <w:r>
        <w:drawing>
          <wp:inline>
            <wp:extent cx="5669280" cy="44937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table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9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>Excerpt 5.1. Table 3, unrestricted ECM; the significant rows are highlighted (p. 392).</w:t>
      </w:r>
    </w:p>
    <w:p>
      <w:pPr>
        <w:pStyle w:val="Heading2"/>
        <w:keepNext/>
        <w:spacing w:before="160" w:after="120"/>
      </w:pPr>
      <w:r>
        <w:rPr>
          <w:rFonts w:ascii="Times New Roman" w:hAnsi="Times New Roman"/>
          <w:color w:val="000000"/>
        </w:rPr>
        <w:t>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68"/>
        <w:gridCol w:w="2448"/>
        <w:gridCol w:w="2160"/>
        <w:gridCol w:w="1584"/>
      </w:tblGrid>
      <w:tr>
        <w:trPr>
          <w:cantSplit/>
        </w:trPr>
        <w:tc>
          <w:tcPr>
            <w:tcW w:type="dxa" w:w="3168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Explanatory variable</w:t>
            </w:r>
          </w:p>
        </w:tc>
        <w:tc>
          <w:tcPr>
            <w:tcW w:type="dxa" w:w="2448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Coefficient</w:t>
            </w:r>
          </w:p>
        </w:tc>
        <w:tc>
          <w:tcPr>
            <w:tcW w:type="dxa" w:w="216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t-statistic</w:t>
            </w:r>
          </w:p>
        </w:tc>
        <w:tc>
          <w:tcPr>
            <w:tcW w:type="dxa" w:w="1584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Result (5%)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  <w:shd w:val="clear" w:color="auto" w:fill="FFF2A8"/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Unemployment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shd w:val="clear" w:color="auto" w:fill="FFF2A8"/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+0.236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2A8"/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4.629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FFF2A8"/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Significant ↑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  <w:shd w:val="clear" w:color="auto" w:fill="FFF2A8"/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Adult literacy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shd w:val="clear" w:color="auto" w:fill="FFF2A8"/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−0.659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2A8"/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−5.225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FFF2A8"/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Significant ↓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  <w:shd w:val="clear" w:color="auto" w:fill="FFF2A8"/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Political instability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shd w:val="clear" w:color="auto" w:fill="FFF2A8"/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−0.482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2A8"/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−3.444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FFF2A8"/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Significant ↓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  <w:shd w:val="clear" w:color="auto" w:fill="FFF2A8"/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Population density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shd w:val="clear" w:color="auto" w:fill="FFF2A8"/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−0.254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FFF2A8"/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−2.756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FFF2A8"/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Significant ↓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Inequality; inequality²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−171.195; +165.927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−1.594; 1.323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Not significant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Inflation; cost of migration; income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−0.036; −0.002; −0.0002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−1.327; −0.429; −0.293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Not significant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left w:val="nil"/>
              <w:bottom w:val="single" w:sz="12" w:color="000000"/>
              <w:right w:val="nil"/>
            </w:tcBorders>
            <w:shd w:val="clear" w:color="auto" w:fill="FFF2A8"/>
          </w:tcPr>
          <w:p>
            <w:pPr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Error correction term (ECT)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12" w:color="000000"/>
              <w:right w:val="nil"/>
            </w:tcBorders>
            <w:shd w:val="clear" w:color="auto" w:fill="FFF2A8"/>
          </w:tcPr>
          <w:p>
            <w:pPr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−0.776</w:t>
            </w:r>
          </w:p>
        </w:tc>
        <w:tc>
          <w:tcPr>
            <w:tcW w:type="dxa" w:w="2160"/>
            <w:tcBorders>
              <w:top w:val="nil"/>
              <w:left w:val="nil"/>
              <w:bottom w:val="single" w:sz="12" w:color="000000"/>
              <w:right w:val="nil"/>
            </w:tcBorders>
            <w:shd w:val="clear" w:color="auto" w:fill="FFF2A8"/>
          </w:tcPr>
          <w:p>
            <w:pPr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−4.224</w:t>
            </w:r>
          </w:p>
        </w:tc>
        <w:tc>
          <w:tcPr>
            <w:tcW w:type="dxa" w:w="1584"/>
            <w:tcBorders>
              <w:top w:val="nil"/>
              <w:left w:val="nil"/>
              <w:bottom w:val="single" w:sz="12" w:color="000000"/>
              <w:right w:val="nil"/>
            </w:tcBorders>
            <w:shd w:val="clear" w:color="auto" w:fill="FFF2A8"/>
          </w:tcPr>
          <w:p>
            <w:pPr>
              <w:spacing w:line="240" w:lineRule="auto" w:before="0" w:after="2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Significant</w:t>
            </w:r>
          </w:p>
        </w:tc>
      </w:tr>
    </w:tbl>
    <w:p>
      <w:pPr>
        <w:pStyle w:val="Compact"/>
        <w:spacing w:before="60" w:after="160" w:line="240" w:lineRule="auto"/>
        <w:ind w:firstLine="0"/>
      </w:pPr>
      <w:r>
        <w:rPr>
          <w:rFonts w:ascii="Times New Roman" w:hAnsi="Times New Roman"/>
          <w:b w:val="0"/>
          <w:i/>
          <w:color w:val="555555"/>
          <w:sz w:val="20"/>
        </w:rPr>
        <w:t>Table 3. ECM results. Adjusted R² = 0.63; F = 5.848 (p = 0.000). Adapted from Agbola and Acupan (2010, p. 392).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Fit and adjustment: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the model explains 63% of the variation in the migration share; </w:t>
      </w:r>
      <w:r>
        <w:rPr>
          <w:rFonts w:ascii="Times New Roman" w:hAnsi="Times New Roman"/>
          <w:b w:val="0"/>
          <w:i w:val="0"/>
          <w:color w:val="000000"/>
          <w:sz w:val="24"/>
          <w:highlight w:val="yellow"/>
        </w:rPr>
        <w:t>ECT = −0.776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means about 78% of any deviation from equilibrium is corrected within a year.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Unemployment ↑ → emigration ↑: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emigration acts as a </w:t>
      </w:r>
      <w:r>
        <w:rPr>
          <w:rFonts w:ascii="Times New Roman" w:hAnsi="Times New Roman"/>
          <w:b w:val="0"/>
          <w:i w:val="0"/>
          <w:color w:val="000000"/>
          <w:sz w:val="24"/>
          <w:highlight w:val="yellow"/>
        </w:rPr>
        <w:t>safety valve for surplus labour</w:t>
      </w:r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Adult literacy ↑ → emigration ↓: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this </w:t>
      </w:r>
      <w:r>
        <w:rPr>
          <w:rFonts w:ascii="Times New Roman" w:hAnsi="Times New Roman"/>
          <w:b w:val="0"/>
          <w:i w:val="0"/>
          <w:color w:val="000000"/>
          <w:sz w:val="24"/>
          <w:highlight w:val="yellow"/>
        </w:rPr>
        <w:t>contradicts human capital theory</w:t>
      </w:r>
      <w:r>
        <w:rPr>
          <w:rFonts w:ascii="Times New Roman" w:hAnsi="Times New Roman"/>
          <w:b w:val="0"/>
          <w:i w:val="0"/>
          <w:color w:val="000000"/>
          <w:sz w:val="24"/>
        </w:rPr>
        <w:t>; the authors point to the low-skilled profile of migrants.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Political instability ↑ → emigration ↓: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emigration fell in turbulent years (1983, 1986, 2001, 2005).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Population density ↑ → emigration ↓: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contrary to expectation; the authors suggest, tentatively, that domestic demand creates local jobs.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Not significant: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income, inflation, migration cost and inequality, so the </w:t>
      </w:r>
      <w:r>
        <w:rPr>
          <w:rFonts w:ascii="Times New Roman" w:hAnsi="Times New Roman"/>
          <w:b w:val="0"/>
          <w:i w:val="0"/>
          <w:color w:val="000000"/>
          <w:sz w:val="24"/>
          <w:highlight w:val="yellow"/>
        </w:rPr>
        <w:t>Roy effect is rejected</w:t>
      </w:r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pStyle w:val="Compact"/>
        <w:keepNext/>
        <w:spacing w:after="40"/>
        <w:jc w:val="center"/>
      </w:pPr>
      <w:r>
        <w:drawing>
          <wp:inline>
            <wp:extent cx="5669280" cy="12449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oncl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>Excerpt 5.2. Conclusion: the key determinants (p. 394).</w:t>
      </w:r>
    </w:p>
    <w:p>
      <w:pPr>
        <w:pStyle w:val="Compact"/>
        <w:keepNext/>
        <w:spacing w:after="40"/>
        <w:jc w:val="center"/>
      </w:pPr>
      <w:r>
        <w:drawing>
          <wp:inline>
            <wp:extent cx="5669280" cy="31892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oncl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>Excerpt 5.3. Conclusion: the Roy effect and the policy implications (p. 395).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Policy conclusion: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better migration statistics, bilateral agreements to protect overseas workers, and </w:t>
      </w:r>
      <w:r>
        <w:rPr>
          <w:rFonts w:ascii="Times New Roman" w:hAnsi="Times New Roman"/>
          <w:b w:val="0"/>
          <w:i w:val="0"/>
          <w:color w:val="000000"/>
          <w:sz w:val="24"/>
          <w:highlight w:val="yellow"/>
        </w:rPr>
        <w:t>a domestic economy able to absorb labour</w:t>
      </w:r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DECEA"/>
            <w:tcBorders>
              <w:top w:val="nil"/>
              <w:left w:val="single" w:sz="24" w:color="C00000"/>
              <w:bottom w:val="nil"/>
              <w:right w:val="nil"/>
            </w:tcBorders>
          </w:tcPr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/>
                <w:i w:val="0"/>
                <w:color w:val="C00000"/>
                <w:sz w:val="22"/>
              </w:rPr>
              <w:t>Critical note</w:t>
            </w:r>
          </w:p>
          <w:p>
            <w:pPr>
              <w:keepNext/>
              <w:spacing w:line="240" w:lineRule="auto" w:before="0" w:after="60"/>
              <w:ind w:left="360" w:hanging="259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  The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low-skill explanation conflicts with the paper’s own source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: Alburo and Abella (2002, as cited in Agbola &amp; Acupan, 2010) found professional outflows exceeding domestic additions.</w:t>
            </w:r>
          </w:p>
          <w:p>
            <w:pPr>
              <w:keepNext w:val="0"/>
              <w:spacing w:line="240" w:lineRule="auto" w:before="0" w:after="60"/>
              <w:ind w:left="360" w:hanging="259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•  The insignificant results may partly reflect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low statistical power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, not true zero effects.</w:t>
            </w:r>
          </w:p>
        </w:tc>
      </w:tr>
    </w:tbl>
    <w:p>
      <w:pPr>
        <w:pStyle w:val="Compact"/>
        <w:spacing w:before="0" w:after="80" w:line="240" w:lineRule="auto"/>
        <w:ind w:firstLine="0"/>
      </w:pPr>
    </w:p>
    <w:p>
      <w:pPr>
        <w:pStyle w:val="Heading1"/>
        <w:keepNext/>
        <w:spacing w:before="280" w:after="120"/>
      </w:pPr>
      <w:r>
        <w:rPr>
          <w:rFonts w:ascii="Times New Roman" w:hAnsi="Times New Roman"/>
          <w:color w:val="000000"/>
        </w:rPr>
        <w:t>6. Areas for Further Research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2F2F2"/>
            <w:tcBorders>
              <w:top w:val="nil"/>
              <w:left w:val="single" w:sz="24" w:color="404040"/>
              <w:bottom w:val="nil"/>
              <w:right w:val="nil"/>
            </w:tcBorders>
          </w:tcPr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/>
                <w:i w:val="0"/>
                <w:color w:val="404040"/>
                <w:sz w:val="22"/>
              </w:rPr>
              <w:t>Guiding question</w:t>
            </w:r>
          </w:p>
          <w:p>
            <w:pPr>
              <w:keepNext w:val="0"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What limitations were identified, and what future research opportunities are suggested?</w:t>
            </w:r>
          </w:p>
        </w:tc>
      </w:tr>
    </w:tbl>
    <w:p>
      <w:pPr>
        <w:pStyle w:val="Compact"/>
        <w:spacing w:before="0" w:after="80" w:line="240" w:lineRule="auto"/>
        <w:ind w:firstLine="0"/>
      </w:pPr>
    </w:p>
    <w:p>
      <w:pPr>
        <w:pStyle w:val="Compact"/>
        <w:keepNext/>
        <w:spacing w:after="40"/>
        <w:jc w:val="center"/>
      </w:pPr>
      <w:r>
        <w:drawing>
          <wp:inline>
            <wp:extent cx="5669280" cy="16020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dens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0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>Excerpt 6.1. The authors call for further research on population density (p. 393).</w:t>
      </w:r>
    </w:p>
    <w:p>
      <w:pPr>
        <w:pStyle w:val="Compact"/>
        <w:keepNext/>
        <w:spacing w:after="40"/>
        <w:jc w:val="center"/>
      </w:pPr>
      <w:r>
        <w:drawing>
          <wp:inline>
            <wp:extent cx="5669280" cy="2911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_insta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200" w:line="240" w:lineRule="auto"/>
        <w:ind w:firstLine="0"/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>Excerpt 6.2. The authors acknowledge the limits of the political-instability evidence (p. 394).</w:t>
      </w:r>
    </w:p>
    <w:p>
      <w:pPr>
        <w:pStyle w:val="Heading2"/>
        <w:keepNext/>
        <w:spacing w:before="160" w:after="120"/>
      </w:pPr>
      <w:r>
        <w:rPr>
          <w:rFonts w:ascii="Times New Roman" w:hAnsi="Times New Roman"/>
          <w:color w:val="000000"/>
        </w:rPr>
        <w:t>Limitations identified by the authors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>•  Migration statistics are hard to collect and compile (p. 391).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Airfare captures only the </w:t>
      </w:r>
      <w:r>
        <w:rPr>
          <w:rFonts w:ascii="Times New Roman" w:hAnsi="Times New Roman"/>
          <w:b/>
          <w:i w:val="0"/>
          <w:color w:val="000000"/>
          <w:sz w:val="24"/>
        </w:rPr>
        <w:t>minimum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cost of migration, so its coefficient should be read with caution (p. 392).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The population-density result is unexplained: “further research … is </w:t>
      </w:r>
      <w:r>
        <w:rPr>
          <w:rFonts w:ascii="Times New Roman" w:hAnsi="Times New Roman"/>
          <w:b w:val="0"/>
          <w:i w:val="0"/>
          <w:color w:val="000000"/>
          <w:sz w:val="24"/>
          <w:highlight w:val="yellow"/>
        </w:rPr>
        <w:t>warranted</w:t>
      </w:r>
      <w:r>
        <w:rPr>
          <w:rFonts w:ascii="Times New Roman" w:hAnsi="Times New Roman"/>
          <w:b w:val="0"/>
          <w:i w:val="0"/>
          <w:color w:val="000000"/>
          <w:sz w:val="24"/>
        </w:rPr>
        <w:t>” (p. 393).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>•  The data “</w:t>
      </w:r>
      <w:r>
        <w:rPr>
          <w:rFonts w:ascii="Times New Roman" w:hAnsi="Times New Roman"/>
          <w:b w:val="0"/>
          <w:i w:val="0"/>
          <w:color w:val="000000"/>
          <w:sz w:val="24"/>
          <w:highlight w:val="yellow"/>
        </w:rPr>
        <w:t>does not permit us to move beyond speculation</w:t>
      </w:r>
      <w:r>
        <w:rPr>
          <w:rFonts w:ascii="Times New Roman" w:hAnsi="Times New Roman"/>
          <w:b w:val="0"/>
          <w:i w:val="0"/>
          <w:color w:val="000000"/>
          <w:sz w:val="24"/>
        </w:rPr>
        <w:t>” on political instability (p. 394).</w:t>
      </w:r>
    </w:p>
    <w:p>
      <w:pPr>
        <w:pStyle w:val="Heading2"/>
        <w:keepNext/>
        <w:spacing w:before="160" w:after="120"/>
      </w:pPr>
      <w:r>
        <w:rPr>
          <w:rFonts w:ascii="Times New Roman" w:hAnsi="Times New Roman"/>
          <w:color w:val="000000"/>
        </w:rPr>
        <w:t>Future research opportunities</w:t>
      </w:r>
    </w:p>
    <w:p>
      <w:pPr>
        <w:pStyle w:val="Compact"/>
        <w:spacing w:before="0" w:after="60" w:line="240" w:lineRule="auto"/>
        <w:ind w:left="432" w:hanging="288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  </w:t>
      </w:r>
      <w:r>
        <w:rPr>
          <w:rFonts w:ascii="Times New Roman" w:hAnsi="Times New Roman"/>
          <w:b/>
          <w:i w:val="0"/>
          <w:color w:val="000000"/>
          <w:sz w:val="24"/>
        </w:rPr>
        <w:t>Suggested by the authors: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explain the density effect; build systematic monitoring of migration statistics.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E8F0FB"/>
            <w:tcBorders>
              <w:top w:val="nil"/>
              <w:left w:val="single" w:sz="24" w:color="1F4E9A"/>
              <w:bottom w:val="nil"/>
              <w:right w:val="nil"/>
            </w:tcBorders>
          </w:tcPr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/>
                <w:i w:val="0"/>
                <w:color w:val="1F4E9A"/>
                <w:sz w:val="22"/>
              </w:rPr>
              <w:t>Reviewer suggestions</w:t>
            </w:r>
          </w:p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1.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Disaggregate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the migration share: temporary vs. permanent, and by skill or occupation.</w:t>
            </w:r>
          </w:p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2.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Add pull factors: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a bilateral panel gravity model with destination wages and labour demand (e.g., Gulf oil revenues).</w:t>
            </w:r>
          </w:p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3.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Extend past 2005 and test structural breaks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(1997, 2008, COVID-19) with Zivot–Andrews or Bai–Perron tests.</w:t>
            </w:r>
          </w:p>
          <w:p>
            <w:pPr>
              <w:keepNext w:val="0"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4.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Use household micro-data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to test human-capital selection directly.</w:t>
            </w:r>
          </w:p>
        </w:tc>
      </w:tr>
    </w:tbl>
    <w:p>
      <w:pPr>
        <w:pStyle w:val="Compact"/>
        <w:spacing w:before="0" w:after="80" w:line="240" w:lineRule="auto"/>
        <w:ind w:firstLine="0"/>
      </w:pPr>
    </w:p>
    <w:p>
      <w:pPr>
        <w:pStyle w:val="Heading1"/>
        <w:keepNext/>
        <w:spacing w:before="280" w:after="120"/>
      </w:pPr>
      <w:r>
        <w:rPr>
          <w:rFonts w:ascii="Times New Roman" w:hAnsi="Times New Roman"/>
          <w:color w:val="000000"/>
        </w:rPr>
        <w:t>Key Insights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FF6D6"/>
            <w:tcBorders>
              <w:top w:val="nil"/>
              <w:left w:val="single" w:sz="24" w:color="7F6000"/>
              <w:bottom w:val="nil"/>
              <w:right w:val="nil"/>
            </w:tcBorders>
          </w:tcPr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/>
                <w:i w:val="0"/>
                <w:color w:val="7F6000"/>
                <w:sz w:val="22"/>
              </w:rPr>
              <w:t>Five takeaways</w:t>
            </w:r>
          </w:p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1.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Push factors at home matter: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unemployment is the clearest driver of Filipino emigration.</w:t>
            </w:r>
          </w:p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2.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Education keeps people home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at the macro level, against human capital theory, but the explanation is contested.</w:t>
            </w:r>
          </w:p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3.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Instability and density reduce emigration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, and both mechanisms remain speculative.</w:t>
            </w:r>
          </w:p>
          <w:p>
            <w:pPr>
              <w:keepNext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4.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Long-run equilibrium: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about 78% of shocks to the migration share fade within a year.</w:t>
            </w:r>
          </w:p>
          <w:p>
            <w:pPr>
              <w:keepNext w:val="0"/>
              <w:spacing w:line="240" w:lineRule="auto" w:before="0" w:after="6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5.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Read with care: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T = 31, weak proxies and missing pull factors limit the conclusions.</w:t>
            </w:r>
          </w:p>
        </w:tc>
      </w:tr>
    </w:tbl>
    <w:p>
      <w:pPr>
        <w:pStyle w:val="Compact"/>
        <w:spacing w:before="0" w:after="80" w:line="240" w:lineRule="auto"/>
        <w:ind w:firstLine="0"/>
      </w:pPr>
    </w:p>
    <w:p>
      <w:pPr>
        <w:pStyle w:val="Compact"/>
        <w:spacing w:before="80" w:after="200" w:line="240" w:lineRule="auto"/>
        <w:ind w:firstLine="0"/>
      </w:pPr>
      <w:r>
        <w:rPr>
          <w:rFonts w:ascii="Times New Roman" w:hAnsi="Times New Roman"/>
          <w:b/>
          <w:i w:val="0"/>
          <w:color w:val="000000"/>
          <w:sz w:val="24"/>
        </w:rPr>
        <w:t>Bottom line.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Agbola and Acupan (2010) offer useful early evidence that domestic push factors shape Filipino emigration. Without destination-side pull factors and richer data, however, they are </w:t>
      </w:r>
      <w:r>
        <w:rPr>
          <w:rFonts w:ascii="Times New Roman" w:hAnsi="Times New Roman"/>
          <w:b w:val="0"/>
          <w:i w:val="0"/>
          <w:color w:val="000000"/>
          <w:sz w:val="24"/>
          <w:highlight w:val="yellow"/>
        </w:rPr>
        <w:t>not the whole story</w:t>
      </w:r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color w:val="000000"/>
        </w:rPr>
        <w:t>Reference</w:t>
      </w:r>
    </w:p>
    <w:p>
      <w:pPr>
        <w:pStyle w:val="Compact"/>
        <w:spacing w:before="0" w:after="120" w:line="240" w:lineRule="auto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Agbola, F. W., &amp; Acupan, A. B. (2010). An empirical analysis of international labour migration in the Philippines. </w:t>
      </w:r>
      <w:r>
        <w:rPr>
          <w:rFonts w:ascii="Times New Roman" w:hAnsi="Times New Roman"/>
          <w:b w:val="0"/>
          <w:i/>
          <w:color w:val="000000"/>
          <w:sz w:val="24"/>
        </w:rPr>
        <w:t>Economic Systems, 34</w:t>
      </w:r>
      <w:r>
        <w:rPr>
          <w:rFonts w:ascii="Times New Roman" w:hAnsi="Times New Roman"/>
          <w:b w:val="0"/>
          <w:i w:val="0"/>
          <w:color w:val="000000"/>
          <w:sz w:val="24"/>
        </w:rPr>
        <w:t>(4), 386–396. https://doi.org/10.1016/j.ecosys.2010.03.002</w:t>
      </w:r>
    </w:p>
    <w:sectPr>
      <w:footerReference w:type="default" r:id="rId9"/>
      <w:pgSz w:w="12240" w:h="15840"/>
      <w:pgMar w:left="1440" w:right="1440" w:top="1440" w:bottom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after="0"/>
      <w:ind w:firstLine="0"/>
      <w:jc w:val="center"/>
    </w:pPr>
    <w:r/>
    <w:r>
      <w:rPr>
        <w:rFonts w:ascii="Times New Roman" w:hAnsi="Times New Roman" w:eastAsia="Times New Roman" w:cs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widowControl/>
      <w:spacing w:line="480" w:lineRule="auto" w:before="0" w:after="0"/>
      <w:ind w:firstLine="72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pPr>
      <w:keepNext w:val="0"/>
      <w:widowControl/>
      <w:spacing w:before="0" w:after="0" w:line="480" w:lineRule="auto"/>
      <w:ind w:firstLine="720" w:left="0" w:right="0"/>
      <w:jc w:val="left"/>
    </w:pPr>
    <w:qFormat/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keepNext w:val="0"/>
      <w:widowControl/>
      <w:spacing w:line="480" w:lineRule="auto" w:before="0" w:after="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Compact">
    <w:name w:val="Compact"/>
    <w:basedOn w:val="BodyText"/>
    <w:qFormat/>
    <w:pPr>
      <w:keepNext w:val="0"/>
      <w:widowControl/>
      <w:spacing w:before="0" w:after="0" w:line="240" w:lineRule="auto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widowControl/>
      <w:spacing w:before="0" w:after="240" w:line="240" w:lineRule="auto"/>
      <w:ind w:firstLine="0" w:left="0" w:right="0"/>
      <w:jc w:val="center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widowControl/>
      <w:spacing w:before="0" w:after="240" w:line="240" w:lineRule="auto"/>
      <w:ind w:firstLine="0" w:left="0" w:righ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widowControl/>
      <w:spacing w:line="240" w:lineRule="auto" w:before="0" w:after="0"/>
      <w:ind w:firstLine="0" w:left="0" w:righ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Date">
    <w:name w:val="Date"/>
    <w:next w:val="BodyText"/>
    <w:qFormat/>
    <w:pPr>
      <w:keepNext/>
      <w:keepLines/>
      <w:widowControl/>
      <w:spacing w:line="240" w:lineRule="auto" w:before="0" w:after="480"/>
      <w:ind w:firstLine="0" w:left="0" w:righ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ind w:firstLine="0" w:left="0" w:right="0"/>
      <w:jc w:val="center"/>
      <w:widowControl/>
      <w:spacing w:before="240" w:after="120" w:line="240" w:lineRule="auto"/>
    </w:pPr>
    <w:rPr>
      <w:color w:val="000000"/>
      <w:sz w:val="24"/>
      <w:szCs w:val="20"/>
      <w:rFonts w:ascii="Times New Roman" w:hAnsi="Times New Roman" w:eastAsia="Times New Roman" w:cs="Times New Roman"/>
      <w:b/>
      <w:i w:val="0"/>
    </w:rPr>
  </w:style>
  <w:style w:type="paragraph" w:customStyle="1" w:styleId="Abstract">
    <w:name w:val="Abstract"/>
    <w:basedOn w:val="Normal"/>
    <w:next w:val="BodyText"/>
    <w:qFormat/>
    <w:pPr>
      <w:keepNext w:val="0"/>
      <w:keepLines/>
      <w:widowControl/>
      <w:spacing w:before="0" w:after="240" w:line="240" w:lineRule="auto"/>
      <w:ind w:firstLine="0" w:left="720" w:right="720"/>
      <w:jc w:val="both"/>
    </w:pPr>
    <w:rPr>
      <w:rFonts w:ascii="Times New Roman" w:hAnsi="Times New Roman" w:eastAsia="Times New Roman" w:cs="Times New Roman"/>
      <w:b w:val="0"/>
      <w:i w:val="0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keepNext w:val="0"/>
      <w:widowControl/>
      <w:spacing w:line="240" w:lineRule="auto" w:before="0" w:after="120"/>
      <w:ind w:hanging="720" w:left="72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widowControl/>
      <w:spacing w:before="240" w:after="0" w:line="480" w:lineRule="auto"/>
      <w:ind w:firstLine="0" w:left="0" w:right="0"/>
      <w:jc w:val="left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widowControl/>
      <w:spacing w:before="240" w:after="0" w:line="480" w:lineRule="auto"/>
      <w:ind w:firstLine="0" w:left="0" w:right="0"/>
      <w:jc w:val="left"/>
      <w:outlineLvl w:val="1"/>
    </w:pPr>
    <w:rPr>
      <w:rFonts w:ascii="Times New Roman" w:hAnsi="Times New Roman" w:eastAsia="Times New Roman" w:cs="Times New Roman"/>
      <w:b/>
      <w:bCs/>
      <w:i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widowControl/>
      <w:spacing w:before="240" w:after="0" w:line="480" w:lineRule="auto"/>
      <w:ind w:firstLine="0" w:left="0" w:right="0"/>
      <w:jc w:val="left"/>
      <w:outlineLvl w:val="2"/>
    </w:pPr>
    <w:rPr>
      <w:rFonts w:ascii="Times New Roman" w:hAnsi="Times New Roman" w:eastAsia="Times New Roman" w:cs="Times New Roman"/>
      <w:b w:val="0"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widowControl/>
      <w:spacing w:before="240" w:after="0" w:line="480" w:lineRule="auto"/>
      <w:ind w:firstLine="0" w:left="0" w:right="0"/>
      <w:jc w:val="left"/>
      <w:outlineLvl w:val="3"/>
    </w:pPr>
    <w:rPr>
      <w:rFonts w:ascii="Times New Roman" w:hAnsi="Times New Roman" w:eastAsia="Times New Roman" w:cs="Times New Roman"/>
      <w:i/>
      <w:b w:val="0"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widowControl/>
      <w:spacing w:before="240" w:after="0" w:line="480" w:lineRule="auto"/>
      <w:ind w:firstLine="0" w:left="0" w:right="0"/>
      <w:jc w:val="left"/>
      <w:outlineLvl w:val="4"/>
    </w:pPr>
    <w:rPr>
      <w:rFonts w:ascii="Times New Roman" w:hAnsi="Times New Roman" w:eastAsia="Times New Roman" w:cs="Times New Roman"/>
      <w:b w:val="0"/>
      <w:i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widowControl/>
      <w:spacing w:before="240" w:after="0" w:line="480" w:lineRule="auto"/>
      <w:ind w:firstLine="0" w:left="0" w:right="0"/>
      <w:jc w:val="left"/>
      <w:outlineLvl w:val="5"/>
    </w:pPr>
    <w:rPr>
      <w:rFonts w:ascii="Times New Roman" w:hAnsi="Times New Roman" w:eastAsia="Times New Roman" w:cs="Times New Roman"/>
      <w:b w:val="0"/>
      <w:i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widowControl/>
      <w:spacing w:before="240" w:after="0" w:line="480" w:lineRule="auto"/>
      <w:ind w:firstLine="0" w:left="0" w:right="0"/>
      <w:jc w:val="left"/>
      <w:outlineLvl w:val="6"/>
    </w:pPr>
    <w:rPr>
      <w:rFonts w:ascii="Times New Roman" w:hAnsi="Times New Roman" w:eastAsia="Times New Roman" w:cs="Times New Roman"/>
      <w:b w:val="0"/>
      <w:i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widowControl/>
      <w:spacing w:before="240" w:after="0" w:line="480" w:lineRule="auto"/>
      <w:ind w:firstLine="0" w:left="0" w:right="0"/>
      <w:jc w:val="left"/>
      <w:outlineLvl w:val="7"/>
    </w:pPr>
    <w:rPr>
      <w:rFonts w:ascii="Times New Roman" w:hAnsi="Times New Roman" w:eastAsia="Times New Roman" w:cs="Times New Roman"/>
      <w:b w:val="0"/>
      <w:i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widowControl/>
      <w:spacing w:before="240" w:after="0" w:line="480" w:lineRule="auto"/>
      <w:ind w:firstLine="0" w:left="0" w:right="0"/>
      <w:jc w:val="left"/>
      <w:outlineLvl w:val="8"/>
    </w:pPr>
    <w:rPr>
      <w:rFonts w:ascii="Times New Roman" w:hAnsi="Times New Roman" w:eastAsia="Times New Roman" w:cs="Times New Roman"/>
      <w:b w:val="0"/>
      <w:i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keepNext w:val="0"/>
      <w:widowControl/>
      <w:spacing w:before="120" w:after="240" w:line="240" w:lineRule="auto"/>
      <w:ind w:left="720" w:right="720" w:firstLine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keepNext w:val="0"/>
      <w:widowControl/>
      <w:spacing w:line="240" w:lineRule="auto" w:before="0" w:after="4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12" w:space="0" w:color="000000"/>
        <w:left w:val="nil"/>
        <w:bottom w:val="single" w:sz="12" w:space="0" w:color="000000"/>
        <w:right w:val="nil"/>
        <w:insideH w:val="nil"/>
        <w:insideV w:val="nil"/>
      </w:tblBorders>
    </w:tblPr>
    <w:tblStylePr w:type="firstRow">
      <w:tcPr>
        <w:tcBorders>
          <w:bottom w:val="single" w:sz="6" w:space="0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widowControl/>
      <w:spacing w:after="0" w:line="240" w:lineRule="auto" w:before="0"/>
      <w:ind w:firstLine="0" w:left="0" w:right="0"/>
      <w:jc w:val="left"/>
    </w:pPr>
    <w:rPr>
      <w:rFonts w:ascii="Times New Roman" w:hAnsi="Times New Roman" w:eastAsia="Times New Roman" w:cs="Times New Roman"/>
      <w:b/>
      <w:i w:val="0"/>
      <w:color w:val="000000"/>
      <w:sz w:val="24"/>
    </w:rPr>
  </w:style>
  <w:style w:type="paragraph" w:customStyle="1" w:styleId="Definition">
    <w:name w:val="Definition"/>
    <w:basedOn w:val="Normal"/>
    <w:pPr>
      <w:keepNext w:val="0"/>
      <w:widowControl/>
      <w:spacing w:line="240" w:lineRule="auto" w:before="0" w:after="120"/>
      <w:ind w:firstLine="0" w:left="72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Caption">
    <w:name w:val="Caption"/>
    <w:basedOn w:val="Normal"/>
    <w:link w:val="BodyTextChar"/>
    <w:pPr>
      <w:keepNext w:val="0"/>
      <w:widowControl/>
      <w:spacing w:before="120" w:after="240" w:line="240" w:lineRule="auto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TableCaption">
    <w:name w:val="Table Caption"/>
    <w:basedOn w:val="Caption"/>
    <w:pPr>
      <w:keepNext/>
      <w:widowControl/>
      <w:spacing w:line="240" w:lineRule="auto" w:before="240" w:after="12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ImageCaption">
    <w:name w:val="Image Caption"/>
    <w:basedOn w:val="Caption"/>
    <w:pPr>
      <w:keepNext w:val="0"/>
      <w:widowControl/>
      <w:spacing w:line="240" w:lineRule="auto" w:before="120" w:after="24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Figure">
    <w:name w:val="Figure"/>
    <w:basedOn w:val="Normal"/>
    <w:pPr>
      <w:keepNext/>
      <w:widowControl/>
      <w:spacing w:line="240" w:lineRule="auto" w:before="240" w:after="0"/>
      <w:ind w:firstLine="0" w:left="0" w:righ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CaptionedFigure">
    <w:name w:val="Captioned Figure"/>
    <w:basedOn w:val="Figure"/>
    <w:pPr>
      <w:keepNext/>
      <w:widowControl/>
      <w:spacing w:line="240" w:lineRule="auto" w:before="240" w:after="0"/>
      <w:ind w:firstLine="0" w:left="0" w:righ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eastAsia="Courier New" w:cs="Courier New"/>
      <w:b w:val="0"/>
      <w:i w:val="0"/>
      <w:color w:val="000000"/>
      <w:sz w:val="20"/>
      <w:u w:val="none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rFonts w:ascii="Times New Roman" w:hAnsi="Times New Roman" w:eastAsia="Times New Roman" w:cs="Times New Roman"/>
      <w:b w:val="0"/>
      <w:i w:val="0"/>
      <w:color w:val="000000"/>
      <w:sz w:val="24"/>
      <w:u w:val="none"/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 w:val="0"/>
      <w:widowControl/>
      <w:spacing w:before="240" w:line="240" w:lineRule="auto" w:after="120"/>
      <w:ind w:firstLine="0" w:left="0" w:right="0"/>
      <w:jc w:val="left"/>
      <w:outlineLvl w:val="9"/>
    </w:pPr>
    <w:rPr>
      <w:rFonts w:ascii="Times New Roman" w:hAnsi="Times New Roman" w:eastAsia="Times New Roman" w:cs="Times New Roman"/>
      <w:b/>
      <w:bCs w:val="0"/>
      <w:i w:val="0"/>
      <w:color w:val="000000"/>
      <w:sz w:val="24"/>
    </w:rPr>
  </w:style>
  <w:style w:type="paragraph" w:customStyle="1" w:styleId="TableNote">
    <w:name w:val="Table Note"/>
    <w:basedOn w:val="Normal"/>
    <w:pPr>
      <w:keepNext w:val="0"/>
      <w:widowControl/>
      <w:spacing w:line="240" w:lineRule="auto" w:before="0" w:after="8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0"/>
    </w:rPr>
  </w:style>
  <w:style w:type="paragraph" w:customStyle="1" w:styleId="FigureNote">
    <w:name w:val="Figure Note"/>
    <w:basedOn w:val="Normal"/>
    <w:pPr>
      <w:keepNext w:val="0"/>
      <w:widowControl/>
      <w:spacing w:line="240" w:lineRule="auto" w:before="0" w:after="80"/>
      <w:ind w:firstLine="0" w:left="0" w:righ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Document: Critical Review of Agbola and Acupan (2010)</dc:title>
  <dc:creator>Lian Cataytay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