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mbria" w:cs="Cambria" w:eastAsia="Cambria" w:hAnsi="Cambria"/>
          <w:b/>
          <w:bCs/>
          <w:color w:val="0B3C49"/>
          <w:sz w:val="34"/>
          <w:szCs w:val="34"/>
        </w:rPr>
        <w:t xml:space="preserve">A Critical Review of “An Empirical Analysis of International Labour Migration in the Philippines”</w:t>
      </w:r>
    </w:p>
    <w:p>
      <w:pPr>
        <w:spacing w:after="60"/>
        <w:jc w:val="center"/>
      </w:pPr>
      <w:r>
        <w:rPr>
          <w:i/>
          <w:iCs/>
        </w:rPr>
        <w:t xml:space="preserve">Agbola, F. W., &amp; Acupan, A. B. (2010). Economic Systems, 34, 386–396.</w:t>
      </w:r>
    </w:p>
    <w:p>
      <w:pPr>
        <w:spacing w:after="360"/>
        <w:jc w:val="center"/>
      </w:pPr>
      <w:r>
        <w:t xml:space="preserve">Prepared by: Cataytay</w:t>
      </w:r>
    </w:p>
    <w:p>
      <w:pPr>
        <w:pStyle w:val="Heading1"/>
      </w:pPr>
      <w:r>
        <w:t xml:space="preserve">Introduction</w:t>
      </w:r>
    </w:p>
    <w:p>
      <w:pPr>
        <w:spacing w:after="160" w:line="300"/>
      </w:pPr>
      <w:r>
        <w:t xml:space="preserve">Many Filipinos leave the country to live or work abroad. In 2007, about 8.2 million Filipinos were living or working in more than 193 countries. In the same year, they sent home US$14.4 billion in remittances (money sent home by workers abroad). Because emigration is this large, it is important to know what causes it.</w:t>
      </w:r>
    </w:p>
    <w:p>
      <w:pPr>
        <w:spacing w:after="160" w:line="300"/>
      </w:pPr>
      <w:r>
        <w:t xml:space="preserve">Agbola and Acupan (2010) study this question using yearly national data from 1975 to 2005. This review explains the study’s research problem, theoretical framework, data, methodology, key findings, and areas for further research. It also gives a critical assessment of the study’s strengths and weaknesses.</w:t>
      </w:r>
    </w:p>
    <w:p>
      <w:pPr>
        <w:pStyle w:val="Heading2"/>
      </w:pPr>
      <w:r>
        <w:t xml:space="preserve">Key terms</w:t>
      </w:r>
    </w:p>
    <w:p>
      <w:pPr>
        <w:spacing w:after="160" w:line="300"/>
      </w:pPr>
      <w:r>
        <w:t xml:space="preserve">The review uses the following terms. Each term keeps the same meaning throughout.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9D3D6" w:sz="4"/>
              <w:left w:val="single" w:color="C9D3D6" w:sz="4"/>
              <w:bottom w:val="single" w:color="C9D3D6" w:sz="4"/>
              <w:right w:val="single" w:color="C9D3D6" w:sz="4"/>
            </w:tcBorders>
            <w:shd w:fill="0B3C49" w:color="auto" w:val="clear"/>
            <w:tcMar>
              <w:top w:type="dxa" w:w="60"/>
              <w:left w:type="dxa" w:w="100"/>
              <w:bottom w:type="dxa" w:w="60"/>
              <w:right w:type="dxa" w:w="100"/>
            </w:tcMar>
          </w:tcPr>
          <w:p>
            <w:r>
              <w:rPr>
                <w:b/>
                <w:bCs/>
                <w:color w:val="FFFFFF"/>
                <w:sz w:val="20"/>
                <w:szCs w:val="20"/>
              </w:rPr>
              <w:t xml:space="preserve">Term</w:t>
            </w:r>
          </w:p>
        </w:tc>
        <w:tc>
          <w:tcPr>
            <w:tcW w:type="dxa" w:w="6760"/>
            <w:tcBorders>
              <w:top w:val="single" w:color="C9D3D6" w:sz="4"/>
              <w:left w:val="single" w:color="C9D3D6" w:sz="4"/>
              <w:bottom w:val="single" w:color="C9D3D6" w:sz="4"/>
              <w:right w:val="single" w:color="C9D3D6" w:sz="4"/>
            </w:tcBorders>
            <w:shd w:fill="0B3C49" w:color="auto" w:val="clear"/>
            <w:tcMar>
              <w:top w:type="dxa" w:w="60"/>
              <w:left w:type="dxa" w:w="100"/>
              <w:bottom w:type="dxa" w:w="60"/>
              <w:right w:type="dxa" w:w="100"/>
            </w:tcMar>
          </w:tcPr>
          <w:p>
            <w:r>
              <w:rPr>
                <w:b/>
                <w:bCs/>
                <w:color w:val="FFFFFF"/>
                <w:sz w:val="20"/>
                <w:szCs w:val="20"/>
              </w:rPr>
              <w:t xml:space="preserve">Meaning in this review</w:t>
            </w:r>
          </w:p>
        </w:tc>
      </w:tr>
      <w:tr>
        <w:tc>
          <w:tcPr>
            <w:tcW w:type="dxa" w:w="26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Emigration</w:t>
            </w:r>
          </w:p>
        </w:tc>
        <w:tc>
          <w:tcPr>
            <w:tcW w:type="dxa" w:w="676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People leaving the Philippines to live or work in another country.</w:t>
            </w:r>
          </w:p>
        </w:tc>
      </w:tr>
      <w:tr>
        <w:tc>
          <w:tcPr>
            <w:tcW w:type="dxa" w:w="26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Migration share</w:t>
            </w:r>
          </w:p>
        </w:tc>
        <w:tc>
          <w:tcPr>
            <w:tcW w:type="dxa" w:w="676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The number of Filipino migrants as a share of the Philippine population. This is what the study tries to explain.</w:t>
            </w:r>
          </w:p>
        </w:tc>
      </w:tr>
      <w:tr>
        <w:tc>
          <w:tcPr>
            <w:tcW w:type="dxa" w:w="26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Explanatory variable</w:t>
            </w:r>
          </w:p>
        </w:tc>
        <w:tc>
          <w:tcPr>
            <w:tcW w:type="dxa" w:w="676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A factor that may make the migration share go up or down, such as unemployment.</w:t>
            </w:r>
          </w:p>
        </w:tc>
      </w:tr>
      <w:tr>
        <w:tc>
          <w:tcPr>
            <w:tcW w:type="dxa" w:w="26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Push factor</w:t>
            </w:r>
          </w:p>
        </w:tc>
        <w:tc>
          <w:tcPr>
            <w:tcW w:type="dxa" w:w="676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A condition at home that pushes people to leave (for example, no jobs).</w:t>
            </w:r>
          </w:p>
        </w:tc>
      </w:tr>
      <w:tr>
        <w:tc>
          <w:tcPr>
            <w:tcW w:type="dxa" w:w="26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Pull factor</w:t>
            </w:r>
          </w:p>
        </w:tc>
        <w:tc>
          <w:tcPr>
            <w:tcW w:type="dxa" w:w="676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A condition abroad that pulls people in (for example, higher wages).</w:t>
            </w:r>
          </w:p>
        </w:tc>
      </w:tr>
      <w:tr>
        <w:tc>
          <w:tcPr>
            <w:tcW w:type="dxa" w:w="26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Proxy</w:t>
            </w:r>
          </w:p>
        </w:tc>
        <w:tc>
          <w:tcPr>
            <w:tcW w:type="dxa" w:w="676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A stand-in measure for something that cannot be measured directly.</w:t>
            </w:r>
          </w:p>
        </w:tc>
      </w:tr>
      <w:tr>
        <w:tc>
          <w:tcPr>
            <w:tcW w:type="dxa" w:w="26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Time series</w:t>
            </w:r>
          </w:p>
        </w:tc>
        <w:tc>
          <w:tcPr>
            <w:tcW w:type="dxa" w:w="676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Data on the same thing collected over many years, one value per year.</w:t>
            </w:r>
          </w:p>
        </w:tc>
      </w:tr>
      <w:tr>
        <w:tc>
          <w:tcPr>
            <w:tcW w:type="dxa" w:w="26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Stationary</w:t>
            </w:r>
          </w:p>
        </w:tc>
        <w:tc>
          <w:tcPr>
            <w:tcW w:type="dxa" w:w="676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A time series that moves around a stable average instead of drifting over time.</w:t>
            </w:r>
          </w:p>
        </w:tc>
      </w:tr>
      <w:tr>
        <w:tc>
          <w:tcPr>
            <w:tcW w:type="dxa" w:w="26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Unit root test</w:t>
            </w:r>
          </w:p>
        </w:tc>
        <w:tc>
          <w:tcPr>
            <w:tcW w:type="dxa" w:w="676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A test that checks whether a time series is stationary.</w:t>
            </w:r>
          </w:p>
        </w:tc>
      </w:tr>
      <w:tr>
        <w:tc>
          <w:tcPr>
            <w:tcW w:type="dxa" w:w="26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First difference</w:t>
            </w:r>
          </w:p>
        </w:tc>
        <w:tc>
          <w:tcPr>
            <w:tcW w:type="dxa" w:w="676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The change in a variable from one year to the next.</w:t>
            </w:r>
          </w:p>
        </w:tc>
      </w:tr>
      <w:tr>
        <w:tc>
          <w:tcPr>
            <w:tcW w:type="dxa" w:w="26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Cointegration</w:t>
            </w:r>
          </w:p>
        </w:tc>
        <w:tc>
          <w:tcPr>
            <w:tcW w:type="dxa" w:w="676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When time series that drift over time still move together in the long run.</w:t>
            </w:r>
          </w:p>
        </w:tc>
      </w:tr>
      <w:tr>
        <w:tc>
          <w:tcPr>
            <w:tcW w:type="dxa" w:w="26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Error correction model (ECM)</w:t>
            </w:r>
          </w:p>
        </w:tc>
        <w:tc>
          <w:tcPr>
            <w:tcW w:type="dxa" w:w="676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A model that shows short-run changes and how the data return to their long-run relationship.</w:t>
            </w:r>
          </w:p>
        </w:tc>
      </w:tr>
      <w:tr>
        <w:tc>
          <w:tcPr>
            <w:tcW w:type="dxa" w:w="26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Error correction term (ECT)</w:t>
            </w:r>
          </w:p>
        </w:tc>
        <w:tc>
          <w:tcPr>
            <w:tcW w:type="dxa" w:w="676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The part of the ECM that shows how fast the data return to the long-run relationship.</w:t>
            </w:r>
          </w:p>
        </w:tc>
      </w:tr>
      <w:tr>
        <w:tc>
          <w:tcPr>
            <w:tcW w:type="dxa" w:w="26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Coefficient</w:t>
            </w:r>
          </w:p>
        </w:tc>
        <w:tc>
          <w:tcPr>
            <w:tcW w:type="dxa" w:w="676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A number that shows how much the migration share changes when an explanatory variable changes.</w:t>
            </w:r>
          </w:p>
        </w:tc>
      </w:tr>
      <w:tr>
        <w:tc>
          <w:tcPr>
            <w:tcW w:type="dxa" w:w="26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Statistically significant</w:t>
            </w:r>
          </w:p>
        </w:tc>
        <w:tc>
          <w:tcPr>
            <w:tcW w:type="dxa" w:w="676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A result that is unlikely to be due to chance. This study uses the 5% level.</w:t>
            </w:r>
          </w:p>
        </w:tc>
      </w:tr>
      <w:tr>
        <w:tc>
          <w:tcPr>
            <w:tcW w:type="dxa" w:w="26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t-statistic</w:t>
            </w:r>
          </w:p>
        </w:tc>
        <w:tc>
          <w:tcPr>
            <w:tcW w:type="dxa" w:w="676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A number used to judge statistical significance. In this study, values beyond about ±2 are statistically significant.</w:t>
            </w:r>
          </w:p>
        </w:tc>
      </w:tr>
    </w:tbl>
    <w:p>
      <w:pPr>
        <w:spacing w:after="240" w:before="80"/>
      </w:pPr>
      <w:r>
        <w:rPr>
          <w:i/>
          <w:iCs/>
          <w:color w:val="6B7B84"/>
          <w:sz w:val="20"/>
          <w:szCs w:val="20"/>
        </w:rPr>
        <w:t xml:space="preserve">Table 1. Key terms used in this review.</w:t>
      </w:r>
    </w:p>
    <w:p>
      <w:pPr>
        <w:pStyle w:val="Heading1"/>
      </w:pPr>
      <w:r>
        <w:t xml:space="preserve">1. Research Problem and Gap</w:t>
      </w:r>
    </w:p>
    <w:p>
      <w:pPr>
        <w:spacing w:after="160" w:line="300"/>
      </w:pPr>
      <w:r>
        <w:t xml:space="preserve">The Philippines began sending workers abroad in the early 1970s. At first, this was a short-term fix for high unemployment and a balance-of-payments crisis (when a country spends more foreign money than it earns). Over time, emigration became a permanent part of the economy.</w:t>
      </w:r>
    </w:p>
    <w:p>
      <w:pPr>
        <w:spacing w:after="160" w:line="300"/>
      </w:pPr>
      <w:r>
        <w:t xml:space="preserve">The authors also show that government policy is unclear. Republic Act 8042, the Migrant Workers and Overseas Filipinos Act of 1995, says that the State “does not promote overseas employment” as a way to grow the economy (Section 2c). Yet the same law says that the deployment of overseas Filipino workers “shall be encouraged” (Section 2i).</w:t>
      </w:r>
    </w:p>
    <w:p>
      <w:pPr>
        <w:spacing w:after="160" w:line="300"/>
      </w:pPr>
      <w:r>
        <w:t xml:space="preserve">The </w:t>
      </w:r>
      <w:r>
        <w:rPr>
          <w:b/>
          <w:bCs/>
        </w:rPr>
        <w:t xml:space="preserve">knowledge gap</w:t>
      </w:r>
      <w:r>
        <w:t xml:space="preserve"> is that the causes of emigration from the Philippines are “not well established.” Policymakers need evidence on which push factors matter most. The </w:t>
      </w:r>
      <w:r>
        <w:rPr>
          <w:b/>
          <w:bCs/>
        </w:rPr>
        <w:t xml:space="preserve">research question</w:t>
      </w:r>
      <w:r>
        <w:t xml:space="preserve"> is: How do economic, demographic and political factors affect emigration from the Philippines?</w:t>
      </w:r>
    </w:p>
    <w:p>
      <w:pPr>
        <w:pBdr>
          <w:left w:val="single" w:color="E0A43A" w:sz="12" w:space="8"/>
        </w:pBdr>
        <w:spacing w:after="200" w:before="80" w:line="300"/>
        <w:ind w:left="200"/>
      </w:pPr>
      <w:r>
        <w:rPr>
          <w:b/>
          <w:bCs/>
          <w:color w:val="C8553D"/>
        </w:rPr>
        <w:t xml:space="preserve">Critical comment: </w:t>
      </w:r>
      <w:r>
        <w:t xml:space="preserve">The problem is clear and important. However, the authors do not review earlier studies on Philippine emigration in detail. As a result, the gap is stated more than it is shown.</w:t>
      </w:r>
    </w:p>
    <w:p>
      <w:pPr>
        <w:pStyle w:val="Heading1"/>
      </w:pPr>
      <w:r>
        <w:t xml:space="preserve">2. Theoretical Framework</w:t>
      </w:r>
    </w:p>
    <w:p>
      <w:pPr>
        <w:spacing w:after="160" w:line="300"/>
      </w:pPr>
      <w:r>
        <w:t xml:space="preserve">The authors admit that no single theory explains emigration. They combine ideas from four theories:</w:t>
      </w:r>
    </w:p>
    <w:p>
      <w:pPr>
        <w:pStyle w:val="ListParagraph"/>
        <w:numPr>
          <w:ilvl w:val="0"/>
          <w:numId w:val="2"/>
        </w:numPr>
        <w:spacing w:after="80" w:line="300"/>
      </w:pPr>
      <w:r>
        <w:rPr>
          <w:b/>
          <w:bCs/>
        </w:rPr>
        <w:t xml:space="preserve">Ravenstein (1885) and Todaro (1969):</w:t>
      </w:r>
      <w:r>
        <w:t xml:space="preserve"> people migrate when they expect a better life abroad.</w:t>
      </w:r>
    </w:p>
    <w:p>
      <w:pPr>
        <w:pStyle w:val="ListParagraph"/>
        <w:numPr>
          <w:ilvl w:val="0"/>
          <w:numId w:val="2"/>
        </w:numPr>
        <w:spacing w:after="80" w:line="300"/>
      </w:pPr>
      <w:r>
        <w:rPr>
          <w:b/>
          <w:bCs/>
        </w:rPr>
        <w:t xml:space="preserve">Human capital theory (Hicks, 1939; Sjaastad, 1962):</w:t>
      </w:r>
      <w:r>
        <w:t xml:space="preserve"> migration is an investment, like going to school. More educated people are expected to migrate more.</w:t>
      </w:r>
    </w:p>
    <w:p>
      <w:pPr>
        <w:pStyle w:val="ListParagraph"/>
        <w:numPr>
          <w:ilvl w:val="0"/>
          <w:numId w:val="2"/>
        </w:numPr>
        <w:spacing w:after="80" w:line="300"/>
      </w:pPr>
      <w:r>
        <w:rPr>
          <w:b/>
          <w:bCs/>
        </w:rPr>
        <w:t xml:space="preserve">The Roy effect (Borjas, 1987):</w:t>
      </w:r>
      <w:r>
        <w:t xml:space="preserve"> income inequality decides which skill groups leave.</w:t>
      </w:r>
    </w:p>
    <w:p>
      <w:pPr>
        <w:pStyle w:val="ListParagraph"/>
        <w:numPr>
          <w:ilvl w:val="0"/>
          <w:numId w:val="2"/>
        </w:numPr>
        <w:spacing w:after="80" w:line="300"/>
      </w:pPr>
      <w:r>
        <w:rPr>
          <w:b/>
          <w:bCs/>
        </w:rPr>
        <w:t xml:space="preserve">The gravity model (Greenwood, 1975; Adams &amp; Page, 2003):</w:t>
      </w:r>
      <w:r>
        <w:t xml:space="preserve"> migration depends on income, population and the cost of migration.</w:t>
      </w:r>
    </w:p>
    <w:p>
      <w:pPr>
        <w:spacing w:after="160" w:line="300"/>
      </w:pPr>
      <w:r>
        <w:t xml:space="preserve">From these ideas, the authors build one equation. The migration share depends on nine explanatory variables: cost of migration, adult literacy, income inequality, income inequality squared, political instability, inflation, population density, unemployment and per capita income.</w:t>
      </w:r>
    </w:p>
    <w:p>
      <w:pPr>
        <w:pBdr>
          <w:left w:val="single" w:color="E0A43A" w:sz="12" w:space="8"/>
        </w:pBdr>
        <w:spacing w:after="200" w:before="80" w:line="300"/>
        <w:ind w:left="200"/>
      </w:pPr>
      <w:r>
        <w:rPr>
          <w:b/>
          <w:bCs/>
          <w:color w:val="C8553D"/>
        </w:rPr>
        <w:t xml:space="preserve">Critical comment: </w:t>
      </w:r>
      <w:r>
        <w:t xml:space="preserve">The framework is a mix of theories, not one clear model. The theories are used mainly to predict whether each coefficient should be positive or negative. Also, the gravity model normally compares two places: the home country and the destination country. This study uses only push factors from the Philippines. Pull factors from destination countries are left out.</w:t>
      </w:r>
    </w:p>
    <w:p>
      <w:pPr>
        <w:pStyle w:val="Heading1"/>
      </w:pPr>
      <w:r>
        <w:t xml:space="preserve">3. Data</w:t>
      </w:r>
    </w:p>
    <w:p>
      <w:pPr>
        <w:spacing w:after="160" w:line="300"/>
      </w:pPr>
      <w:r>
        <w:t xml:space="preserve">The study uses yearly national data from 1975 to 2005. This gives only 31 observations, one per year. All the data are secondary data, which means other agencies collected them. Table 2 shows each variable, how it is measured, where it comes from, and the sign the authors expected for its coefficient.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500"/>
        <w:gridCol w:w="2160"/>
        <w:gridCol w:w="1600"/>
      </w:tblGrid>
      <w:tr>
        <w:trPr>
          <w:tblHeader/>
        </w:trPr>
        <w:tc>
          <w:tcPr>
            <w:tcW w:type="dxa" w:w="2100"/>
            <w:tcBorders>
              <w:top w:val="single" w:color="C9D3D6" w:sz="4"/>
              <w:left w:val="single" w:color="C9D3D6" w:sz="4"/>
              <w:bottom w:val="single" w:color="C9D3D6" w:sz="4"/>
              <w:right w:val="single" w:color="C9D3D6" w:sz="4"/>
            </w:tcBorders>
            <w:shd w:fill="0B3C49" w:color="auto" w:val="clear"/>
            <w:tcMar>
              <w:top w:type="dxa" w:w="60"/>
              <w:left w:type="dxa" w:w="100"/>
              <w:bottom w:type="dxa" w:w="60"/>
              <w:right w:type="dxa" w:w="100"/>
            </w:tcMar>
          </w:tcPr>
          <w:p>
            <w:r>
              <w:rPr>
                <w:b/>
                <w:bCs/>
                <w:color w:val="FFFFFF"/>
                <w:sz w:val="20"/>
                <w:szCs w:val="20"/>
              </w:rPr>
              <w:t xml:space="preserve">Variable</w:t>
            </w:r>
          </w:p>
        </w:tc>
        <w:tc>
          <w:tcPr>
            <w:tcW w:type="dxa" w:w="3500"/>
            <w:tcBorders>
              <w:top w:val="single" w:color="C9D3D6" w:sz="4"/>
              <w:left w:val="single" w:color="C9D3D6" w:sz="4"/>
              <w:bottom w:val="single" w:color="C9D3D6" w:sz="4"/>
              <w:right w:val="single" w:color="C9D3D6" w:sz="4"/>
            </w:tcBorders>
            <w:shd w:fill="0B3C49" w:color="auto" w:val="clear"/>
            <w:tcMar>
              <w:top w:type="dxa" w:w="60"/>
              <w:left w:type="dxa" w:w="100"/>
              <w:bottom w:type="dxa" w:w="60"/>
              <w:right w:type="dxa" w:w="100"/>
            </w:tcMar>
          </w:tcPr>
          <w:p>
            <w:r>
              <w:rPr>
                <w:b/>
                <w:bCs/>
                <w:color w:val="FFFFFF"/>
                <w:sz w:val="20"/>
                <w:szCs w:val="20"/>
              </w:rPr>
              <w:t xml:space="preserve">Measure / proxy</w:t>
            </w:r>
          </w:p>
        </w:tc>
        <w:tc>
          <w:tcPr>
            <w:tcW w:type="dxa" w:w="2160"/>
            <w:tcBorders>
              <w:top w:val="single" w:color="C9D3D6" w:sz="4"/>
              <w:left w:val="single" w:color="C9D3D6" w:sz="4"/>
              <w:bottom w:val="single" w:color="C9D3D6" w:sz="4"/>
              <w:right w:val="single" w:color="C9D3D6" w:sz="4"/>
            </w:tcBorders>
            <w:shd w:fill="0B3C49" w:color="auto" w:val="clear"/>
            <w:tcMar>
              <w:top w:type="dxa" w:w="60"/>
              <w:left w:type="dxa" w:w="100"/>
              <w:bottom w:type="dxa" w:w="60"/>
              <w:right w:type="dxa" w:w="100"/>
            </w:tcMar>
          </w:tcPr>
          <w:p>
            <w:r>
              <w:rPr>
                <w:b/>
                <w:bCs/>
                <w:color w:val="FFFFFF"/>
                <w:sz w:val="20"/>
                <w:szCs w:val="20"/>
              </w:rPr>
              <w:t xml:space="preserve">Source</w:t>
            </w:r>
          </w:p>
        </w:tc>
        <w:tc>
          <w:tcPr>
            <w:tcW w:type="dxa" w:w="1600"/>
            <w:tcBorders>
              <w:top w:val="single" w:color="C9D3D6" w:sz="4"/>
              <w:left w:val="single" w:color="C9D3D6" w:sz="4"/>
              <w:bottom w:val="single" w:color="C9D3D6" w:sz="4"/>
              <w:right w:val="single" w:color="C9D3D6" w:sz="4"/>
            </w:tcBorders>
            <w:shd w:fill="0B3C49" w:color="auto" w:val="clear"/>
            <w:tcMar>
              <w:top w:type="dxa" w:w="60"/>
              <w:left w:type="dxa" w:w="100"/>
              <w:bottom w:type="dxa" w:w="60"/>
              <w:right w:type="dxa" w:w="100"/>
            </w:tcMar>
          </w:tcPr>
          <w:p>
            <w:r>
              <w:rPr>
                <w:b/>
                <w:bCs/>
                <w:color w:val="FFFFFF"/>
                <w:sz w:val="20"/>
                <w:szCs w:val="20"/>
              </w:rPr>
              <w:t xml:space="preserve">Expected sign</w:t>
            </w:r>
          </w:p>
        </w:tc>
      </w:tr>
      <w:tr>
        <w:tc>
          <w:tcPr>
            <w:tcW w:type="dxa" w:w="21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Migration share</w:t>
            </w:r>
          </w:p>
        </w:tc>
        <w:tc>
          <w:tcPr>
            <w:tcW w:type="dxa" w:w="35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Migrants (temporary and permanent) ÷ population</w:t>
            </w:r>
          </w:p>
        </w:tc>
        <w:tc>
          <w:tcPr>
            <w:tcW w:type="dxa" w:w="216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CFO; NSCB</w:t>
            </w:r>
          </w:p>
        </w:tc>
        <w:tc>
          <w:tcPr>
            <w:tcW w:type="dxa" w:w="16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(explained)</w:t>
            </w:r>
          </w:p>
        </w:tc>
      </w:tr>
      <w:tr>
        <w:tc>
          <w:tcPr>
            <w:tcW w:type="dxa" w:w="21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Cost of migration</w:t>
            </w:r>
          </w:p>
        </w:tc>
        <w:tc>
          <w:tcPr>
            <w:tcW w:type="dxa" w:w="35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Average one-way airfare from Manila to the top 24 destinations (proxy)</w:t>
            </w:r>
          </w:p>
        </w:tc>
        <w:tc>
          <w:tcPr>
            <w:tcW w:type="dxa" w:w="216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Authors’ estimate</w:t>
            </w:r>
          </w:p>
        </w:tc>
        <w:tc>
          <w:tcPr>
            <w:tcW w:type="dxa" w:w="16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Negative</w:t>
            </w:r>
          </w:p>
        </w:tc>
      </w:tr>
      <w:tr>
        <w:tc>
          <w:tcPr>
            <w:tcW w:type="dxa" w:w="21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Adult literacy</w:t>
            </w:r>
          </w:p>
        </w:tc>
        <w:tc>
          <w:tcPr>
            <w:tcW w:type="dxa" w:w="35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Adult literacy rate (proxy for education)</w:t>
            </w:r>
          </w:p>
        </w:tc>
        <w:tc>
          <w:tcPr>
            <w:tcW w:type="dxa" w:w="216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BSP; NSCB</w:t>
            </w:r>
          </w:p>
        </w:tc>
        <w:tc>
          <w:tcPr>
            <w:tcW w:type="dxa" w:w="16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Positive</w:t>
            </w:r>
          </w:p>
        </w:tc>
      </w:tr>
      <w:tr>
        <w:tc>
          <w:tcPr>
            <w:tcW w:type="dxa" w:w="21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Income inequality, income inequality²</w:t>
            </w:r>
          </w:p>
        </w:tc>
        <w:tc>
          <w:tcPr>
            <w:tcW w:type="dxa" w:w="35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Gini coefficient and its square (Roy effect)</w:t>
            </w:r>
          </w:p>
        </w:tc>
        <w:tc>
          <w:tcPr>
            <w:tcW w:type="dxa" w:w="216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Not stated</w:t>
            </w:r>
          </w:p>
        </w:tc>
        <w:tc>
          <w:tcPr>
            <w:tcW w:type="dxa" w:w="16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Unclear</w:t>
            </w:r>
          </w:p>
        </w:tc>
      </w:tr>
      <w:tr>
        <w:tc>
          <w:tcPr>
            <w:tcW w:type="dxa" w:w="21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Political instability</w:t>
            </w:r>
          </w:p>
        </w:tc>
        <w:tc>
          <w:tcPr>
            <w:tcW w:type="dxa" w:w="35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Number of leadership changes, coups and uprisings</w:t>
            </w:r>
          </w:p>
        </w:tc>
        <w:tc>
          <w:tcPr>
            <w:tcW w:type="dxa" w:w="216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Gastil (1987) approach</w:t>
            </w:r>
          </w:p>
        </w:tc>
        <w:tc>
          <w:tcPr>
            <w:tcW w:type="dxa" w:w="16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Negative</w:t>
            </w:r>
          </w:p>
        </w:tc>
      </w:tr>
      <w:tr>
        <w:tc>
          <w:tcPr>
            <w:tcW w:type="dxa" w:w="21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Inflation</w:t>
            </w:r>
          </w:p>
        </w:tc>
        <w:tc>
          <w:tcPr>
            <w:tcW w:type="dxa" w:w="35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Inflation rate (consumer prices)</w:t>
            </w:r>
          </w:p>
        </w:tc>
        <w:tc>
          <w:tcPr>
            <w:tcW w:type="dxa" w:w="216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IMF; BSP; NSCB</w:t>
            </w:r>
          </w:p>
        </w:tc>
        <w:tc>
          <w:tcPr>
            <w:tcW w:type="dxa" w:w="16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Negative</w:t>
            </w:r>
          </w:p>
        </w:tc>
      </w:tr>
      <w:tr>
        <w:tc>
          <w:tcPr>
            <w:tcW w:type="dxa" w:w="21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Population density</w:t>
            </w:r>
          </w:p>
        </w:tc>
        <w:tc>
          <w:tcPr>
            <w:tcW w:type="dxa" w:w="35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People per square kilometre</w:t>
            </w:r>
          </w:p>
        </w:tc>
        <w:tc>
          <w:tcPr>
            <w:tcW w:type="dxa" w:w="216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NSCB</w:t>
            </w:r>
          </w:p>
        </w:tc>
        <w:tc>
          <w:tcPr>
            <w:tcW w:type="dxa" w:w="16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Positive</w:t>
            </w:r>
          </w:p>
        </w:tc>
      </w:tr>
      <w:tr>
        <w:tc>
          <w:tcPr>
            <w:tcW w:type="dxa" w:w="21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Unemployment</w:t>
            </w:r>
          </w:p>
        </w:tc>
        <w:tc>
          <w:tcPr>
            <w:tcW w:type="dxa" w:w="35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Unemployment rate</w:t>
            </w:r>
          </w:p>
        </w:tc>
        <w:tc>
          <w:tcPr>
            <w:tcW w:type="dxa" w:w="216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IMF; BSP; NSCB</w:t>
            </w:r>
          </w:p>
        </w:tc>
        <w:tc>
          <w:tcPr>
            <w:tcW w:type="dxa" w:w="16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Positive</w:t>
            </w:r>
          </w:p>
        </w:tc>
      </w:tr>
      <w:tr>
        <w:tc>
          <w:tcPr>
            <w:tcW w:type="dxa" w:w="21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Per capita income</w:t>
            </w:r>
          </w:p>
        </w:tc>
        <w:tc>
          <w:tcPr>
            <w:tcW w:type="dxa" w:w="35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Real GDP per person</w:t>
            </w:r>
          </w:p>
        </w:tc>
        <w:tc>
          <w:tcPr>
            <w:tcW w:type="dxa" w:w="216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IMF; BSP; NSCB</w:t>
            </w:r>
          </w:p>
        </w:tc>
        <w:tc>
          <w:tcPr>
            <w:tcW w:type="dxa" w:w="16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Negative</w:t>
            </w:r>
          </w:p>
        </w:tc>
      </w:tr>
    </w:tbl>
    <w:p>
      <w:pPr>
        <w:spacing w:after="240" w:before="80"/>
      </w:pPr>
      <w:r>
        <w:rPr>
          <w:i/>
          <w:iCs/>
          <w:color w:val="6B7B84"/>
          <w:sz w:val="20"/>
          <w:szCs w:val="20"/>
        </w:rPr>
        <w:t xml:space="preserve">Table 2. Variables and data sources. CFO = Commission on Filipinos Overseas; NSCB = National Statistical Coordination Board; BSP = Bangko Sentral ng Pilipinas; IMF = International Monetary Fund.</w:t>
      </w:r>
    </w:p>
    <w:p>
      <w:pPr>
        <w:spacing w:after="160" w:line="300"/>
      </w:pPr>
      <w:r>
        <w:t xml:space="preserve">Two measures are proxies. Airfare stands in for the cost of migration, and adult literacy stands in for education, because data on schooling levels were not available for the whole period.</w:t>
      </w:r>
    </w:p>
    <w:p>
      <w:pPr>
        <w:pBdr>
          <w:left w:val="single" w:color="E0A43A" w:sz="12" w:space="8"/>
        </w:pBdr>
        <w:spacing w:after="200" w:before="80" w:line="300"/>
        <w:ind w:left="200"/>
      </w:pPr>
      <w:r>
        <w:rPr>
          <w:b/>
          <w:bCs/>
          <w:color w:val="C8553D"/>
        </w:rPr>
        <w:t xml:space="preserve">Critical comment: </w:t>
      </w:r>
      <w:r>
        <w:t xml:space="preserve">The paper does not say where the income inequality data came from. This matters because the Philippines measures the Gini coefficient only every few years, so the yearly values were probably estimated, but this is not explained. The migration share also mixes temporary workers and permanent emigrants, who may leave for different reasons.</w:t>
      </w:r>
    </w:p>
    <w:p>
      <w:pPr>
        <w:pStyle w:val="Heading1"/>
      </w:pPr>
      <w:r>
        <w:t xml:space="preserve">4. Methodology</w:t>
      </w:r>
    </w:p>
    <w:p>
      <w:pPr>
        <w:spacing w:after="160" w:line="300"/>
      </w:pPr>
      <w:r>
        <w:t xml:space="preserve">The study uses a quantitative, time-series approach. It analyses one country using national data. The methodology has five steps:</w:t>
      </w:r>
    </w:p>
    <w:p>
      <w:pPr>
        <w:pStyle w:val="ListParagraph"/>
        <w:numPr>
          <w:ilvl w:val="0"/>
          <w:numId w:val="3"/>
        </w:numPr>
        <w:spacing w:after="80" w:line="300"/>
      </w:pPr>
      <w:r>
        <w:rPr>
          <w:b/>
          <w:bCs/>
        </w:rPr>
        <w:t xml:space="preserve">Unit root tests.</w:t>
      </w:r>
      <w:r>
        <w:t xml:space="preserve"> The Augmented Dickey–Fuller (ADF) and Phillips–Perron (P–P) tests check whether each time series is stationary. Most variables are not stationary at first, but they become stationary after taking first differences.</w:t>
      </w:r>
    </w:p>
    <w:p>
      <w:pPr>
        <w:pStyle w:val="ListParagraph"/>
        <w:numPr>
          <w:ilvl w:val="0"/>
          <w:numId w:val="3"/>
        </w:numPr>
        <w:spacing w:after="80" w:line="300"/>
      </w:pPr>
      <w:r>
        <w:rPr>
          <w:b/>
          <w:bCs/>
        </w:rPr>
        <w:t xml:space="preserve">Cointegration tests.</w:t>
      </w:r>
      <w:r>
        <w:t xml:space="preserve"> The Engle–Granger test, the Johansen test and the Pesaran bounds test all show cointegration. This means the variables move together in the long run.</w:t>
      </w:r>
    </w:p>
    <w:p>
      <w:pPr>
        <w:pStyle w:val="ListParagraph"/>
        <w:numPr>
          <w:ilvl w:val="0"/>
          <w:numId w:val="3"/>
        </w:numPr>
        <w:spacing w:after="80" w:line="300"/>
      </w:pPr>
      <w:r>
        <w:rPr>
          <w:b/>
          <w:bCs/>
        </w:rPr>
        <w:t xml:space="preserve">Choosing the model.</w:t>
      </w:r>
      <w:r>
        <w:t xml:space="preserve"> The authors use a general-to-specific approach (Hendry &amp; Ericsson, 1991). They start with a large model and drop the terms that are not statistically significant, one at a time.</w:t>
      </w:r>
    </w:p>
    <w:p>
      <w:pPr>
        <w:pStyle w:val="ListParagraph"/>
        <w:numPr>
          <w:ilvl w:val="0"/>
          <w:numId w:val="3"/>
        </w:numPr>
        <w:spacing w:after="80" w:line="300"/>
      </w:pPr>
      <w:r>
        <w:rPr>
          <w:b/>
          <w:bCs/>
        </w:rPr>
        <w:t xml:space="preserve">Estimation.</w:t>
      </w:r>
      <w:r>
        <w:t xml:space="preserve"> The final ECM is estimated using ordinary least squares (OLS) in the EViews 6.0 software.</w:t>
      </w:r>
    </w:p>
    <w:p>
      <w:pPr>
        <w:pStyle w:val="ListParagraph"/>
        <w:numPr>
          <w:ilvl w:val="0"/>
          <w:numId w:val="3"/>
        </w:numPr>
        <w:spacing w:after="80" w:line="300"/>
      </w:pPr>
      <w:r>
        <w:rPr>
          <w:b/>
          <w:bCs/>
        </w:rPr>
        <w:t xml:space="preserve">Diagnostic tests.</w:t>
      </w:r>
      <w:r>
        <w:t xml:space="preserve"> The authors check the model for common problems: errors that are linked over time (Breusch–Godfrey test), a wrong model form (Ramsey RESET test), errors that are not normally distributed (Jarque–Bera test), errors whose spread changes over time (ARCH test), and coefficients that are not stable (CUSUM test). The model passes all of these tests.</w:t>
      </w:r>
    </w:p>
    <w:p>
      <w:pPr>
        <w:pBdr>
          <w:left w:val="single" w:color="E0A43A" w:sz="12" w:space="8"/>
        </w:pBdr>
        <w:spacing w:after="200" w:before="80" w:line="300"/>
        <w:ind w:left="200"/>
      </w:pPr>
      <w:r>
        <w:rPr>
          <w:b/>
          <w:bCs/>
          <w:color w:val="C8553D"/>
        </w:rPr>
        <w:t xml:space="preserve">Critical comment: </w:t>
      </w:r>
      <w:r>
        <w:t xml:space="preserve">The steps are standard and carefully done. However, there are three problems. First, the Johansen test finds five to eight long-run relationships, but the ECM keeps only one ECT. Second, the P–P test shows that per capita income is still not stationary after first differences (t = −2.123), and the authors do not discuss this. Third, 31 observations is a small sample for an ECM with ten explanatory terms (nine variables plus the ECT). With a small sample, the tests have low power, which means they may miss real effects.</w:t>
      </w:r>
    </w:p>
    <w:p>
      <w:pPr>
        <w:pStyle w:val="Heading1"/>
      </w:pPr>
      <w:r>
        <w:t xml:space="preserve">5. Key Findings</w:t>
      </w:r>
    </w:p>
    <w:p>
      <w:pPr>
        <w:pStyle w:val="Heading2"/>
      </w:pPr>
      <w:r>
        <w:t xml:space="preserve">How well the model fits</w:t>
      </w:r>
    </w:p>
    <w:p>
      <w:pPr>
        <w:pStyle w:val="ListParagraph"/>
        <w:numPr>
          <w:ilvl w:val="0"/>
          <w:numId w:val="2"/>
        </w:numPr>
        <w:spacing w:after="80" w:line="300"/>
      </w:pPr>
      <w:r>
        <w:rPr>
          <w:b/>
          <w:bCs/>
        </w:rPr>
        <w:t xml:space="preserve">Adjusted R² = 0.63.</w:t>
      </w:r>
      <w:r>
        <w:t xml:space="preserve"> The model explains 63% of the changes in the migration share.</w:t>
      </w:r>
    </w:p>
    <w:p>
      <w:pPr>
        <w:pStyle w:val="ListParagraph"/>
        <w:numPr>
          <w:ilvl w:val="0"/>
          <w:numId w:val="2"/>
        </w:numPr>
        <w:spacing w:after="80" w:line="300"/>
      </w:pPr>
      <w:r>
        <w:rPr>
          <w:b/>
          <w:bCs/>
        </w:rPr>
        <w:t xml:space="preserve">ECT = −0.776.</w:t>
      </w:r>
      <w:r>
        <w:t xml:space="preserve"> About 78% of any gap from the long-run relationship closes within one year.</w:t>
      </w:r>
    </w:p>
    <w:p>
      <w:pPr>
        <w:pStyle w:val="ListParagraph"/>
        <w:numPr>
          <w:ilvl w:val="0"/>
          <w:numId w:val="2"/>
        </w:numPr>
        <w:spacing w:after="80" w:line="300"/>
      </w:pPr>
      <w:r>
        <w:rPr>
          <w:b/>
          <w:bCs/>
        </w:rPr>
        <w:t xml:space="preserve">F-statistic = 5.848 (p = 0.000).</w:t>
      </w:r>
      <w:r>
        <w:t xml:space="preserve"> The explanatory variables matter when taken together.</w:t>
      </w:r>
    </w:p>
    <w:p>
      <w:pPr>
        <w:pStyle w:val="Heading2"/>
      </w:pPr>
      <w:r>
        <w:t xml:space="preserve">Four statistically significant push factors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300"/>
        <w:gridCol w:w="4260"/>
      </w:tblGrid>
      <w:tr>
        <w:trPr>
          <w:tblHeader/>
        </w:trPr>
        <w:tc>
          <w:tcPr>
            <w:tcW w:type="dxa" w:w="2300"/>
            <w:tcBorders>
              <w:top w:val="single" w:color="C9D3D6" w:sz="4"/>
              <w:left w:val="single" w:color="C9D3D6" w:sz="4"/>
              <w:bottom w:val="single" w:color="C9D3D6" w:sz="4"/>
              <w:right w:val="single" w:color="C9D3D6" w:sz="4"/>
            </w:tcBorders>
            <w:shd w:fill="0B3C49" w:color="auto" w:val="clear"/>
            <w:tcMar>
              <w:top w:type="dxa" w:w="60"/>
              <w:left w:type="dxa" w:w="100"/>
              <w:bottom w:type="dxa" w:w="60"/>
              <w:right w:type="dxa" w:w="100"/>
            </w:tcMar>
          </w:tcPr>
          <w:p>
            <w:r>
              <w:rPr>
                <w:b/>
                <w:bCs/>
                <w:color w:val="FFFFFF"/>
                <w:sz w:val="20"/>
                <w:szCs w:val="20"/>
              </w:rPr>
              <w:t xml:space="preserve">Explanatory variable</w:t>
            </w:r>
          </w:p>
        </w:tc>
        <w:tc>
          <w:tcPr>
            <w:tcW w:type="dxa" w:w="1500"/>
            <w:tcBorders>
              <w:top w:val="single" w:color="C9D3D6" w:sz="4"/>
              <w:left w:val="single" w:color="C9D3D6" w:sz="4"/>
              <w:bottom w:val="single" w:color="C9D3D6" w:sz="4"/>
              <w:right w:val="single" w:color="C9D3D6" w:sz="4"/>
            </w:tcBorders>
            <w:shd w:fill="0B3C49" w:color="auto" w:val="clear"/>
            <w:tcMar>
              <w:top w:type="dxa" w:w="60"/>
              <w:left w:type="dxa" w:w="100"/>
              <w:bottom w:type="dxa" w:w="60"/>
              <w:right w:type="dxa" w:w="100"/>
            </w:tcMar>
          </w:tcPr>
          <w:p>
            <w:r>
              <w:rPr>
                <w:b/>
                <w:bCs/>
                <w:color w:val="FFFFFF"/>
                <w:sz w:val="20"/>
                <w:szCs w:val="20"/>
              </w:rPr>
              <w:t xml:space="preserve">Coefficient</w:t>
            </w:r>
          </w:p>
        </w:tc>
        <w:tc>
          <w:tcPr>
            <w:tcW w:type="dxa" w:w="1300"/>
            <w:tcBorders>
              <w:top w:val="single" w:color="C9D3D6" w:sz="4"/>
              <w:left w:val="single" w:color="C9D3D6" w:sz="4"/>
              <w:bottom w:val="single" w:color="C9D3D6" w:sz="4"/>
              <w:right w:val="single" w:color="C9D3D6" w:sz="4"/>
            </w:tcBorders>
            <w:shd w:fill="0B3C49" w:color="auto" w:val="clear"/>
            <w:tcMar>
              <w:top w:type="dxa" w:w="60"/>
              <w:left w:type="dxa" w:w="100"/>
              <w:bottom w:type="dxa" w:w="60"/>
              <w:right w:type="dxa" w:w="100"/>
            </w:tcMar>
          </w:tcPr>
          <w:p>
            <w:r>
              <w:rPr>
                <w:b/>
                <w:bCs/>
                <w:color w:val="FFFFFF"/>
                <w:sz w:val="20"/>
                <w:szCs w:val="20"/>
              </w:rPr>
              <w:t xml:space="preserve">t-statistic</w:t>
            </w:r>
          </w:p>
        </w:tc>
        <w:tc>
          <w:tcPr>
            <w:tcW w:type="dxa" w:w="4260"/>
            <w:tcBorders>
              <w:top w:val="single" w:color="C9D3D6" w:sz="4"/>
              <w:left w:val="single" w:color="C9D3D6" w:sz="4"/>
              <w:bottom w:val="single" w:color="C9D3D6" w:sz="4"/>
              <w:right w:val="single" w:color="C9D3D6" w:sz="4"/>
            </w:tcBorders>
            <w:shd w:fill="0B3C49" w:color="auto" w:val="clear"/>
            <w:tcMar>
              <w:top w:type="dxa" w:w="60"/>
              <w:left w:type="dxa" w:w="100"/>
              <w:bottom w:type="dxa" w:w="60"/>
              <w:right w:type="dxa" w:w="100"/>
            </w:tcMar>
          </w:tcPr>
          <w:p>
            <w:r>
              <w:rPr>
                <w:b/>
                <w:bCs/>
                <w:color w:val="FFFFFF"/>
                <w:sz w:val="20"/>
                <w:szCs w:val="20"/>
              </w:rPr>
              <w:t xml:space="preserve">What it means</w:t>
            </w:r>
          </w:p>
        </w:tc>
      </w:tr>
      <w:tr>
        <w:tc>
          <w:tcPr>
            <w:tcW w:type="dxa" w:w="23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Unemployment</w:t>
            </w:r>
          </w:p>
        </w:tc>
        <w:tc>
          <w:tcPr>
            <w:tcW w:type="dxa" w:w="15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+0.236</w:t>
            </w:r>
          </w:p>
        </w:tc>
        <w:tc>
          <w:tcPr>
            <w:tcW w:type="dxa" w:w="13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4.629</w:t>
            </w:r>
          </w:p>
        </w:tc>
        <w:tc>
          <w:tcPr>
            <w:tcW w:type="dxa" w:w="426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Higher unemployment raises emigration. Emigration acts as a “safety valve” when there are not enough jobs.</w:t>
            </w:r>
          </w:p>
        </w:tc>
      </w:tr>
      <w:tr>
        <w:tc>
          <w:tcPr>
            <w:tcW w:type="dxa" w:w="23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Adult literacy</w:t>
            </w:r>
          </w:p>
        </w:tc>
        <w:tc>
          <w:tcPr>
            <w:tcW w:type="dxa" w:w="15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−0.659</w:t>
            </w:r>
          </w:p>
        </w:tc>
        <w:tc>
          <w:tcPr>
            <w:tcW w:type="dxa" w:w="13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−5.225</w:t>
            </w:r>
          </w:p>
        </w:tc>
        <w:tc>
          <w:tcPr>
            <w:tcW w:type="dxa" w:w="426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Higher adult literacy lowers emigration. This is the opposite of human capital theory.</w:t>
            </w:r>
          </w:p>
        </w:tc>
      </w:tr>
      <w:tr>
        <w:tc>
          <w:tcPr>
            <w:tcW w:type="dxa" w:w="23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Political instability</w:t>
            </w:r>
          </w:p>
        </w:tc>
        <w:tc>
          <w:tcPr>
            <w:tcW w:type="dxa" w:w="15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−0.482</w:t>
            </w:r>
          </w:p>
        </w:tc>
        <w:tc>
          <w:tcPr>
            <w:tcW w:type="dxa" w:w="130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−3.444</w:t>
            </w:r>
          </w:p>
        </w:tc>
        <w:tc>
          <w:tcPr>
            <w:tcW w:type="dxa" w:w="4260"/>
            <w:tcBorders>
              <w:top w:val="single" w:color="C9D3D6" w:sz="4"/>
              <w:left w:val="single" w:color="C9D3D6" w:sz="4"/>
              <w:bottom w:val="single" w:color="C9D3D6" w:sz="4"/>
              <w:right w:val="single" w:color="C9D3D6" w:sz="4"/>
            </w:tcBorders>
            <w:shd w:fill="EEF3F4" w:color="auto" w:val="clear"/>
            <w:tcMar>
              <w:top w:type="dxa" w:w="60"/>
              <w:left w:type="dxa" w:w="100"/>
              <w:bottom w:type="dxa" w:w="60"/>
              <w:right w:type="dxa" w:w="100"/>
            </w:tcMar>
          </w:tcPr>
          <w:p>
            <w:r>
              <w:rPr>
                <w:b w:val="false"/>
                <w:bCs w:val="false"/>
                <w:sz w:val="20"/>
                <w:szCs w:val="20"/>
              </w:rPr>
              <w:t xml:space="preserve">More political instability lowers emigration. The migration share fell in unstable years (1983, 1986, 2001, 2005).</w:t>
            </w:r>
          </w:p>
        </w:tc>
      </w:tr>
      <w:tr>
        <w:tc>
          <w:tcPr>
            <w:tcW w:type="dxa" w:w="23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Population density</w:t>
            </w:r>
          </w:p>
        </w:tc>
        <w:tc>
          <w:tcPr>
            <w:tcW w:type="dxa" w:w="15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−0.254</w:t>
            </w:r>
          </w:p>
        </w:tc>
        <w:tc>
          <w:tcPr>
            <w:tcW w:type="dxa" w:w="130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−2.756</w:t>
            </w:r>
          </w:p>
        </w:tc>
        <w:tc>
          <w:tcPr>
            <w:tcW w:type="dxa" w:w="4260"/>
            <w:tcBorders>
              <w:top w:val="single" w:color="C9D3D6" w:sz="4"/>
              <w:left w:val="single" w:color="C9D3D6" w:sz="4"/>
              <w:bottom w:val="single" w:color="C9D3D6" w:sz="4"/>
              <w:right w:val="single" w:color="C9D3D6" w:sz="4"/>
            </w:tcBorders>
            <w:tcMar>
              <w:top w:type="dxa" w:w="60"/>
              <w:left w:type="dxa" w:w="100"/>
              <w:bottom w:type="dxa" w:w="60"/>
              <w:right w:type="dxa" w:w="100"/>
            </w:tcMar>
          </w:tcPr>
          <w:p>
            <w:r>
              <w:rPr>
                <w:b w:val="false"/>
                <w:bCs w:val="false"/>
                <w:sz w:val="20"/>
                <w:szCs w:val="20"/>
              </w:rPr>
              <w:t xml:space="preserve">Higher population density lowers emigration. This is the opposite of what was expected.</w:t>
            </w:r>
          </w:p>
        </w:tc>
      </w:tr>
    </w:tbl>
    <w:p>
      <w:pPr>
        <w:spacing w:after="240" w:before="80"/>
      </w:pPr>
      <w:r>
        <w:rPr>
          <w:i/>
          <w:iCs/>
          <w:color w:val="6B7B84"/>
          <w:sz w:val="20"/>
          <w:szCs w:val="20"/>
        </w:rPr>
        <w:t xml:space="preserve">Table 3. Statistically significant explanatory variables (from Table 3 of the article).</w:t>
      </w:r>
    </w:p>
    <w:p>
      <w:pPr>
        <w:spacing w:after="160" w:line="300"/>
      </w:pPr>
      <w:r>
        <w:t xml:space="preserve">The authors explain the adult literacy result by saying that most Filipino migrants do low-skilled jobs abroad, so more education keeps people at home. They cannot fully explain the population density result. One possible reason they give is that a larger population creates more demand for local goods, which creates more jobs at home.</w:t>
      </w:r>
    </w:p>
    <w:p>
      <w:pPr>
        <w:pStyle w:val="Heading2"/>
      </w:pPr>
      <w:r>
        <w:t xml:space="preserve">Results that are not statistically significant</w:t>
      </w:r>
    </w:p>
    <w:p>
      <w:pPr>
        <w:pStyle w:val="ListParagraph"/>
        <w:numPr>
          <w:ilvl w:val="0"/>
          <w:numId w:val="2"/>
        </w:numPr>
        <w:spacing w:after="80" w:line="300"/>
      </w:pPr>
      <w:r>
        <w:rPr>
          <w:b/>
          <w:bCs/>
        </w:rPr>
        <w:t xml:space="preserve">Cost of migration, per capita income and inflation</w:t>
      </w:r>
      <w:r>
        <w:t xml:space="preserve"> have the expected negative sign, but their effects could be due to chance.</w:t>
      </w:r>
    </w:p>
    <w:p>
      <w:pPr>
        <w:pStyle w:val="ListParagraph"/>
        <w:numPr>
          <w:ilvl w:val="0"/>
          <w:numId w:val="2"/>
        </w:numPr>
        <w:spacing w:after="80" w:line="300"/>
      </w:pPr>
      <w:r>
        <w:rPr>
          <w:b/>
          <w:bCs/>
        </w:rPr>
        <w:t xml:space="preserve">Income inequality and income inequality squared</w:t>
      </w:r>
      <w:r>
        <w:t xml:space="preserve"> are not statistically significant. This means the Roy effect does not hold for the Philippines.</w:t>
      </w:r>
    </w:p>
    <w:p>
      <w:pPr>
        <w:pStyle w:val="Heading2"/>
      </w:pPr>
      <w:r>
        <w:t xml:space="preserve">The authors’ conclusions</w:t>
      </w:r>
    </w:p>
    <w:p>
      <w:pPr>
        <w:spacing w:after="160" w:line="300"/>
      </w:pPr>
      <w:r>
        <w:t xml:space="preserve">The main push factors are unemployment, adult literacy, political instability and population density. The authors recommend that the government (1) collect and track migration data better, (2) sign agreements with destination countries to protect overseas Filipino workers, and (3) build a home economy with enough jobs, so the country relies less on emigration.</w:t>
      </w:r>
    </w:p>
    <w:p>
      <w:pPr>
        <w:pStyle w:val="Heading1"/>
      </w:pPr>
      <w:r>
        <w:t xml:space="preserve">6. Critical Assessment</w:t>
      </w:r>
    </w:p>
    <w:p>
      <w:pPr>
        <w:pStyle w:val="Heading2"/>
      </w:pPr>
      <w:r>
        <w:t xml:space="preserve">Strengths</w:t>
      </w:r>
    </w:p>
    <w:p>
      <w:pPr>
        <w:pStyle w:val="ListParagraph"/>
        <w:numPr>
          <w:ilvl w:val="0"/>
          <w:numId w:val="2"/>
        </w:numPr>
        <w:spacing w:after="80" w:line="300"/>
      </w:pPr>
      <w:r>
        <w:t xml:space="preserve">The research question is important for a country that sends many workers abroad.</w:t>
      </w:r>
    </w:p>
    <w:p>
      <w:pPr>
        <w:pStyle w:val="ListParagraph"/>
        <w:numPr>
          <w:ilvl w:val="0"/>
          <w:numId w:val="2"/>
        </w:numPr>
        <w:spacing w:after="80" w:line="300"/>
      </w:pPr>
      <w:r>
        <w:t xml:space="preserve">The steps are careful: unit root tests, then cointegration tests, then the ECM.</w:t>
      </w:r>
    </w:p>
    <w:p>
      <w:pPr>
        <w:pStyle w:val="ListParagraph"/>
        <w:numPr>
          <w:ilvl w:val="0"/>
          <w:numId w:val="2"/>
        </w:numPr>
        <w:spacing w:after="80" w:line="300"/>
      </w:pPr>
      <w:r>
        <w:t xml:space="preserve">All diagnostic tests are reported, and the model passes them.</w:t>
      </w:r>
    </w:p>
    <w:p>
      <w:pPr>
        <w:pStyle w:val="ListParagraph"/>
        <w:numPr>
          <w:ilvl w:val="0"/>
          <w:numId w:val="2"/>
        </w:numPr>
        <w:spacing w:after="80" w:line="300"/>
      </w:pPr>
      <w:r>
        <w:t xml:space="preserve">The paper explains the policy background well, including the unclear wording of RA 8042.</w:t>
      </w:r>
    </w:p>
    <w:p>
      <w:pPr>
        <w:pStyle w:val="Heading2"/>
      </w:pPr>
      <w:r>
        <w:t xml:space="preserve">Weaknesses</w:t>
      </w:r>
    </w:p>
    <w:p>
      <w:pPr>
        <w:pStyle w:val="ListParagraph"/>
        <w:numPr>
          <w:ilvl w:val="0"/>
          <w:numId w:val="2"/>
        </w:numPr>
        <w:spacing w:after="80" w:line="300"/>
      </w:pPr>
      <w:r>
        <w:rPr>
          <w:b/>
          <w:bCs/>
        </w:rPr>
        <w:t xml:space="preserve">Small sample.</w:t>
      </w:r>
      <w:r>
        <w:t xml:space="preserve"> 31 yearly observations is small for ten explanatory terms, so the results may not be reliable.</w:t>
      </w:r>
    </w:p>
    <w:p>
      <w:pPr>
        <w:pStyle w:val="ListParagraph"/>
        <w:numPr>
          <w:ilvl w:val="0"/>
          <w:numId w:val="2"/>
        </w:numPr>
        <w:spacing w:after="80" w:line="300"/>
      </w:pPr>
      <w:r>
        <w:rPr>
          <w:b/>
          <w:bCs/>
        </w:rPr>
        <w:t xml:space="preserve">Weak proxies.</w:t>
      </w:r>
      <w:r>
        <w:t xml:space="preserve"> Airfare is only the minimum cost of migration. Adult literacy in the Philippines was already very high for most of the period, so it changes little and is a weak proxy for education.</w:t>
      </w:r>
    </w:p>
    <w:p>
      <w:pPr>
        <w:pStyle w:val="ListParagraph"/>
        <w:numPr>
          <w:ilvl w:val="0"/>
          <w:numId w:val="2"/>
        </w:numPr>
        <w:spacing w:after="80" w:line="300"/>
      </w:pPr>
      <w:r>
        <w:rPr>
          <w:b/>
          <w:bCs/>
        </w:rPr>
        <w:t xml:space="preserve">Push factors only.</w:t>
      </w:r>
      <w:r>
        <w:t xml:space="preserve"> The study ignores pull factors, such as job demand in the Middle East, which drove much of Filipino labour emigration.</w:t>
      </w:r>
    </w:p>
    <w:p>
      <w:pPr>
        <w:pStyle w:val="ListParagraph"/>
        <w:numPr>
          <w:ilvl w:val="0"/>
          <w:numId w:val="2"/>
        </w:numPr>
        <w:spacing w:after="80" w:line="300"/>
      </w:pPr>
      <w:r>
        <w:rPr>
          <w:b/>
          <w:bCs/>
        </w:rPr>
        <w:t xml:space="preserve">A conflicting explanation.</w:t>
      </w:r>
      <w:r>
        <w:t xml:space="preserve"> The authors say adult literacy lowers emigration because migrants are low-skilled. But the paper itself cites Alburo and Abella (2002), who found that more Filipino professionals went abroad than were added to the workforce at home.</w:t>
      </w:r>
    </w:p>
    <w:p>
      <w:pPr>
        <w:pStyle w:val="ListParagraph"/>
        <w:numPr>
          <w:ilvl w:val="0"/>
          <w:numId w:val="2"/>
        </w:numPr>
        <w:spacing w:after="80" w:line="300"/>
      </w:pPr>
      <w:r>
        <w:rPr>
          <w:b/>
          <w:bCs/>
        </w:rPr>
        <w:t xml:space="preserve">Unclear test results.</w:t>
      </w:r>
      <w:r>
        <w:t xml:space="preserve"> Per capita income is not stationary in the P–P test, and there are no tests for structural breaks (sudden changes), such as the 1986 EDSA Revolution or the 1997 Asian financial crisis.</w:t>
      </w:r>
    </w:p>
    <w:p>
      <w:pPr>
        <w:pStyle w:val="Heading1"/>
      </w:pPr>
      <w:r>
        <w:t xml:space="preserve">7. Areas for Further Research</w:t>
      </w:r>
    </w:p>
    <w:p>
      <w:pPr>
        <w:pStyle w:val="Heading2"/>
      </w:pPr>
      <w:r>
        <w:t xml:space="preserve">Limitations the authors identify</w:t>
      </w:r>
    </w:p>
    <w:p>
      <w:pPr>
        <w:pStyle w:val="ListParagraph"/>
        <w:numPr>
          <w:ilvl w:val="0"/>
          <w:numId w:val="2"/>
        </w:numPr>
        <w:spacing w:after="80" w:line="300"/>
      </w:pPr>
      <w:r>
        <w:t xml:space="preserve">Migration data are hard to collect and compile.</w:t>
      </w:r>
    </w:p>
    <w:p>
      <w:pPr>
        <w:pStyle w:val="ListParagraph"/>
        <w:numPr>
          <w:ilvl w:val="0"/>
          <w:numId w:val="2"/>
        </w:numPr>
        <w:spacing w:after="80" w:line="300"/>
      </w:pPr>
      <w:r>
        <w:t xml:space="preserve">Airfare shows only the minimum cost of migration.</w:t>
      </w:r>
    </w:p>
    <w:p>
      <w:pPr>
        <w:pStyle w:val="ListParagraph"/>
        <w:numPr>
          <w:ilvl w:val="0"/>
          <w:numId w:val="2"/>
        </w:numPr>
        <w:spacing w:after="80" w:line="300"/>
      </w:pPr>
      <w:r>
        <w:t xml:space="preserve">The population density result is hard to explain and needs more research.</w:t>
      </w:r>
    </w:p>
    <w:p>
      <w:pPr>
        <w:pStyle w:val="ListParagraph"/>
        <w:numPr>
          <w:ilvl w:val="0"/>
          <w:numId w:val="2"/>
        </w:numPr>
        <w:spacing w:after="80" w:line="300"/>
      </w:pPr>
      <w:r>
        <w:t xml:space="preserve">The data cannot prove the political instability story.</w:t>
      </w:r>
    </w:p>
    <w:p>
      <w:pPr>
        <w:pStyle w:val="Heading2"/>
      </w:pPr>
      <w:r>
        <w:t xml:space="preserve">Future research opportunities</w:t>
      </w:r>
    </w:p>
    <w:p>
      <w:pPr>
        <w:spacing w:after="160" w:line="300"/>
      </w:pPr>
      <w:r>
        <w:t xml:space="preserve">The authors call for more research on the population density result and for better migration data. Building on the weaknesses above, I suggest four more directions:</w:t>
      </w:r>
    </w:p>
    <w:p>
      <w:pPr>
        <w:pStyle w:val="ListParagraph"/>
        <w:numPr>
          <w:ilvl w:val="0"/>
          <w:numId w:val="4"/>
        </w:numPr>
        <w:spacing w:after="80" w:line="300"/>
      </w:pPr>
      <w:r>
        <w:rPr>
          <w:b/>
          <w:bCs/>
        </w:rPr>
        <w:t xml:space="preserve">Split the data.</w:t>
      </w:r>
      <w:r>
        <w:t xml:space="preserve"> Study temporary and permanent migrants separately, and group migrants by skill level.</w:t>
      </w:r>
    </w:p>
    <w:p>
      <w:pPr>
        <w:pStyle w:val="ListParagraph"/>
        <w:numPr>
          <w:ilvl w:val="0"/>
          <w:numId w:val="4"/>
        </w:numPr>
        <w:spacing w:after="80" w:line="300"/>
      </w:pPr>
      <w:r>
        <w:rPr>
          <w:b/>
          <w:bCs/>
        </w:rPr>
        <w:t xml:space="preserve">Add pull factors.</w:t>
      </w:r>
      <w:r>
        <w:t xml:space="preserve"> Include wages and job demand in destination countries.</w:t>
      </w:r>
    </w:p>
    <w:p>
      <w:pPr>
        <w:pStyle w:val="ListParagraph"/>
        <w:numPr>
          <w:ilvl w:val="0"/>
          <w:numId w:val="4"/>
        </w:numPr>
        <w:spacing w:after="80" w:line="300"/>
      </w:pPr>
      <w:r>
        <w:rPr>
          <w:b/>
          <w:bCs/>
        </w:rPr>
        <w:t xml:space="preserve">Update the data.</w:t>
      </w:r>
      <w:r>
        <w:t xml:space="preserve"> Extend the data past 2005 and test for structural breaks, such as the 1997 Asian financial crisis, the 2008 global financial crisis and COVID-19.</w:t>
      </w:r>
    </w:p>
    <w:p>
      <w:pPr>
        <w:pStyle w:val="ListParagraph"/>
        <w:numPr>
          <w:ilvl w:val="0"/>
          <w:numId w:val="4"/>
        </w:numPr>
        <w:spacing w:after="80" w:line="300"/>
      </w:pPr>
      <w:r>
        <w:rPr>
          <w:b/>
          <w:bCs/>
        </w:rPr>
        <w:t xml:space="preserve">Use household data.</w:t>
      </w:r>
      <w:r>
        <w:t xml:space="preserve"> Use survey data on individual migrants to test human capital theory directly.</w:t>
      </w:r>
    </w:p>
    <w:p>
      <w:pPr>
        <w:pStyle w:val="Heading1"/>
      </w:pPr>
      <w:r>
        <w:t xml:space="preserve">Conclusion</w:t>
      </w:r>
    </w:p>
    <w:p>
      <w:pPr>
        <w:spacing w:after="160" w:line="300"/>
      </w:pPr>
      <w:r>
        <w:t xml:space="preserve">Agbola and Acupan (2010) show that push factors at home shape Filipino emigration. Unemployment raises emigration, while adult literacy, political instability and population density lower it. The study gives useful early evidence and a clear policy message: build a home economy with enough jobs. However, the small sample, the weak proxies and the missing pull factors mean the results should be read with care. They are a starting point for further research, not a final answer.</w:t>
      </w:r>
    </w:p>
    <w:p>
      <w:pPr>
        <w:pStyle w:val="Heading1"/>
      </w:pPr>
      <w:r>
        <w:t xml:space="preserve">Reference</w:t>
      </w:r>
    </w:p>
    <w:p>
      <w:pPr>
        <w:ind w:left="720" w:hanging="720"/>
      </w:pPr>
      <w:r>
        <w:t xml:space="preserve">Agbola, F. W., &amp; Acupan, A. B. (2010). An empirical analysis of international labour migration in the Philippines. </w:t>
      </w:r>
      <w:r>
        <w:rPr>
          <w:i/>
          <w:iCs/>
        </w:rPr>
        <w:t xml:space="preserve">Economic Systems, 34</w:t>
      </w:r>
      <w:r>
        <w:t xml:space="preserve">, 386–396. https://doi.org/10.1016/j.ecosys.2010.03.002</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B84"/>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Step %1."/>
      <w:lvlJc w:val="left"/>
      <w:pPr>
        <w:ind w:left="1000" w:hanging="760"/>
      </w:pPr>
    </w:lvl>
  </w:abstractNum>
  <w:abstractNum w:abstractNumId="4"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0B3C49"/>
      <w:sz w:val="30"/>
      <w:szCs w:val="30"/>
    </w:rPr>
  </w:style>
  <w:style w:type="paragraph" w:styleId="Heading2">
    <w:name w:val="Heading 2"/>
    <w:basedOn w:val="Normal"/>
    <w:next w:val="Normal"/>
    <w:qFormat/>
    <w:pPr>
      <w:spacing w:after="100" w:before="220"/>
      <w:outlineLvl w:val="1"/>
    </w:pPr>
    <w:rPr>
      <w:rFonts w:ascii="Calibri" w:cs="Calibri" w:eastAsia="Calibri" w:hAnsi="Calibri"/>
      <w:b/>
      <w:bCs/>
      <w:color w:val="0B3C49"/>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Critical Review: International Labour Migration in the Philippines</dc:title>
  <dc:creator>Cataytay</dc:creator>
  <cp:lastModifiedBy>Un-named</cp:lastModifiedBy>
  <cp:revision>1</cp:revision>
  <dcterms:created xsi:type="dcterms:W3CDTF">2026-10-06T19:09:15.346Z</dcterms:created>
  <dcterms:modified xsi:type="dcterms:W3CDTF">2026-10-06T19:09:15.346Z</dcterms:modified>
</cp:coreProperties>
</file>

<file path=docProps/custom.xml><?xml version="1.0" encoding="utf-8"?>
<Properties xmlns="http://schemas.openxmlformats.org/officeDocument/2006/custom-properties" xmlns:vt="http://schemas.openxmlformats.org/officeDocument/2006/docPropsVTypes"/>
</file>