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Lia Neville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706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631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2506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lianevemployment@proton.me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React, Svelte, Typescript, TailwindCSS, Three.js, Bootstrap, jQuery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Backend &amp; Devops: </w:t>
      </w:r>
      <w:r w:rsidDel="00000000" w:rsidR="00000000" w:rsidRPr="00000000">
        <w:rPr>
          <w:rtl w:val="0"/>
        </w:rPr>
        <w:t xml:space="preserve">Node, MongoDB, PHP, SQL, AWS, Docker,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Vouch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Lead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2023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Increased mobile user engagement with a mobile-first redesign and responsive grid layout using Tailwind CSS.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Reduced technical debt with a modular codebase and component-based architecture using SvelteKit and Tailwind CSS.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Enhanced application accessibility by adhering to WCAG guidelines and implementing ARIA roles.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Developed a custom theming solution, solidifying the brand image and enabling consistent branding across the application.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Docket Inc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2021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Overhauled pages and developed a customizable drag-and-drop dashboard, enhancing user experience using PHP, jQuery, and SCSS.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Reduced file sizes and improved maintainability with SCSS optimizations and modern CSS preprocessing techniques.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Implemented profile picture management with AWS S3, enabling personalized experiences and scalable storage.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Enhanced PHP logging for better error tracking and debugging by including complete object and array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Clubhou.se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Fullstack Developer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