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DF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肠道菌分析思路</w:t>
      </w:r>
    </w:p>
    <w:p w14:paraId="39E06CF1">
      <w:pPr>
        <w:rPr>
          <w:rFonts w:hint="eastAsia"/>
          <w:lang w:val="en-US" w:eastAsia="zh-CN"/>
        </w:rPr>
      </w:pPr>
    </w:p>
    <w:p w14:paraId="7C8FECE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暴露：</w:t>
      </w:r>
      <w:r>
        <w:rPr>
          <w:rFonts w:hint="eastAsia"/>
          <w:lang w:val="en-US" w:eastAsia="zh-CN"/>
        </w:rPr>
        <w:t>软饮摄入类型（仅仅摄入一种饮料的人群）1=，每周不到1次，2=每周1～2次，3=每周3～4次，4=每周5～6次，5=每天1次，6=每天2次及以上，9=缺失值</w:t>
      </w:r>
    </w:p>
    <w:p w14:paraId="41B829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碳酸饮料：917名 对应X352[2]碳酸饮料</w:t>
      </w:r>
    </w:p>
    <w:p w14:paraId="3139D5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甜味茶饮料：473名 对应X354[4]冰红茶、绿茶、茉莉花茶等茶饮料</w:t>
      </w:r>
    </w:p>
    <w:p w14:paraId="7C32ED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果蔬汁饮料</w:t>
      </w:r>
      <w:r>
        <w:rPr>
          <w:rFonts w:hint="eastAsia"/>
          <w:lang w:val="en-US" w:eastAsia="zh-CN"/>
        </w:rPr>
        <w:t>：519名 对应X355[5]鲜橙多、苹果汁等果蔬汁饮料</w:t>
      </w:r>
    </w:p>
    <w:p w14:paraId="0D940B8C">
      <w:pPr>
        <w:rPr>
          <w:rFonts w:hint="eastAsia"/>
          <w:lang w:val="en-US" w:eastAsia="zh-CN"/>
        </w:rPr>
      </w:pPr>
    </w:p>
    <w:p w14:paraId="0E958B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结局：</w:t>
      </w:r>
    </w:p>
    <w:p w14:paraId="31DE1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主要结局：</w:t>
      </w:r>
      <w:r>
        <w:rPr>
          <w:rFonts w:hint="default"/>
          <w:lang w:eastAsia="zh-CN"/>
        </w:rPr>
        <w:t>BMI</w:t>
      </w:r>
      <w:r>
        <w:rPr>
          <w:rFonts w:hint="eastAsia"/>
          <w:lang w:val="en-US" w:eastAsia="zh-CN"/>
        </w:rPr>
        <w:t>肥胖与否/年龄别Z分数</w:t>
      </w:r>
    </w:p>
    <w:p w14:paraId="637FE9A2">
      <w:pPr>
        <w:rPr>
          <w:rFonts w:hint="eastAsia"/>
          <w:lang w:val="en-US" w:eastAsia="zh-CN"/>
        </w:rPr>
      </w:pPr>
      <w:r>
        <w:rPr>
          <w:rFonts w:hint="default"/>
          <w:lang w:eastAsia="zh-CN"/>
        </w:rPr>
        <w:t>次要结束：</w:t>
      </w:r>
      <w:r>
        <w:rPr>
          <w:rFonts w:hint="eastAsia"/>
          <w:lang w:val="en-US" w:eastAsia="zh-CN"/>
        </w:rPr>
        <w:t>身高、体重、腰围</w:t>
      </w:r>
    </w:p>
    <w:p w14:paraId="0468C662">
      <w:pPr>
        <w:rPr>
          <w:rFonts w:hint="eastAsia"/>
          <w:lang w:val="en-US" w:eastAsia="zh-CN"/>
        </w:rPr>
      </w:pPr>
    </w:p>
    <w:p w14:paraId="2BA9F418">
      <w:pPr>
        <w:rPr>
          <w:rFonts w:hint="eastAsia"/>
          <w:lang w:val="en-US" w:eastAsia="zh-CN"/>
        </w:rPr>
      </w:pPr>
    </w:p>
    <w:p w14:paraId="7EE4224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协变量：</w:t>
      </w:r>
    </w:p>
    <w:p w14:paraId="7F234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①crude</w:t>
      </w:r>
    </w:p>
    <w:p w14:paraId="164CAF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②性别、年龄、省份</w:t>
      </w:r>
    </w:p>
    <w:p w14:paraId="10E0FA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年龄、性别、种族、家庭年收入</w:t>
      </w:r>
      <w:r>
        <w:rPr>
          <w:rFonts w:hint="eastAsia"/>
          <w:lang w:val="en-US" w:eastAsia="zh-CN"/>
        </w:rPr>
        <w:t>、父亲教育程度、母亲教育程度、软饮摄入频率、</w:t>
      </w:r>
      <w:r>
        <w:rPr>
          <w:rFonts w:hint="default"/>
          <w:lang w:val="en-US" w:eastAsia="zh-CN"/>
        </w:rPr>
        <w:t>每日水果摄入量、每日蔬菜摄入量、每日肉摄入量、</w:t>
      </w:r>
      <w:r>
        <w:rPr>
          <w:rFonts w:hint="eastAsia"/>
          <w:lang w:val="en-US" w:eastAsia="zh-CN"/>
        </w:rPr>
        <w:t>户外</w:t>
      </w:r>
      <w:r>
        <w:rPr>
          <w:rFonts w:hint="default"/>
          <w:lang w:val="en-US" w:eastAsia="zh-CN"/>
        </w:rPr>
        <w:t>活动、</w:t>
      </w:r>
      <w:r>
        <w:rPr>
          <w:rFonts w:hint="eastAsia"/>
          <w:lang w:val="en-US" w:eastAsia="zh-CN"/>
        </w:rPr>
        <w:t>温度、湿度、PM2.5</w:t>
      </w:r>
    </w:p>
    <w:p w14:paraId="038264A8">
      <w:pPr>
        <w:rPr>
          <w:rFonts w:hint="eastAsia"/>
          <w:lang w:val="en-US" w:eastAsia="zh-CN"/>
        </w:rPr>
      </w:pPr>
    </w:p>
    <w:p w14:paraId="7C62FEF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描述性分析</w:t>
      </w:r>
    </w:p>
    <w:p w14:paraId="4045F7F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对分类变量（如性别、家庭收入）计算频数与百分比，使用卡方检验进行组间比较。</w:t>
      </w:r>
    </w:p>
    <w:p w14:paraId="25E01F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对连续变量（如年龄）计算均值与标准差，使用方差分析（ANOVA）进行组间比较。</w:t>
      </w:r>
    </w:p>
    <w:p w14:paraId="6561DC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正态描述为主。</w:t>
      </w:r>
    </w:p>
    <w:p w14:paraId="4832D50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专门描述各组的饮料饮用频率（X34）分布。</w:t>
      </w:r>
    </w:p>
    <w:p w14:paraId="49DE096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展示图表内容：</w:t>
      </w:r>
    </w:p>
    <w:p w14:paraId="3940A6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表1：研究人群基线特征（总+三种饮料）。</w:t>
      </w:r>
    </w:p>
    <w:p w14:paraId="07FEF5D1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770755" cy="3634740"/>
            <wp:effectExtent l="0" t="0" r="4445" b="1016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A5F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肥胖结局的组间差异可视化</w:t>
      </w:r>
    </w:p>
    <w:p w14:paraId="37F5DA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直观展示不同饮料消费者在多项标准化身体指标上的全面差异。</w:t>
      </w:r>
    </w:p>
    <w:p w14:paraId="779701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对所有Z分数指标（BMIz, HAZ, WAZ, WCaz）使用Kruskal-Wallis检验进行非参数组间比较。</w:t>
      </w:r>
    </w:p>
    <w:p w14:paraId="77EF543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图1：标准化身体测量指标组间比较矩阵图。</w:t>
      </w:r>
    </w:p>
    <w:p w14:paraId="6C361D8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BMI Z分数小提琴图</w:t>
      </w:r>
    </w:p>
    <w:p w14:paraId="69BDFBF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身高Z分数小提琴图</w:t>
      </w:r>
    </w:p>
    <w:p w14:paraId="27DE4D6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体重Z分数小提琴图</w:t>
      </w:r>
    </w:p>
    <w:p w14:paraId="7FE2DE8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腰围Z分数小提琴图</w:t>
      </w:r>
    </w:p>
    <w:p w14:paraId="320DDD7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统一标注：各子图标注整体检验P值及显著性两两比较标记。</w:t>
      </w:r>
    </w:p>
    <w:p w14:paraId="092602EF">
      <w:pPr>
        <w:numPr>
          <w:numId w:val="0"/>
        </w:numPr>
      </w:pPr>
      <w:r>
        <w:drawing>
          <wp:inline distT="0" distB="0" distL="114300" distR="114300">
            <wp:extent cx="5052695" cy="1433830"/>
            <wp:effectExtent l="0" t="0" r="190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2695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F43B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饮料种类与肥胖的独立关联</w:t>
      </w:r>
    </w:p>
    <w:p w14:paraId="00DBECD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方法：</w:t>
      </w:r>
    </w:p>
    <w:p w14:paraId="481340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线性混合模型：BMIz ~ 饮料种类 + 频率 + 协变量</w:t>
      </w:r>
    </w:p>
    <w:p w14:paraId="5DE8086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产出：图2：关联分析森林图。</w:t>
      </w:r>
    </w:p>
    <w:p w14:paraId="498F5D45">
      <w:pPr>
        <w:numPr>
          <w:numId w:val="0"/>
        </w:numPr>
        <w:rPr>
          <w:rFonts w:hint="eastAsia"/>
          <w:lang w:val="en-US" w:eastAsia="zh-CN"/>
        </w:rPr>
      </w:pPr>
    </w:p>
    <w:p w14:paraId="0971F9E6">
      <w:pPr>
        <w:numPr>
          <w:numId w:val="0"/>
        </w:numPr>
      </w:pPr>
      <w:r>
        <w:drawing>
          <wp:inline distT="0" distB="0" distL="114300" distR="114300">
            <wp:extent cx="2707640" cy="197802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E4E5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  <w:lang w:val="en-US" w:eastAsia="zh-CN"/>
        </w:rPr>
        <w:t xml:space="preserve">REF: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Daily Intake of Soft Drinks and Moderate-to-Severe Acne Vulgaris in Chinese Adolescents. J Pediatr. 2019 Jan;204:256-262.e3. doi: 10.1016/j.jpeds.2018.08.034. PMID: 30274928.</w:t>
      </w:r>
    </w:p>
    <w:p w14:paraId="414B96AB">
      <w:pPr>
        <w:numPr>
          <w:numId w:val="0"/>
        </w:num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</w:pPr>
    </w:p>
    <w:p w14:paraId="7670F25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剂量-反应关系分析</w:t>
      </w:r>
    </w:p>
    <w:p w14:paraId="28F1E9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模型：采用广义加性混合模型 (GAMM)。</w:t>
      </w:r>
    </w:p>
    <w:p w14:paraId="2B7267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公式：肥胖（二分类） ~ s(饮用频率, by=饮料种类) + 协变量。</w:t>
      </w:r>
    </w:p>
    <w:p w14:paraId="785DE07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目的：探索三种饮料的饮用频率与肥胖风险之间潜在的非线性关系。</w:t>
      </w:r>
    </w:p>
    <w:p w14:paraId="7E5C80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0B2F4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可视化：结果以三条平滑曲线（各代表一种饮料） 绘于同一坐标系，展示调整后肥胖概率随频率的变化趋势。</w:t>
      </w:r>
    </w:p>
    <w:p w14:paraId="502032F9">
      <w:pPr>
        <w:numPr>
          <w:ilvl w:val="0"/>
          <w:numId w:val="0"/>
        </w:numPr>
      </w:pPr>
      <w:r>
        <w:drawing>
          <wp:inline distT="0" distB="0" distL="114300" distR="114300">
            <wp:extent cx="3244850" cy="3507105"/>
            <wp:effectExtent l="0" t="0" r="6350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2792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  <w:lang w:val="en-US" w:eastAsia="zh-CN"/>
        </w:rPr>
        <w:t xml:space="preserve">REF: </w:t>
      </w:r>
      <w:r>
        <w:rPr>
          <w:rFonts w:ascii="Segoe UI" w:hAnsi="Segoe UI" w:eastAsia="Segoe UI" w:cs="Segoe UI"/>
          <w:i w:val="0"/>
          <w:iCs w:val="0"/>
          <w:caps w:val="0"/>
          <w:color w:val="212121"/>
          <w:spacing w:val="0"/>
          <w:sz w:val="16"/>
          <w:szCs w:val="16"/>
          <w:shd w:val="clear" w:fill="FFFFFF"/>
        </w:rPr>
        <w:t>Daily Intake of Soft Drinks and Moderate-to-Severe Acne Vulgaris in Chinese Adolescents. J Pediatr. 2019 Jan;204:256-262.e3. doi: 10.1016/j.jpeds.2018.08.034. PMID: 30274928.</w:t>
      </w:r>
    </w:p>
    <w:p w14:paraId="50B81BB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1F6C52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肠道菌群机制探索（全人群）</w:t>
      </w:r>
    </w:p>
    <w:p w14:paraId="7A5C0B0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菌群整体结构分析</w:t>
      </w:r>
    </w:p>
    <w:p w14:paraId="255A575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α多样性：ANCOVA比较三组间差异（调整协变量）</w:t>
      </w:r>
    </w:p>
    <w:p w14:paraId="05E1684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847103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β多样性：PCoA + PERMANOVA（基于Bray-Curtis距离，调整协变量）</w:t>
      </w:r>
    </w:p>
    <w:p w14:paraId="4EFDADB1">
      <w:pPr>
        <w:numPr>
          <w:ilvl w:val="0"/>
          <w:numId w:val="0"/>
        </w:numPr>
      </w:pPr>
      <w:r>
        <w:drawing>
          <wp:inline distT="0" distB="0" distL="114300" distR="114300">
            <wp:extent cx="2757170" cy="2701925"/>
            <wp:effectExtent l="0" t="0" r="1143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85975" cy="2228850"/>
            <wp:effectExtent l="0" t="0" r="952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AC8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B7C35D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B1B1B"/>
          <w:spacing w:val="0"/>
          <w:sz w:val="16"/>
          <w:szCs w:val="16"/>
          <w:shd w:val="clear" w:fill="FFFFFF"/>
        </w:rPr>
      </w:pPr>
      <w:r>
        <w:rPr>
          <w:rFonts w:hint="eastAsia"/>
          <w:lang w:val="en-US" w:eastAsia="zh-CN"/>
        </w:rPr>
        <w:t>Ref：</w:t>
      </w:r>
      <w:r>
        <w:rPr>
          <w:rFonts w:ascii="Consolas" w:hAnsi="Consolas" w:eastAsia="Consolas" w:cs="Consolas"/>
          <w:i w:val="0"/>
          <w:iCs w:val="0"/>
          <w:caps w:val="0"/>
          <w:color w:val="1B1B1B"/>
          <w:spacing w:val="0"/>
          <w:sz w:val="16"/>
          <w:szCs w:val="16"/>
          <w:shd w:val="clear" w:fill="FFFFFF"/>
        </w:rPr>
        <w:t>Gut microbiome signatures of vegan, vegetarian and omnivore diets and associated health outcomes across 21,561 individuals. Nat Microbiol. 2025 Jan;10(1):41-52. doi: 10.1038/s41564-024-01870-z. Epub 2025 Jan 6. PMID: 39762435; PMCID: PMC11726441.</w:t>
      </w:r>
    </w:p>
    <w:p w14:paraId="13DD9446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B1B1B"/>
          <w:spacing w:val="0"/>
          <w:sz w:val="16"/>
          <w:szCs w:val="16"/>
          <w:shd w:val="clear" w:fill="FFFFFF"/>
        </w:rPr>
      </w:pPr>
    </w:p>
    <w:p w14:paraId="637196CA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B1B1B"/>
          <w:spacing w:val="0"/>
          <w:sz w:val="16"/>
          <w:szCs w:val="16"/>
          <w:shd w:val="clear" w:fill="FFFFFF"/>
        </w:rPr>
      </w:pPr>
    </w:p>
    <w:p w14:paraId="39E6566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物种差异分析与标志物种</w:t>
      </w:r>
    </w:p>
    <w:p w14:paraId="2D796D6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韦恩图：</w:t>
      </w:r>
      <w:r>
        <w:rPr>
          <w:rFonts w:hint="eastAsia"/>
          <w:lang w:val="en-US" w:eastAsia="zh-CN"/>
        </w:rPr>
        <w:drawing>
          <wp:inline distT="0" distB="0" distL="114300" distR="114300">
            <wp:extent cx="3390900" cy="2805430"/>
            <wp:effectExtent l="0" t="0" r="0" b="1270"/>
            <wp:docPr id="8" name="图片 8" descr="ace0a766114ab50ccb5382a697a75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ce0a766114ab50ccb5382a697a75a5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83B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使用 MaAsLin2 进行 差异丰度分析，以饮料类型为主变量，控制饮用频率、性别、年龄、饮食和社会经济因素等协变量。</w:t>
      </w:r>
      <w:r>
        <w:rPr>
          <w:rFonts w:hint="eastAsia"/>
          <w:lang w:val="en-US" w:eastAsia="zh-CN"/>
        </w:rPr>
        <w:t>绘制火山图（Volcano Plot）和条形图（Bar Plot）。</w:t>
      </w:r>
    </w:p>
    <w:p w14:paraId="69B4978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识别在不同饮料组之间显著差异的肠道菌群</w:t>
      </w:r>
      <w:r>
        <w:rPr>
          <w:rFonts w:hint="eastAsia"/>
          <w:lang w:val="en-US" w:eastAsia="zh-CN"/>
        </w:rPr>
        <w:t>。</w:t>
      </w:r>
    </w:p>
    <w:p w14:paraId="359C1F1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热图结合柱状图展示组间差异</w:t>
      </w:r>
    </w:p>
    <w:p w14:paraId="6139B04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6290" cy="4542155"/>
            <wp:effectExtent l="0" t="0" r="3810" b="4445"/>
            <wp:docPr id="10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4542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16E15D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1808480" cy="1449070"/>
            <wp:effectExtent l="0" t="0" r="7620" b="1143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848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58160" cy="1751330"/>
            <wp:effectExtent l="0" t="0" r="2540" b="1270"/>
            <wp:docPr id="17" name="图片 6" descr="微信图片_20251028113335_40_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 descr="微信图片_20251028113335_40_1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D64F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0612E8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1B1B1B"/>
          <w:spacing w:val="0"/>
          <w:sz w:val="16"/>
          <w:szCs w:val="16"/>
          <w:shd w:val="clear" w:fill="FFFFFF"/>
          <w:lang w:val="en-US" w:eastAsia="zh-CN"/>
        </w:rPr>
        <w:t>Ref：Centenarians have a diverse gut virome with the potential to modulate metabolism and promote healthy lifespan. https://doi.org/10.1038/s41564-023-01370-6</w:t>
      </w:r>
    </w:p>
    <w:p w14:paraId="1AC711E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中介分析:</w:t>
      </w:r>
    </w:p>
    <w:p w14:paraId="3E714E3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087245"/>
            <wp:effectExtent l="0" t="0" r="508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CN"/>
        </w:rPr>
        <w:t>功能性分析：</w:t>
      </w:r>
    </w:p>
    <w:p w14:paraId="1319ED8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333750"/>
            <wp:effectExtent l="0" t="0" r="1270" b="6350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9F3872"/>
    <w:multiLevelType w:val="singleLevel"/>
    <w:tmpl w:val="F99F3872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55FB1131"/>
    <w:multiLevelType w:val="singleLevel"/>
    <w:tmpl w:val="55FB113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E64CF"/>
    <w:rsid w:val="0B8C5B00"/>
    <w:rsid w:val="0F2C7FC2"/>
    <w:rsid w:val="1C250273"/>
    <w:rsid w:val="28CF5004"/>
    <w:rsid w:val="3BC27434"/>
    <w:rsid w:val="51744A61"/>
    <w:rsid w:val="709223F1"/>
    <w:rsid w:val="77FE4D75"/>
    <w:rsid w:val="7A2701B9"/>
    <w:rsid w:val="7A8C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</Words>
  <Characters>144</Characters>
  <Lines>0</Lines>
  <Paragraphs>0</Paragraphs>
  <TotalTime>40</TotalTime>
  <ScaleCrop>false</ScaleCrop>
  <LinksUpToDate>false</LinksUpToDate>
  <CharactersWithSpaces>147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2025-12-12T12:54:00Z</dcterms:created>
  <dc:creator>头头鱼</dc:creator>
  <cp:lastModifiedBy>头头鱼</cp:lastModifiedBy>
  <dcterms:modified xsi:type="dcterms:W3CDTF">2025-12-14T01:44:05Z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F9495C44A7154F898424F633F5522B6D_13</vt:lpwstr>
  </property>
  <property fmtid="{D5CDD505-2E9C-101B-9397-08002B2CF9AE}" pid="4" name="KSOTemplateDocerSaveRecord">
    <vt:lpwstr>eyJoZGlkIjoiODViY2JkMjU3NGYzZTEwMzZmMGFkZWViYmNkYWU3NDIiLCJ1c2VySWQiOiI4NjIzMzIzMjYifQ==</vt:lpwstr>
  </property>
</Properties>
</file>